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120"/>
        <w:jc w:val="center"/>
        <w:rPr>
          <w:rFonts w:ascii="Times New Roman;sans-serif" w:hAnsi="Times New Roman;sans-serif"/>
          <w:b/>
          <w:color w:val="000000"/>
          <w:sz w:val="26"/>
        </w:rPr>
      </w:pPr>
      <w:r>
        <w:rPr>
          <w:rFonts w:ascii="Times New Roman;sans-serif" w:hAnsi="Times New Roman;sans-serif"/>
          <w:b/>
          <w:color w:val="000000"/>
          <w:sz w:val="26"/>
        </w:rPr>
        <w:t>Washington, DC 20549</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 xml:space="preserve">FORM 10-K </w:t>
      </w:r>
    </w:p>
    <w:p>
      <w:pPr>
        <w:pStyle w:val="TextBody"/>
        <w:bidi w:val="0"/>
        <w:spacing w:lineRule="auto" w:line="288" w:before="0" w:after="6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8682" w:type="dxa"/>
        <w:jc w:val="center"/>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001-36777 </w:t>
      </w:r>
    </w:p>
    <w:p>
      <w:pPr>
        <w:pStyle w:val="TextBody"/>
        <w:bidi w:val="0"/>
        <w:spacing w:lineRule="auto" w:line="288" w:before="0" w:after="60"/>
        <w:jc w:val="center"/>
        <w:rPr>
          <w:rFonts w:ascii="Times New Roman;sans-serif" w:hAnsi="Times New Roman;sans-serif"/>
          <w:b/>
          <w:color w:val="000000"/>
          <w:sz w:val="28"/>
        </w:rPr>
      </w:pPr>
      <w:r>
        <w:rPr>
          <w:rFonts w:ascii="Times New Roman;sans-serif" w:hAnsi="Times New Roman;sans-serif"/>
          <w:b/>
          <w:color w:val="000000"/>
          <w:sz w:val="28"/>
        </w:rPr>
        <w:t xml:space="preserve">JAMES RIVER GROUP HOLDINGS, LTD. </w:t>
      </w:r>
    </w:p>
    <w:p>
      <w:pPr>
        <w:pStyle w:val="TextBody"/>
        <w:bidi w:val="0"/>
        <w:spacing w:lineRule="auto" w:line="288" w:before="0" w:after="120"/>
        <w:jc w:val="center"/>
        <w:rPr>
          <w:rFonts w:ascii="Times New Roman;sans-serif" w:hAnsi="Times New Roman;sans-serif"/>
          <w:b w:val="false"/>
          <w:color w:val="000000"/>
          <w:sz w:val="14"/>
        </w:rPr>
      </w:pPr>
      <w:r>
        <w:rPr>
          <w:rFonts w:ascii="Times New Roman;sans-serif" w:hAnsi="Times New Roman;sans-serif"/>
          <w:b w:val="false"/>
          <w:color w:val="000000"/>
          <w:sz w:val="14"/>
        </w:rPr>
        <w:t>(Exact name of registrant as specified in its charter)</w:t>
      </w:r>
    </w:p>
    <w:tbl>
      <w:tblPr>
        <w:tblW w:w="7169" w:type="dxa"/>
        <w:jc w:val="center"/>
        <w:tblInd w:w="0" w:type="dxa"/>
        <w:tblLayout w:type="fixed"/>
        <w:tblCellMar>
          <w:top w:w="28" w:type="dxa"/>
          <w:left w:w="28" w:type="dxa"/>
          <w:bottom w:w="28" w:type="dxa"/>
          <w:right w:w="28" w:type="dxa"/>
        </w:tblCellMar>
      </w:tblPr>
      <w:tblGrid>
        <w:gridCol w:w="1837"/>
        <w:gridCol w:w="1618"/>
        <w:gridCol w:w="1629"/>
        <w:gridCol w:w="609"/>
        <w:gridCol w:w="609"/>
        <w:gridCol w:w="867"/>
      </w:tblGrid>
      <w:tr>
        <w:trPr/>
        <w:tc>
          <w:tcPr>
            <w:tcW w:w="183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Bermuda</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98-0585280</w:t>
            </w:r>
          </w:p>
        </w:tc>
      </w:tr>
      <w:tr>
        <w:trPr/>
        <w:tc>
          <w:tcPr>
            <w:tcW w:w="5084"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                         </w:t>
            </w:r>
            <w:r>
              <w:rPr>
                <w:rFonts w:ascii="Times New Roman;sans-serif" w:hAnsi="Times New Roman;sans-serif"/>
                <w:b w:val="false"/>
                <w:color w:val="000000"/>
                <w:sz w:val="14"/>
              </w:rPr>
              <w:t>(State or other jurisdiction of incorporation or organization)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(IRS Employer Identification No.)</w:t>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180"/>
        <w:jc w:val="center"/>
        <w:rPr>
          <w:rFonts w:ascii="Times New Roman;sans-serif" w:hAnsi="Times New Roman;sans-serif"/>
          <w:b/>
          <w:color w:val="000000"/>
          <w:sz w:val="18"/>
        </w:rPr>
      </w:pPr>
      <w:r>
        <w:rPr>
          <w:rFonts w:ascii="Times New Roman;sans-serif" w:hAnsi="Times New Roman;sans-serif"/>
          <w:b/>
          <w:color w:val="000000"/>
          <w:sz w:val="18"/>
        </w:rPr>
        <w:t xml:space="preserve">Wellesley House, 2nd Floor, 90 Pitts Bay Road, Pembroke HM08, Bermuda </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p>
      <w:pPr>
        <w:pStyle w:val="TextBody"/>
        <w:bidi w:val="0"/>
        <w:spacing w:lineRule="auto" w:line="288" w:before="0" w:after="60"/>
        <w:jc w:val="center"/>
        <w:rPr/>
      </w:pPr>
      <w:r>
        <w:rPr>
          <w:rFonts w:ascii="Times New Roman;sans-serif" w:hAnsi="Times New Roman;sans-serif"/>
          <w:b w:val="false"/>
          <w:color w:val="000000"/>
          <w:sz w:val="18"/>
        </w:rPr>
        <w:t xml:space="preserve">Registrant’s telephone number, including area code: </w:t>
      </w:r>
      <w:r>
        <w:rPr>
          <w:rFonts w:ascii="Times New Roman;sans-serif" w:hAnsi="Times New Roman;sans-serif"/>
          <w:b/>
          <w:color w:val="000000"/>
          <w:sz w:val="18"/>
        </w:rPr>
        <w:t xml:space="preserve">(441) 278-4580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030" w:type="dxa"/>
        <w:jc w:val="center"/>
        <w:tblInd w:w="0" w:type="dxa"/>
        <w:tblLayout w:type="fixed"/>
        <w:tblCellMar>
          <w:top w:w="28" w:type="dxa"/>
          <w:left w:w="28" w:type="dxa"/>
          <w:bottom w:w="28" w:type="dxa"/>
          <w:right w:w="28" w:type="dxa"/>
        </w:tblCellMar>
      </w:tblPr>
      <w:tblGrid>
        <w:gridCol w:w="1211"/>
        <w:gridCol w:w="1067"/>
        <w:gridCol w:w="1082"/>
        <w:gridCol w:w="484"/>
        <w:gridCol w:w="484"/>
        <w:gridCol w:w="486"/>
        <w:gridCol w:w="269"/>
        <w:gridCol w:w="269"/>
        <w:gridCol w:w="269"/>
        <w:gridCol w:w="295"/>
        <w:gridCol w:w="295"/>
        <w:gridCol w:w="296"/>
        <w:gridCol w:w="535"/>
        <w:gridCol w:w="535"/>
        <w:gridCol w:w="535"/>
        <w:gridCol w:w="269"/>
        <w:gridCol w:w="269"/>
        <w:gridCol w:w="380"/>
      </w:tblGrid>
      <w:tr>
        <w:trPr/>
        <w:tc>
          <w:tcPr>
            <w:tcW w:w="121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4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Names of each exchange on which registered</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par value $0.0002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JRVR</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Global Select Market</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bidi w:val="0"/>
        <w:spacing w:lineRule="auto" w:line="288" w:before="0" w:after="120"/>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20"/>
        <w:jc w:val="left"/>
        <w:rPr/>
      </w:pPr>
      <w:r>
        <w:rPr>
          <w:rFonts w:ascii="Times New Roman;sans-serif" w:hAnsi="Times New Roman;sans-serif"/>
          <w:b w:val="false"/>
          <w:color w:val="000000"/>
          <w:sz w:val="16"/>
        </w:rPr>
        <w:t xml:space="preserve">Indicate by check mark if the registrant is not required to file reports pursuant to Section 13 or 15(d) of the Securities Act.  Yes </w:t>
      </w:r>
      <w:r>
        <w:rPr>
          <w:color w:val="000000"/>
        </w:rPr>
        <w:t>☐ 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2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 xml:space="preserve">No </w:t>
      </w:r>
      <w:r>
        <w:rPr>
          <w:color w:val="000000"/>
        </w:rPr>
        <w:t>☐</w:t>
      </w:r>
    </w:p>
    <w:p>
      <w:pPr>
        <w:pStyle w:val="TextBody"/>
        <w:bidi w:val="0"/>
        <w:spacing w:lineRule="auto" w:line="276" w:before="0" w:after="12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center"/>
        <w:tblInd w:w="0" w:type="dxa"/>
        <w:tblLayout w:type="fixed"/>
        <w:tblCellMar>
          <w:top w:w="28" w:type="dxa"/>
          <w:left w:w="28" w:type="dxa"/>
          <w:bottom w:w="28" w:type="dxa"/>
          <w:right w:w="28" w:type="dxa"/>
        </w:tblCellMar>
      </w:tblPr>
      <w:tblGrid>
        <w:gridCol w:w="563"/>
        <w:gridCol w:w="495"/>
        <w:gridCol w:w="499"/>
        <w:gridCol w:w="109"/>
        <w:gridCol w:w="109"/>
        <w:gridCol w:w="109"/>
        <w:gridCol w:w="455"/>
        <w:gridCol w:w="455"/>
        <w:gridCol w:w="456"/>
        <w:gridCol w:w="109"/>
        <w:gridCol w:w="109"/>
        <w:gridCol w:w="109"/>
        <w:gridCol w:w="545"/>
        <w:gridCol w:w="545"/>
        <w:gridCol w:w="546"/>
        <w:gridCol w:w="109"/>
        <w:gridCol w:w="109"/>
        <w:gridCol w:w="109"/>
        <w:gridCol w:w="720"/>
        <w:gridCol w:w="720"/>
        <w:gridCol w:w="721"/>
        <w:gridCol w:w="109"/>
        <w:gridCol w:w="109"/>
        <w:gridCol w:w="109"/>
        <w:gridCol w:w="600"/>
        <w:gridCol w:w="600"/>
        <w:gridCol w:w="602"/>
        <w:gridCol w:w="109"/>
        <w:gridCol w:w="109"/>
        <w:gridCol w:w="157"/>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Accelerated filer</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21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Smaller reporting company</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1802"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color w:val="000000"/>
                <w:sz w:val="16"/>
              </w:rPr>
              <w:t>Emerging growth company</w:t>
            </w:r>
            <w:r>
              <w:rPr>
                <w:color w:val="000000"/>
              </w:rPr>
              <w:t xml:space="preserve"> </w:t>
            </w:r>
          </w:p>
        </w:tc>
        <w:tc>
          <w:tcPr>
            <w:tcW w:w="375"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lineRule="auto" w:line="288" w:before="0" w:after="12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r>
        <w:rPr>
          <w:color w:val="000000"/>
        </w:rPr>
        <w:t>☒</w:t>
      </w:r>
    </w:p>
    <w:p>
      <w:pPr>
        <w:pStyle w:val="TextBody"/>
        <w:bidi w:val="0"/>
        <w:spacing w:lineRule="auto" w:line="288" w:before="0" w:after="12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12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12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12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common shares held by non-affiliates of the registrant as of June 30, 2023, computed by reference to the closing sales price on the NASDAQ Global Select Market on that date, was approximately $669,576,597.</w:t>
      </w:r>
    </w:p>
    <w:p>
      <w:pPr>
        <w:pStyle w:val="TextBody"/>
        <w:bidi w:val="0"/>
        <w:spacing w:lineRule="auto" w:line="288"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the registrant’s common shares outstanding was 37,660,083 as of February 27, 2024.</w:t>
      </w:r>
    </w:p>
    <w:p>
      <w:pPr>
        <w:pStyle w:val="TextBody"/>
        <w:bidi w:val="0"/>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James River Group Holdings, Ltd. Proxy Statement for the 2024 Annual General Meeting of Shareholders may be incorporated by reference into Part III hereof. Alternatively, such Part III information may be filed by James River Group Holdings, Ltd. by an amendment to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tbl>
      <w:tblPr>
        <w:tblW w:w="10205" w:type="dxa"/>
        <w:jc w:val="right"/>
        <w:tblInd w:w="0" w:type="dxa"/>
        <w:tblLayout w:type="fixed"/>
        <w:tblCellMar>
          <w:top w:w="28" w:type="dxa"/>
          <w:left w:w="28" w:type="dxa"/>
          <w:bottom w:w="28" w:type="dxa"/>
          <w:right w:w="28" w:type="dxa"/>
        </w:tblCellMar>
      </w:tblPr>
      <w:tblGrid>
        <w:gridCol w:w="281"/>
        <w:gridCol w:w="247"/>
        <w:gridCol w:w="249"/>
        <w:gridCol w:w="3055"/>
        <w:gridCol w:w="2934"/>
        <w:gridCol w:w="2925"/>
        <w:gridCol w:w="149"/>
        <w:gridCol w:w="149"/>
        <w:gridCol w:w="216"/>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3">
              <w:r>
                <w:rPr>
                  <w:rStyle w:val="InternetLink"/>
                  <w:rFonts w:ascii="Times New Roman;sans-serif" w:hAnsi="Times New Roman;sans-serif"/>
                  <w:b w:val="false"/>
                  <w:color w:val="0000FF"/>
                  <w:sz w:val="20"/>
                  <w:u w:val="single"/>
                </w:rPr>
                <w:t>PART I</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2e242ce95bf441e9bfd64c4176f339b2_13">
              <w:r>
                <w:rPr>
                  <w:rStyle w:val="InternetLink"/>
                  <w:rFonts w:ascii="Times New Roman;sans-serif" w:hAnsi="Times New Roman;sans-serif"/>
                  <w:b w:val="false"/>
                  <w:color w:val="0000FF"/>
                  <w:sz w:val="20"/>
                  <w:u w:val="single"/>
                </w:rPr>
                <w:t>5</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6">
              <w:r>
                <w:rPr>
                  <w:rStyle w:val="InternetLink"/>
                  <w:rFonts w:ascii="Times New Roman;sans-serif" w:hAnsi="Times New Roman;sans-serif"/>
                  <w:b w:val="false"/>
                  <w:color w:val="0000FF"/>
                  <w:sz w:val="20"/>
                  <w:u w:val="single"/>
                </w:rPr>
                <w:t>Item 1.</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6">
              <w:r>
                <w:rPr>
                  <w:rStyle w:val="InternetLink"/>
                  <w:rFonts w:ascii="Times New Roman;sans-serif" w:hAnsi="Times New Roman;sans-serif"/>
                  <w:b w:val="false"/>
                  <w:color w:val="0000FF"/>
                  <w:sz w:val="20"/>
                  <w:u w:val="single"/>
                </w:rPr>
                <w:t>BUSINESS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16">
              <w:r>
                <w:rPr>
                  <w:rStyle w:val="InternetLink"/>
                  <w:rFonts w:ascii="Times New Roman;sans-serif" w:hAnsi="Times New Roman;sans-serif"/>
                  <w:b w:val="false"/>
                  <w:color w:val="0000FF"/>
                  <w:sz w:val="20"/>
                  <w:u w:val="single"/>
                </w:rPr>
                <w:t>5</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9">
              <w:r>
                <w:rPr>
                  <w:rStyle w:val="InternetLink"/>
                  <w:rFonts w:ascii="Times New Roman;sans-serif" w:hAnsi="Times New Roman;sans-serif"/>
                  <w:b w:val="false"/>
                  <w:color w:val="0000FF"/>
                  <w:sz w:val="20"/>
                  <w:u w:val="single"/>
                </w:rPr>
                <w:t>Item 1A.</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9">
              <w:r>
                <w:rPr>
                  <w:rStyle w:val="InternetLink"/>
                  <w:rFonts w:ascii="Times New Roman;sans-serif" w:hAnsi="Times New Roman;sans-serif"/>
                  <w:b w:val="false"/>
                  <w:color w:val="0000FF"/>
                  <w:sz w:val="20"/>
                  <w:u w:val="single"/>
                </w:rPr>
                <w:t>RISK FACTORS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19">
              <w:r>
                <w:rPr>
                  <w:rStyle w:val="InternetLink"/>
                  <w:rFonts w:ascii="Times New Roman;sans-serif" w:hAnsi="Times New Roman;sans-serif"/>
                  <w:b w:val="false"/>
                  <w:color w:val="0000FF"/>
                  <w:sz w:val="20"/>
                  <w:u w:val="single"/>
                </w:rPr>
                <w:t>37</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2">
              <w:r>
                <w:rPr>
                  <w:rStyle w:val="InternetLink"/>
                  <w:rFonts w:ascii="Times New Roman;sans-serif" w:hAnsi="Times New Roman;sans-serif"/>
                  <w:b w:val="false"/>
                  <w:color w:val="0000FF"/>
                  <w:sz w:val="20"/>
                  <w:u w:val="single"/>
                </w:rPr>
                <w:t>Item 1B.</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2">
              <w:r>
                <w:rPr>
                  <w:rStyle w:val="InternetLink"/>
                  <w:rFonts w:ascii="Times New Roman;sans-serif" w:hAnsi="Times New Roman;sans-serif"/>
                  <w:b w:val="false"/>
                  <w:color w:val="0000FF"/>
                  <w:sz w:val="20"/>
                  <w:u w:val="single"/>
                </w:rPr>
                <w:t>UNRESOLVED STAFF COMMENTS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22">
              <w:r>
                <w:rPr>
                  <w:rStyle w:val="InternetLink"/>
                  <w:rFonts w:ascii="Times New Roman;sans-serif" w:hAnsi="Times New Roman;sans-serif"/>
                  <w:b w:val="false"/>
                  <w:color w:val="0000FF"/>
                  <w:sz w:val="20"/>
                  <w:u w:val="single"/>
                </w:rPr>
                <w:t>66</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747">
              <w:r>
                <w:rPr>
                  <w:rStyle w:val="InternetLink"/>
                  <w:rFonts w:ascii="Times New Roman;sans-serif" w:hAnsi="Times New Roman;sans-serif"/>
                  <w:b w:val="false"/>
                  <w:color w:val="0000FF"/>
                  <w:sz w:val="20"/>
                  <w:u w:val="single"/>
                </w:rPr>
                <w:t>Item 1C.</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747">
              <w:r>
                <w:rPr>
                  <w:rStyle w:val="InternetLink"/>
                  <w:rFonts w:ascii="Times New Roman;sans-serif" w:hAnsi="Times New Roman;sans-serif"/>
                  <w:b w:val="false"/>
                  <w:color w:val="0000FF"/>
                  <w:sz w:val="20"/>
                  <w:u w:val="single"/>
                </w:rPr>
                <w:t>CYBERSECURITY</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1747">
              <w:r>
                <w:rPr>
                  <w:rStyle w:val="InternetLink"/>
                  <w:rFonts w:ascii="Times New Roman;sans-serif" w:hAnsi="Times New Roman;sans-serif"/>
                  <w:b w:val="false"/>
                  <w:color w:val="0000FF"/>
                  <w:sz w:val="20"/>
                  <w:u w:val="single"/>
                </w:rPr>
                <w:t>67</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5">
              <w:r>
                <w:rPr>
                  <w:rStyle w:val="InternetLink"/>
                  <w:rFonts w:ascii="Times New Roman;sans-serif" w:hAnsi="Times New Roman;sans-serif"/>
                  <w:b w:val="false"/>
                  <w:color w:val="0000FF"/>
                  <w:sz w:val="20"/>
                  <w:u w:val="single"/>
                </w:rPr>
                <w:t>Item 2.</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5">
              <w:r>
                <w:rPr>
                  <w:rStyle w:val="InternetLink"/>
                  <w:rFonts w:ascii="Times New Roman;sans-serif" w:hAnsi="Times New Roman;sans-serif"/>
                  <w:b w:val="false"/>
                  <w:color w:val="0000FF"/>
                  <w:sz w:val="20"/>
                  <w:u w:val="single"/>
                </w:rPr>
                <w:t>PROPERTIES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25">
              <w:r>
                <w:rPr>
                  <w:rStyle w:val="InternetLink"/>
                  <w:rFonts w:ascii="Times New Roman;sans-serif" w:hAnsi="Times New Roman;sans-serif"/>
                  <w:b w:val="false"/>
                  <w:color w:val="0000FF"/>
                  <w:sz w:val="20"/>
                  <w:u w:val="single"/>
                </w:rPr>
                <w:t>68</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8">
              <w:r>
                <w:rPr>
                  <w:rStyle w:val="InternetLink"/>
                  <w:rFonts w:ascii="Times New Roman;sans-serif" w:hAnsi="Times New Roman;sans-serif"/>
                  <w:b w:val="false"/>
                  <w:color w:val="0000FF"/>
                  <w:sz w:val="20"/>
                  <w:u w:val="single"/>
                </w:rPr>
                <w:t>Item 3.</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8">
              <w:r>
                <w:rPr>
                  <w:rStyle w:val="InternetLink"/>
                  <w:rFonts w:ascii="Times New Roman;sans-serif" w:hAnsi="Times New Roman;sans-serif"/>
                  <w:b w:val="false"/>
                  <w:color w:val="0000FF"/>
                  <w:sz w:val="20"/>
                  <w:u w:val="single"/>
                </w:rPr>
                <w:t>LEGAL PROCEEDINGS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28">
              <w:r>
                <w:rPr>
                  <w:rStyle w:val="InternetLink"/>
                  <w:rFonts w:ascii="Times New Roman;sans-serif" w:hAnsi="Times New Roman;sans-serif"/>
                  <w:b w:val="false"/>
                  <w:color w:val="0000FF"/>
                  <w:sz w:val="20"/>
                  <w:u w:val="single"/>
                </w:rPr>
                <w:t>68</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31">
              <w:r>
                <w:rPr>
                  <w:rStyle w:val="InternetLink"/>
                  <w:rFonts w:ascii="Times New Roman;sans-serif" w:hAnsi="Times New Roman;sans-serif"/>
                  <w:b w:val="false"/>
                  <w:color w:val="0000FF"/>
                  <w:sz w:val="20"/>
                  <w:u w:val="single"/>
                </w:rPr>
                <w:t>Item 4.</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31">
              <w:r>
                <w:rPr>
                  <w:rStyle w:val="InternetLink"/>
                  <w:rFonts w:ascii="Times New Roman;sans-serif" w:hAnsi="Times New Roman;sans-serif"/>
                  <w:b w:val="false"/>
                  <w:color w:val="0000FF"/>
                  <w:sz w:val="20"/>
                  <w:u w:val="single"/>
                </w:rPr>
                <w:t>MINE SAFETY DISCLOSURE</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31">
              <w:r>
                <w:rPr>
                  <w:rStyle w:val="InternetLink"/>
                  <w:rFonts w:ascii="Times New Roman;sans-serif" w:hAnsi="Times New Roman;sans-serif"/>
                  <w:b w:val="false"/>
                  <w:color w:val="0000FF"/>
                  <w:sz w:val="20"/>
                  <w:u w:val="single"/>
                </w:rPr>
                <w:t>68</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34">
              <w:r>
                <w:rPr>
                  <w:rStyle w:val="InternetLink"/>
                  <w:rFonts w:ascii="Times New Roman;sans-serif" w:hAnsi="Times New Roman;sans-serif"/>
                  <w:b w:val="false"/>
                  <w:color w:val="0000FF"/>
                  <w:sz w:val="20"/>
                  <w:u w:val="single"/>
                </w:rPr>
                <w:t>PART II</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34">
              <w:r>
                <w:rPr>
                  <w:rStyle w:val="InternetLink"/>
                  <w:rFonts w:ascii="Times New Roman;sans-serif" w:hAnsi="Times New Roman;sans-serif"/>
                  <w:b w:val="false"/>
                  <w:color w:val="0000FF"/>
                  <w:sz w:val="20"/>
                  <w:u w:val="single"/>
                </w:rPr>
                <w:t>69</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37">
              <w:r>
                <w:rPr>
                  <w:rStyle w:val="InternetLink"/>
                  <w:rFonts w:ascii="Times New Roman;sans-serif" w:hAnsi="Times New Roman;sans-serif"/>
                  <w:b w:val="false"/>
                  <w:color w:val="0000FF"/>
                  <w:sz w:val="20"/>
                  <w:u w:val="single"/>
                </w:rPr>
                <w:t>Item 5.</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37">
              <w:r>
                <w:rPr>
                  <w:rStyle w:val="InternetLink"/>
                  <w:rFonts w:ascii="Times New Roman;sans-serif" w:hAnsi="Times New Roman;sans-serif"/>
                  <w:b w:val="false"/>
                  <w:color w:val="0000FF"/>
                  <w:sz w:val="20"/>
                  <w:u w:val="single"/>
                </w:rPr>
                <w:t>69</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40">
              <w:r>
                <w:rPr>
                  <w:rStyle w:val="InternetLink"/>
                  <w:rFonts w:ascii="Times New Roman;sans-serif" w:hAnsi="Times New Roman;sans-serif"/>
                  <w:b w:val="false"/>
                  <w:color w:val="0000FF"/>
                  <w:sz w:val="20"/>
                  <w:u w:val="single"/>
                </w:rPr>
                <w:t>Item 6.</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40">
              <w:r>
                <w:rPr>
                  <w:rStyle w:val="InternetLink"/>
                  <w:rFonts w:ascii="Times New Roman;sans-serif" w:hAnsi="Times New Roman;sans-serif"/>
                  <w:b w:val="false"/>
                  <w:color w:val="0000FF"/>
                  <w:sz w:val="20"/>
                  <w:u w:val="single"/>
                </w:rPr>
                <w:t>[RESERVED]</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40">
              <w:r>
                <w:rPr>
                  <w:rStyle w:val="InternetLink"/>
                  <w:rFonts w:ascii="Times New Roman;sans-serif" w:hAnsi="Times New Roman;sans-serif"/>
                  <w:b w:val="false"/>
                  <w:color w:val="0000FF"/>
                  <w:sz w:val="20"/>
                  <w:u w:val="single"/>
                </w:rPr>
                <w:t>71</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43">
              <w:r>
                <w:rPr>
                  <w:rStyle w:val="InternetLink"/>
                  <w:rFonts w:ascii="Times New Roman;sans-serif" w:hAnsi="Times New Roman;sans-serif"/>
                  <w:b w:val="false"/>
                  <w:color w:val="0000FF"/>
                  <w:sz w:val="20"/>
                  <w:u w:val="single"/>
                </w:rPr>
                <w:t>Item 7.</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43">
              <w:r>
                <w:rPr>
                  <w:rStyle w:val="InternetLink"/>
                  <w:rFonts w:ascii="Times New Roman;sans-serif" w:hAnsi="Times New Roman;sans-serif"/>
                  <w:b w:val="false"/>
                  <w:color w:val="0000FF"/>
                  <w:sz w:val="20"/>
                  <w:u w:val="single"/>
                </w:rPr>
                <w:t>72</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46">
              <w:r>
                <w:rPr>
                  <w:rStyle w:val="InternetLink"/>
                  <w:rFonts w:ascii="Times New Roman;sans-serif" w:hAnsi="Times New Roman;sans-serif"/>
                  <w:b w:val="false"/>
                  <w:color w:val="0000FF"/>
                  <w:sz w:val="20"/>
                  <w:u w:val="single"/>
                </w:rPr>
                <w:t>Item 7A.</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46">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46">
              <w:r>
                <w:rPr>
                  <w:rStyle w:val="InternetLink"/>
                  <w:rFonts w:ascii="Times New Roman;sans-serif" w:hAnsi="Times New Roman;sans-serif"/>
                  <w:b w:val="false"/>
                  <w:color w:val="0000FF"/>
                  <w:sz w:val="20"/>
                  <w:u w:val="single"/>
                </w:rPr>
                <w:t>104</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49">
              <w:r>
                <w:rPr>
                  <w:rStyle w:val="InternetLink"/>
                  <w:rFonts w:ascii="Times New Roman;sans-serif" w:hAnsi="Times New Roman;sans-serif"/>
                  <w:b w:val="false"/>
                  <w:color w:val="0000FF"/>
                  <w:sz w:val="20"/>
                  <w:u w:val="single"/>
                </w:rPr>
                <w:t>Item 8.</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49">
              <w:r>
                <w:rPr>
                  <w:rStyle w:val="InternetLink"/>
                  <w:rFonts w:ascii="Times New Roman;sans-serif" w:hAnsi="Times New Roman;sans-serif"/>
                  <w:b w:val="false"/>
                  <w:color w:val="0000FF"/>
                  <w:sz w:val="20"/>
                  <w:u w:val="single"/>
                </w:rPr>
                <w:t>FINANCIAL STATEMENTS AND SUPPLEMENTARY DATA</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49">
              <w:r>
                <w:rPr>
                  <w:rStyle w:val="InternetLink"/>
                  <w:rFonts w:ascii="Times New Roman;sans-serif" w:hAnsi="Times New Roman;sans-serif"/>
                  <w:b w:val="false"/>
                  <w:color w:val="0000FF"/>
                  <w:sz w:val="20"/>
                  <w:u w:val="single"/>
                </w:rPr>
                <w:t>105</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52">
              <w:r>
                <w:rPr>
                  <w:rStyle w:val="InternetLink"/>
                  <w:rFonts w:ascii="Times New Roman;sans-serif" w:hAnsi="Times New Roman;sans-serif"/>
                  <w:b w:val="false"/>
                  <w:color w:val="0000FF"/>
                  <w:sz w:val="20"/>
                  <w:u w:val="single"/>
                </w:rPr>
                <w:t>Item 9.</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5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52">
              <w:r>
                <w:rPr>
                  <w:rStyle w:val="InternetLink"/>
                  <w:rFonts w:ascii="Times New Roman;sans-serif" w:hAnsi="Times New Roman;sans-serif"/>
                  <w:b w:val="false"/>
                  <w:color w:val="0000FF"/>
                  <w:sz w:val="20"/>
                  <w:u w:val="single"/>
                </w:rPr>
                <w:t>105</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55">
              <w:r>
                <w:rPr>
                  <w:rStyle w:val="InternetLink"/>
                  <w:rFonts w:ascii="Times New Roman;sans-serif" w:hAnsi="Times New Roman;sans-serif"/>
                  <w:b w:val="false"/>
                  <w:color w:val="0000FF"/>
                  <w:sz w:val="20"/>
                  <w:u w:val="single"/>
                </w:rPr>
                <w:t>Item 9A.</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55">
              <w:r>
                <w:rPr>
                  <w:rStyle w:val="InternetLink"/>
                  <w:rFonts w:ascii="Times New Roman;sans-serif" w:hAnsi="Times New Roman;sans-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55">
              <w:r>
                <w:rPr>
                  <w:rStyle w:val="InternetLink"/>
                  <w:rFonts w:ascii="Times New Roman;sans-serif" w:hAnsi="Times New Roman;sans-serif"/>
                  <w:b w:val="false"/>
                  <w:color w:val="0000FF"/>
                  <w:sz w:val="20"/>
                  <w:u w:val="single"/>
                </w:rPr>
                <w:t>105</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58">
              <w:r>
                <w:rPr>
                  <w:rStyle w:val="InternetLink"/>
                  <w:rFonts w:ascii="Times New Roman;sans-serif" w:hAnsi="Times New Roman;sans-serif"/>
                  <w:b w:val="false"/>
                  <w:color w:val="0000FF"/>
                  <w:sz w:val="20"/>
                  <w:u w:val="single"/>
                </w:rPr>
                <w:t>Item 9B.</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58">
              <w:r>
                <w:rPr>
                  <w:rStyle w:val="InternetLink"/>
                  <w:rFonts w:ascii="Times New Roman;sans-serif" w:hAnsi="Times New Roman;sans-serif"/>
                  <w:b w:val="false"/>
                  <w:color w:val="0000FF"/>
                  <w:sz w:val="20"/>
                  <w:u w:val="single"/>
                </w:rPr>
                <w:t>OTHER INFORMATION</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58">
              <w:r>
                <w:rPr>
                  <w:rStyle w:val="InternetLink"/>
                  <w:rFonts w:ascii="Times New Roman;sans-serif" w:hAnsi="Times New Roman;sans-serif"/>
                  <w:b w:val="false"/>
                  <w:color w:val="0000FF"/>
                  <w:sz w:val="20"/>
                  <w:u w:val="single"/>
                </w:rPr>
                <w:t>106</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61">
              <w:r>
                <w:rPr>
                  <w:rStyle w:val="InternetLink"/>
                  <w:rFonts w:ascii="Times New Roman;sans-serif" w:hAnsi="Times New Roman;sans-serif"/>
                  <w:b w:val="false"/>
                  <w:color w:val="0000FF"/>
                  <w:sz w:val="20"/>
                  <w:u w:val="single"/>
                </w:rPr>
                <w:t>Item 9C.</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61">
              <w:r>
                <w:rPr>
                  <w:rStyle w:val="InternetLink"/>
                  <w:rFonts w:ascii="Times New Roman;sans-serif" w:hAnsi="Times New Roman;sans-serif"/>
                  <w:b w:val="false"/>
                  <w:color w:val="0000FF"/>
                  <w:sz w:val="20"/>
                  <w:u w:val="single"/>
                </w:rPr>
                <w:t>DISCLOSURE REGARDING FOREIGN JURISDICTIONS THAT PREVENT INSPECTIONS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61">
              <w:r>
                <w:rPr>
                  <w:rStyle w:val="InternetLink"/>
                  <w:rFonts w:ascii="Times New Roman;sans-serif" w:hAnsi="Times New Roman;sans-serif"/>
                  <w:b w:val="false"/>
                  <w:color w:val="0000FF"/>
                  <w:sz w:val="20"/>
                  <w:u w:val="single"/>
                </w:rPr>
                <w:t>106</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64">
              <w:r>
                <w:rPr>
                  <w:rStyle w:val="InternetLink"/>
                  <w:rFonts w:ascii="Times New Roman;sans-serif" w:hAnsi="Times New Roman;sans-serif"/>
                  <w:b w:val="false"/>
                  <w:color w:val="0000FF"/>
                  <w:sz w:val="20"/>
                  <w:u w:val="single"/>
                </w:rPr>
                <w:t>PART III</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64">
              <w:r>
                <w:rPr>
                  <w:rStyle w:val="InternetLink"/>
                  <w:rFonts w:ascii="Times New Roman;sans-serif" w:hAnsi="Times New Roman;sans-serif"/>
                  <w:b w:val="false"/>
                  <w:color w:val="0000FF"/>
                  <w:sz w:val="20"/>
                  <w:u w:val="single"/>
                </w:rPr>
                <w:t>107</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67">
              <w:r>
                <w:rPr>
                  <w:rStyle w:val="InternetLink"/>
                  <w:rFonts w:ascii="Times New Roman;sans-serif" w:hAnsi="Times New Roman;sans-serif"/>
                  <w:b w:val="false"/>
                  <w:color w:val="0000FF"/>
                  <w:sz w:val="20"/>
                  <w:u w:val="single"/>
                </w:rPr>
                <w:t>Item 10.</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67">
              <w:r>
                <w:rPr>
                  <w:rStyle w:val="InternetLink"/>
                  <w:rFonts w:ascii="Times New Roman;sans-serif" w:hAnsi="Times New Roman;sans-serif"/>
                  <w:b w:val="false"/>
                  <w:color w:val="0000FF"/>
                  <w:sz w:val="20"/>
                  <w:u w:val="single"/>
                </w:rPr>
                <w:t>DIRECTORS, EXECUTIVE OFFICERS AND CORPORATE GOVERNANCE</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67">
              <w:r>
                <w:rPr>
                  <w:rStyle w:val="InternetLink"/>
                  <w:rFonts w:ascii="Times New Roman;sans-serif" w:hAnsi="Times New Roman;sans-serif"/>
                  <w:b w:val="false"/>
                  <w:color w:val="0000FF"/>
                  <w:sz w:val="20"/>
                  <w:u w:val="single"/>
                </w:rPr>
                <w:t>107</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70">
              <w:r>
                <w:rPr>
                  <w:rStyle w:val="InternetLink"/>
                  <w:rFonts w:ascii="Times New Roman;sans-serif" w:hAnsi="Times New Roman;sans-serif"/>
                  <w:b w:val="false"/>
                  <w:color w:val="0000FF"/>
                  <w:sz w:val="20"/>
                  <w:u w:val="single"/>
                </w:rPr>
                <w:t>Item 11.</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70">
              <w:r>
                <w:rPr>
                  <w:rStyle w:val="InternetLink"/>
                  <w:rFonts w:ascii="Times New Roman;sans-serif" w:hAnsi="Times New Roman;sans-serif"/>
                  <w:b w:val="false"/>
                  <w:color w:val="0000FF"/>
                  <w:sz w:val="20"/>
                  <w:u w:val="single"/>
                </w:rPr>
                <w:t>EXECUTIVE COMPENSATION</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70">
              <w:r>
                <w:rPr>
                  <w:rStyle w:val="InternetLink"/>
                  <w:rFonts w:ascii="Times New Roman;sans-serif" w:hAnsi="Times New Roman;sans-serif"/>
                  <w:b w:val="false"/>
                  <w:color w:val="0000FF"/>
                  <w:sz w:val="20"/>
                  <w:u w:val="single"/>
                </w:rPr>
                <w:t>107</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73">
              <w:r>
                <w:rPr>
                  <w:rStyle w:val="InternetLink"/>
                  <w:rFonts w:ascii="Times New Roman;sans-serif" w:hAnsi="Times New Roman;sans-serif"/>
                  <w:b w:val="false"/>
                  <w:color w:val="0000FF"/>
                  <w:sz w:val="20"/>
                  <w:u w:val="single"/>
                </w:rPr>
                <w:t>Item 12.</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7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73">
              <w:r>
                <w:rPr>
                  <w:rStyle w:val="InternetLink"/>
                  <w:rFonts w:ascii="Times New Roman;sans-serif" w:hAnsi="Times New Roman;sans-serif"/>
                  <w:b w:val="false"/>
                  <w:color w:val="0000FF"/>
                  <w:sz w:val="20"/>
                  <w:u w:val="single"/>
                </w:rPr>
                <w:t>107</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76">
              <w:r>
                <w:rPr>
                  <w:rStyle w:val="InternetLink"/>
                  <w:rFonts w:ascii="Times New Roman;sans-serif" w:hAnsi="Times New Roman;sans-serif"/>
                  <w:b w:val="false"/>
                  <w:color w:val="0000FF"/>
                  <w:sz w:val="20"/>
                  <w:u w:val="single"/>
                </w:rPr>
                <w:t>Item 13.</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7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76">
              <w:r>
                <w:rPr>
                  <w:rStyle w:val="InternetLink"/>
                  <w:rFonts w:ascii="Times New Roman;sans-serif" w:hAnsi="Times New Roman;sans-serif"/>
                  <w:b w:val="false"/>
                  <w:color w:val="0000FF"/>
                  <w:sz w:val="20"/>
                  <w:u w:val="single"/>
                </w:rPr>
                <w:t>107</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79">
              <w:r>
                <w:rPr>
                  <w:rStyle w:val="InternetLink"/>
                  <w:rFonts w:ascii="Times New Roman;sans-serif" w:hAnsi="Times New Roman;sans-serif"/>
                  <w:b w:val="false"/>
                  <w:color w:val="0000FF"/>
                  <w:sz w:val="20"/>
                  <w:u w:val="single"/>
                </w:rPr>
                <w:t>Item 14.</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79">
              <w:r>
                <w:rPr>
                  <w:rStyle w:val="InternetLink"/>
                  <w:rFonts w:ascii="Times New Roman;sans-serif" w:hAnsi="Times New Roman;sans-serif"/>
                  <w:b w:val="false"/>
                  <w:color w:val="0000FF"/>
                  <w:sz w:val="20"/>
                  <w:u w:val="single"/>
                </w:rPr>
                <w:t>PRINCIPAL ACCOUNTANT FEES AND SERVICES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79">
              <w:r>
                <w:rPr>
                  <w:rStyle w:val="InternetLink"/>
                  <w:rFonts w:ascii="Times New Roman;sans-serif" w:hAnsi="Times New Roman;sans-serif"/>
                  <w:b w:val="false"/>
                  <w:color w:val="0000FF"/>
                  <w:sz w:val="20"/>
                  <w:u w:val="single"/>
                </w:rPr>
                <w:t>107</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82">
              <w:r>
                <w:rPr>
                  <w:rStyle w:val="InternetLink"/>
                  <w:rFonts w:ascii="Times New Roman;sans-serif" w:hAnsi="Times New Roman;sans-serif"/>
                  <w:b w:val="false"/>
                  <w:color w:val="0000FF"/>
                  <w:sz w:val="20"/>
                  <w:u w:val="single"/>
                </w:rPr>
                <w:t>PART IV</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82">
              <w:r>
                <w:rPr>
                  <w:rStyle w:val="InternetLink"/>
                  <w:rFonts w:ascii="Times New Roman;sans-serif" w:hAnsi="Times New Roman;sans-serif"/>
                  <w:b w:val="false"/>
                  <w:color w:val="0000FF"/>
                  <w:sz w:val="20"/>
                  <w:u w:val="single"/>
                </w:rPr>
                <w:t>107</w:t>
              </w:r>
            </w:hyperlink>
          </w:p>
        </w:tc>
      </w:tr>
      <w:tr>
        <w:trPr/>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85">
              <w:r>
                <w:rPr>
                  <w:rStyle w:val="InternetLink"/>
                  <w:rFonts w:ascii="Times New Roman;sans-serif" w:hAnsi="Times New Roman;sans-serif"/>
                  <w:b w:val="false"/>
                  <w:color w:val="0000FF"/>
                  <w:sz w:val="20"/>
                  <w:u w:val="single"/>
                </w:rPr>
                <w:t>Item 15.</w:t>
              </w:r>
            </w:hyperlink>
          </w:p>
        </w:tc>
        <w:tc>
          <w:tcPr>
            <w:tcW w:w="8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85">
              <w:r>
                <w:rPr>
                  <w:rStyle w:val="InternetLink"/>
                  <w:rFonts w:ascii="Times New Roman;sans-serif" w:hAnsi="Times New Roman;sans-serif"/>
                  <w:b w:val="false"/>
                  <w:color w:val="0000FF"/>
                  <w:sz w:val="20"/>
                  <w:u w:val="single"/>
                </w:rPr>
                <w:t>EXHIBIT AND FINANCIAL STATEMENT SCHEDULES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85">
              <w:r>
                <w:rPr>
                  <w:rStyle w:val="InternetLink"/>
                  <w:rFonts w:ascii="Times New Roman;sans-serif" w:hAnsi="Times New Roman;sans-serif"/>
                  <w:b w:val="false"/>
                  <w:color w:val="0000FF"/>
                  <w:sz w:val="20"/>
                  <w:u w:val="single"/>
                </w:rPr>
                <w:t>107</w:t>
              </w:r>
            </w:hyperlink>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88">
              <w:r>
                <w:rPr>
                  <w:rStyle w:val="InternetLink"/>
                  <w:rFonts w:ascii="Times New Roman;sans-serif" w:hAnsi="Times New Roman;sans-serif"/>
                  <w:b w:val="false"/>
                  <w:color w:val="0000FF"/>
                  <w:sz w:val="20"/>
                  <w:u w:val="single"/>
                </w:rPr>
                <w:t>Item 16.</w:t>
              </w:r>
            </w:hyperlink>
          </w:p>
        </w:tc>
        <w:tc>
          <w:tcPr>
            <w:tcW w:w="8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88">
              <w:r>
                <w:rPr>
                  <w:rStyle w:val="InternetLink"/>
                  <w:rFonts w:ascii="Times New Roman;sans-serif" w:hAnsi="Times New Roman;sans-serif"/>
                  <w:b w:val="false"/>
                  <w:color w:val="0000FF"/>
                  <w:sz w:val="20"/>
                  <w:u w:val="single"/>
                </w:rPr>
                <w:t>FORM 10-K SUMMARY</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e242ce95bf441e9bfd64c4176f339b2_88">
              <w:r>
                <w:rPr>
                  <w:rStyle w:val="InternetLink"/>
                  <w:rFonts w:ascii="Times New Roman;sans-serif" w:hAnsi="Times New Roman;sans-serif"/>
                  <w:b w:val="false"/>
                  <w:color w:val="0000FF"/>
                  <w:sz w:val="20"/>
                  <w:u w:val="single"/>
                </w:rPr>
                <w:t>112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405"/>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indicates or suggests otherwise, references in this Annual Report on Form 10-K to “the Company,” “we,” “us” and “our” refer to James River Group Holdings, Ltd. and its consolidated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(“Annual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Annual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materially from those expressed in, or implied by, the forward-looking statements included in this Annual Report as a result of various factors, many of which are beyond our control, including, among others: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inherent uncertainty of estimating reserves and the possibility that incurred losses may be greater than our loss and loss adjustment expense reserves;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inaccurate estimates and judgments in our risk management may expose us to greater risks than intended;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downgrades in the financial strength rating or outlook of our regulated insurance subsidiaries impacting our ability to attract and retain insurance business that our subsidiaries write, our competitive position, and our financial condition;</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timing of the, or potential failure to, close the sale by James River Group Holdings, Ltd. of the common shares of JRG Reinsurance Company Ltd. announced on November 8, 2023;</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potential uncertainty regarding the outcome of our exploration of strategic alternatives, and the impacts that it may have on our business;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potential loss of key members of our management team or key employees, and our ability to attract and retain personnel;</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adverse economic factors resulting in the sale of fewer policies than expected or an increase in the frequency or severity of claims, or both;</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impact of a persistent high inflationary environment on our reserves, the values of our investments and investment returns, and our compensation expenses;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exposure to credit risk, interest rate risk and other market risk in our investment portfolio;</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reliance on a select group of brokers and agents for a significant portion of our business and the impact of our potential failure to maintain such relationships;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reliance on a select group of customers for a significant portion of our business and the impact of our potential failure to maintain, or decision to terminate, such relationships;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our ability to obtain reinsurance coverage at prices and on terms that allow us to transfer risk, adequately protect our Company against financial loss and that supports our growth plans;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inadequacy of premiums we charge to compensate us for our losses incurred;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changes in laws or government regulation, including tax or insurance law and regulations;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Company or any of its foreign subsidiaries becoming subject to U.S. federal income taxation;</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 failure of any of the loss limitations or exclusions we utilize to shield us from unanticipated financial losses or legal exposures, or other liabilities;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losses from catastrophic events, such as natural disasters and terrorist acts, which substantially exceed our expectations and/or exceed the amount of reinsurance we have purchased to protect us from such events;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potential effects on our business of emerging claim and coverage issues;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potential impact of internal or external fraud, operational errors, systems malfunctions or cyber security incidents;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our ability to manage our growth effectively;</w:t>
      </w:r>
    </w:p>
    <w:p>
      <w:pPr>
        <w:pStyle w:val="TextBody"/>
        <w:bidi w:val="0"/>
        <w:spacing w:lineRule="auto" w:line="288" w:before="0" w:after="120"/>
        <w:ind w:left="0" w:right="0" w:hanging="360"/>
        <w:jc w:val="left"/>
        <w:rPr/>
      </w:pPr>
      <w:r>
        <w:rPr>
          <w:color w:val="000000"/>
        </w:rPr>
        <w:t>•    </w:t>
      </w:r>
      <w:r>
        <w:rPr>
          <w:rFonts w:ascii="Times New Roman;sans-serif" w:hAnsi="Times New Roman;sans-serif"/>
          <w:b w:val="false"/>
          <w:color w:val="000000"/>
          <w:sz w:val="20"/>
        </w:rPr>
        <w:t>failure to maintain effective internal controls in accordance with the Sarbanes-Oxley Act of 2002, as amended (“Sarbanes-Oxley”);</w:t>
      </w:r>
      <w:r>
        <w:rPr>
          <w:color w:val="000000"/>
        </w:rPr>
        <w:t xml:space="preserve"> </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 xml:space="preserve">changes in our financial condition, regulations or other factors that may restrict our subsidiaries’ ability to pay us dividends; </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an adverse result in any litigation or legal proceedings we are or may become subject to; and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other risks and uncertainties discussed under “Risk Factors” and elsewhere in this Annual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you should read this Annual Report completely and with the understanding that our actual future results may be materially different from what we expect.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Annual Report. Except as expressly required under federal securities laws and the rules and regulations of the SEC, we do not have any obligation, and do not undertake, to update any forward-looking statements to reflect events or circumstances arising after the date of this Annual Report, whether as a result of new information or future events or otherwise. You should not place undue reliance on the forward-looking statements included in this Annual Report or that may be made elsewhere from time to time by us, or on our behalf. All forward-looking statements attributable to us are expressly qualified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is a Bermuda-based holding company. We own and operate a group of specialty insurance companies focused on underwriting small and middle market casualty risks within the U.S. excess and surplus (“E&amp;S”) lines market. For the year ended December 31, 2023, approximately 71.7% of our gross written premiums and 85.8% of our net written premiums from continuing operations originated from the E&amp;S lines market, which we believe puts us among the top three publicly traded insurers as ranked by highest concentrations of E&amp;S risk. Substantially all of our business is casualty insurance, and for the year ended December 31, 2023, 95.7% of our gross written premiums from continuing operations were derived from casualty insurance. Our objective is to generate compelling returns on tangible equity, while limiting underwriting and investment volatility. We seek to accomplish this by earning profits from insurance underwriting and generating meaningful risk-adjusted investment returns, while managing our capital.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write very little property or catastrophe insurance and no property catastrophe reinsurance. For the year ended December 31, 2023, property insurance represented 4.3% of our gross written premiums from continuing operations. When we do write property insurance, we buy reinsurance to significantly mitigate our risk. We have structured our reinsurance arrangements so that our modeled net pre-tax loss from a 1/1000 year probable maximum loss ("PML") event would not exceed 2.5% of shareholders’ equity on a group-wide basis, inclusive of reinstatement premiums payable and net retentions.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we undertook several strategic actions to focus our business around our higher returning U.S. insurance businesses. Our continuing operations are now comprised of two operating segments, Excess and Surplus Lines and Specialty Admitted Insurance, and a third segment, Corporate and Other.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sells E&amp;S commercial lines liability and property insurance in every U.S. state and the District of Columbia through James River Insurance Company (“James River Insurance”) and its wholly-owned subsidiary, James River Casualty Company (“James River Casualty”). The Excess and Surplus Lines segment produced 66.8% of our gross written premiums and 85.0% of our net written premiums from continuing operations for the year ended December 31, 2023.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and delays associated with the filing of such changes with state regulators and seeking approval for the filings. In 2023, the average account in this segment (excluding commercial auto policies) generated annual gross written premiums of approximately $26,000. The Excess and Surplus Lines segment distributes primarily through wholesale insurance brokers. Members of our management team have participated in this market for over three decades and have long-standing relationships with the wholesale brokers who place E&amp;S lines accounts.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Specialty Admitted Insurance segment has admitted licenses and the authority to write excess and surplus lines insurance in 50 states and the District of Columbia through Falls Lake National Insurance Company (“Falls Lake National”) and its wholly-owned subsidiaries, Stonewood Insurance Company (“Stonewood Insurance”) and Falls Lake Fire and Casualty Company (“Falls Lake Fire and Casualty”). The Specialty Admitted Insurance segment produced 33.2% of our gross written premiums and 15.0% of our net written premiums from continuing operations for the year ended December 31, 2023. The Specialty Admitted Insurance segment primarily writes fronting business where we retain a minority share of the risk, generally 10%-35%, and seek to earn fee income. When we front, we use our legal authority, financial strength rating, underwriting experience and claims infrastructure to write insurance to service clients (usually managing general agents and reinsurers) who assume the vast majority of the risk on each fronted policy. Because we retain little premium or risk in our fronted business, we can allocate less capital per dollar of revenue to fronted policies than to policies where we retain more risk, which we believe enhances our returns on equity. We have also written a select book of Individual Risk Workers’ Compensation (“IRWC”) coverage for building trades, healthcare employees and light manufacturing, among other light to medium hazard risks in select U.S. states. In 2023, the Company took actions to reduce its workers' compensation book by non-renewing its large California workers' compensation program and by closing on an agreement to sell the renewal rights to the IRWC business. The Specialty Admitted Insurance segment accepts applications for insurance from a variety of sources, including fronting and program administrators, managing general agents (“MGAs”), and independent retail agents.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Corporate and Other segment consists of the management and treasury activities of our holding companies, equity compensation for the group, and interest expense associated with our debt.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discontinued operations include JRG Re, which comprises the remaining operations of the former Casualty Reinsurance segment, and which, prior to the suspension of its underwriting activities in 2023, provided proportional and working layer casualty reinsurance to third parties. On November 8, 2023, the Company entered into a definitive agreement to sell JRG Re. The sale transaction is expected to close in the first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wrote $1,508.7 million of gross written premiums from continuing operations, allocated by segment and underlying market as follows:</w:t>
      </w:r>
    </w:p>
    <w:tbl>
      <w:tblPr>
        <w:tblW w:w="6976" w:type="dxa"/>
        <w:jc w:val="left"/>
        <w:tblInd w:w="0" w:type="dxa"/>
        <w:tblLayout w:type="fixed"/>
        <w:tblCellMar>
          <w:top w:w="28" w:type="dxa"/>
          <w:left w:w="28" w:type="dxa"/>
          <w:bottom w:w="28" w:type="dxa"/>
          <w:right w:w="28" w:type="dxa"/>
        </w:tblCellMar>
      </w:tblPr>
      <w:tblGrid>
        <w:gridCol w:w="1171"/>
        <w:gridCol w:w="1033"/>
        <w:gridCol w:w="1036"/>
        <w:gridCol w:w="109"/>
        <w:gridCol w:w="109"/>
        <w:gridCol w:w="109"/>
        <w:gridCol w:w="310"/>
        <w:gridCol w:w="1435"/>
        <w:gridCol w:w="160"/>
        <w:gridCol w:w="109"/>
        <w:gridCol w:w="109"/>
        <w:gridCol w:w="109"/>
        <w:gridCol w:w="307"/>
        <w:gridCol w:w="309"/>
        <w:gridCol w:w="561"/>
      </w:tblGrid>
      <w:tr>
        <w:trPr/>
        <w:tc>
          <w:tcPr>
            <w:tcW w:w="117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Written Premiums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Written Premiums</w:t>
              <w:br/>
              <w:t>Year Ended</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501,309 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1,508,660 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Written Premiums by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Non-admitted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1,081,830 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Admitted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40" w:type="dxa"/>
            <w:gridSpan w:val="3"/>
            <w:tcBorders>
              <w:top w:val="single" w:sz="8" w:space="0" w:color="CCEE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1,508,660 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 Best Company (“A.M. Best”) financial strength rating for our group’s regulated U.S. subsidiaries is “A-” (Excellent). This rating reflects A.M. Best’s evaluation of our U.S. subsidiaries’ financial strength, operating performance and ability to meet obligations to policyholders and is not an evaluation directed towards the protection of investors. The rating for our U.S. operating companies of “A-” (Excellent)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subsidiaries allows them to actively pursue relationships with the agents and brokers identified in their marketing plans.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On December 20, 2023, A.M. Best announced that it revised the outlook on our financial strength rating from stable to negative on our U.S. subsidiaries. Also, on December 20, 2023, A.M. Best announced that it downgraded the financial strength rating of JRG Re from </w:t>
      </w:r>
      <w:r>
        <w:rPr>
          <w:color w:val="000000"/>
          <w:shd w:fill="FFFFFF" w:val="clear"/>
        </w:rPr>
        <w:t>“</w:t>
      </w:r>
      <w:r>
        <w:rPr>
          <w:rFonts w:ascii="Times New Roman;sans-serif" w:hAnsi="Times New Roman;sans-serif"/>
          <w:b w:val="false"/>
          <w:color w:val="000000"/>
          <w:sz w:val="20"/>
          <w:shd w:fill="FFFFFF" w:val="clear"/>
        </w:rPr>
        <w:t xml:space="preserve">A-” (Excellent) with a stable outlook to "B++" (good) with a negative outlook. A.M. Best announced that the ratings actions follow our announcements in November 2023 that we identified a material weakness in our internal control over financial reporting, that we entered into an agreement to sell JRG Re, and that we are exploring strategic alternatives for the Company. A.M. Best indicated that the negative outlook reflects the uncertainty that the actions will have on our organization, and reflects the execution risk associated with some of these initiatives. A.M. Best further announced that the ratings actions on JRG Re was based upon A.M. Best's view that JRG Re is less integral to our strategic, operational and financial objectives, as a result of our determination to suspend underwriting in our former casualty reinsurance segment, and our agreement to sell JRG Re at 75% of the book value, valued at September 30, 2023. </w:t>
      </w:r>
      <w:r>
        <w:rPr>
          <w:rFonts w:ascii="Times New Roman;sans-serif" w:hAnsi="Times New Roman;sans-serif"/>
          <w:b w:val="false"/>
          <w:color w:val="000000"/>
          <w:sz w:val="20"/>
        </w:rPr>
        <w:t xml:space="preserve">The Company has remediated the material weakness </w:t>
      </w:r>
      <w:r>
        <w:rPr>
          <w:rFonts w:ascii="Times New Roman;sans-serif" w:hAnsi="Times New Roman;sans-serif"/>
          <w:b w:val="false"/>
          <w:color w:val="000000"/>
          <w:sz w:val="20"/>
          <w:shd w:fill="FFFFFF" w:val="clear"/>
        </w:rPr>
        <w:t>in our internal control over financial reporting</w:t>
      </w:r>
      <w:r>
        <w:rPr>
          <w:color w:val="000000"/>
        </w:rPr>
        <w:t xml:space="preserve"> </w:t>
      </w:r>
      <w:r>
        <w:rPr>
          <w:rFonts w:ascii="Times New Roman;sans-serif" w:hAnsi="Times New Roman;sans-serif"/>
          <w:b w:val="false"/>
          <w:color w:val="000000"/>
          <w:sz w:val="20"/>
        </w:rPr>
        <w:t xml:space="preserve">as of December 31, 2023 (see Item 9A. - Remediated Material Weakness).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History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2002, a group of experienced insurance executives created James River Group, Inc. (“James River Group”). James River Group was listed on the NASDAQ Stock Market (symbol: JRVR) in 2005. James River Group had two insurance company subsidiaries, James River Insurance and Stonewood Insurance. Both of these subsidiaries as well as James River Group remain subsidiaries of ours.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2007, a group of investors acquired James River Group, at which point it ceased trading as a public company. Simultaneously, the investors and management founded and capitalized JRG Re to begin providing reinsurance to third parties and our U.S.-based insurance subsidiaries.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2014, we completed an initial public offering of our common shares (the “IPO”). Institutional investors sold all of the common shares in the IPO. Neither the Company nor any of its management or other shareholders sold shares in the IPO.</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announced an agreement to sell JRG Re. The sale, which is expected to close in the first quarter of 2024, allows us to focus on growing our U.S. insurance and fronting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have the following competitive strengths: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Broad Underwriting Expertise.</w:t>
      </w:r>
      <w:r>
        <w:rPr>
          <w:color w:val="000000"/>
        </w:rPr>
        <w:t>   </w:t>
      </w:r>
      <w:r>
        <w:rPr>
          <w:rFonts w:ascii="Times New Roman;sans-serif" w:hAnsi="Times New Roman;sans-serif"/>
          <w:b w:val="false"/>
          <w:color w:val="000000"/>
          <w:sz w:val="20"/>
        </w:rPr>
        <w:t>We strive to be innovative in tailoring our products to provide solutions for our distribution partners and insureds, and we are willing to entertain insuring many types of risk classifications. As a result, we believe we are a “go to” market for a wide variety of risks. We are able to structure solutions for our insureds and the wholesale brokers with whom we work because of our deep technical expertise and experience in the niches and specialties we underwrite.</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Focus on Small and Medium-Sized Casualty Niche and Specialty Business.</w:t>
      </w:r>
      <w:r>
        <w:rPr>
          <w:color w:val="000000"/>
        </w:rPr>
        <w:t>   </w:t>
      </w:r>
      <w:r>
        <w:rPr>
          <w:rFonts w:ascii="Times New Roman;sans-serif" w:hAnsi="Times New Roman;sans-serif"/>
          <w:b w:val="false"/>
          <w:color w:val="000000"/>
          <w:sz w:val="20"/>
        </w:rPr>
        <w:t>We believe that small and medium-sized casualty accounts, in niche areas where we focus, are consistently among the most attractive subsets of the property-casualty insurance and reinsurance market. We think the unique characteristics of the risks within these markets require each account to be individually underwritten in an efficient manner.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carriers have chosen either to reject business that requires individual underwriting or have attempted to automate the underwriting of this highly variable business. Since our inception, we have embraced technology to greatly reduce the cost of individually underwriting these accounts in our Excess and Surplus Lines and Specialty Admitted Insurance segments. We are investing in technologies that may bring additional insights to our underwriters and allow them to refine and improve their risk selection and pricing. We continue to have our underwriters make individual judgments regarding the underwriting and pricing of accounts. Our experience leads us to believe this approach, combining expert judgment and technology designed to provide our underwriters with relevant information and quick processing, is more likely to produce consistent results over time and across markets. We are successfully increasing rates in our Excess and Surplus Lines segment. Pricing on our E&amp;S renewal book has increased for twenty-eight consecutive quarters. The Excess and Surplus Lines segment represented 66.8% of our gross written premiums and 85.0% of our net written premiums from continuing operations for the year ended December 31, 2023. We believe that there are compelling opportunities for measured but profitable growth in many sectors of the insurance markets we target.</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Emphasis on Lowering Volatility.</w:t>
      </w:r>
      <w:r>
        <w:rPr>
          <w:color w:val="000000"/>
        </w:rPr>
        <w:t>   </w:t>
      </w:r>
      <w:r>
        <w:rPr>
          <w:rFonts w:ascii="Times New Roman;sans-serif" w:hAnsi="Times New Roman;sans-serif"/>
          <w:b w:val="false"/>
          <w:color w:val="000000"/>
          <w:sz w:val="20"/>
        </w:rPr>
        <w:t>We earn our profits by taking underwriting and investment risk. We underwrite many classes of insurance and invest in many types of assets. We believe we have minimal exposure to material property risks and did not have meaningful losses from property risks during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limit our catastrophic underwriting exposure in all areas, but in particular to property risks and catastrophic events. Our U.S. primary companies purchase reinsurance from unaffiliated reinsurers to reduce our net exposure to any one risk or occurrence. In addition, our policy forms and pricing are subject to regular formal analysis in an effort to ensure we are insuring the types of risks we intend and that we are being appropriately compensated for taking on those risks.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Talented Underwriters and Operating Leadership.</w:t>
      </w:r>
      <w:r>
        <w:rPr>
          <w:color w:val="000000"/>
        </w:rPr>
        <w:t>   </w:t>
      </w:r>
      <w:r>
        <w:rPr>
          <w:rFonts w:ascii="Times New Roman;sans-serif" w:hAnsi="Times New Roman;sans-serif"/>
          <w:b w:val="false"/>
          <w:color w:val="000000"/>
          <w:sz w:val="20"/>
        </w:rPr>
        <w:t>The managers of our 15 underwriting divisions have an average of over 25 years of industry experience, substantial subject matter expertise and deep technical knowledge. They have been successful and profitable underwriters for us in the specialty casualty insurance sector. Our segment presidents both have extensive backgrounds and histories working in management capacities in specialty casualty insurance. Our Chief Actuary, Chief U.S. Claims Officer and Chief Underwriting Officer have extensive backgrounds in operational leadership within specialty casualty insurance, including a deep focus on risk management.</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Efficient Operating Platform.</w:t>
      </w:r>
      <w:r>
        <w:rPr>
          <w:color w:val="000000"/>
        </w:rPr>
        <w:t>   </w:t>
      </w:r>
      <w:r>
        <w:rPr>
          <w:rFonts w:ascii="Times New Roman;sans-serif" w:hAnsi="Times New Roman;sans-serif"/>
          <w:b w:val="false"/>
          <w:color w:val="000000"/>
          <w:sz w:val="20"/>
        </w:rPr>
        <w:t>We have what we believe to be an extremely attractive expense ratio, as we carefully manage personnel and all other costs throughout our group while growing our business. For the year ended December 31, 2023, our expense ratio was 26.6%.</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Robust Technology and Data Capture.</w:t>
      </w:r>
      <w:r>
        <w:rPr>
          <w:color w:val="000000"/>
        </w:rPr>
        <w:t>   </w:t>
      </w:r>
      <w:r>
        <w:rPr>
          <w:rFonts w:ascii="Times New Roman;sans-serif" w:hAnsi="Times New Roman;sans-serif"/>
          <w:b w:val="false"/>
          <w:color w:val="000000"/>
          <w:sz w:val="20"/>
        </w:rPr>
        <w:t>We seek to ground our underwriting decisions in reliable historical data and technical evaluation of risks. Our underwriters utilize intuitive systems and differentiated technologies. We have implemented processes to capture extensive data from our book of business, before, during and after the underwriting analysis and decision. We use the data we collect to inform and, we believe, improve our judgment about similar risks as we refine our underwriting criteria. We use the data we collect in regular formal review processes for each of our lines of business.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Active Claims Management.</w:t>
      </w:r>
      <w:r>
        <w:rPr>
          <w:color w:val="000000"/>
        </w:rPr>
        <w:t>   </w:t>
      </w:r>
      <w:r>
        <w:rPr>
          <w:rFonts w:ascii="Times New Roman;sans-serif" w:hAnsi="Times New Roman;sans-serif"/>
          <w:b w:val="false"/>
          <w:color w:val="000000"/>
          <w:sz w:val="20"/>
        </w:rPr>
        <w:t>Our U.S.-based primary insurance companies actively manage claims. We attempt to investigate thoroughly and settle promptly all covered claims, which we generally accomplish through direct contact with the insured and other affected parties. We have historically been able to close approximately 95% of claims from a particular policy year within the five subsequent years, and as of December 31, 2023, our reserves for claims incurred but not reported (“IBNR”) for our continuing operations were 72.0% of total net loss reserves.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Meaningful Risk Adjusted Investment Returns.</w:t>
      </w:r>
      <w:r>
        <w:rPr>
          <w:color w:val="000000"/>
        </w:rPr>
        <w:t>   </w:t>
      </w:r>
      <w:r>
        <w:rPr>
          <w:rFonts w:ascii="Times New Roman;sans-serif" w:hAnsi="Times New Roman;sans-serif"/>
          <w:b w:val="false"/>
          <w:color w:val="000000"/>
          <w:sz w:val="20"/>
        </w:rPr>
        <w:t xml:space="preserve">We seek to generate meaningful contributions to company profitability from our investment portfolio. We attempt to follow a strategy that emphasizes the preservation of our invested assets, provides adequate liquidity for the prompt payment of claims and produces attractive results for our shareholders. Within that context, we seek to improve risk-adjusted returns in our investment portfolio by allocating a portion of our portfolio to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where we take measured risks based upon detailed knowledge of certain niche asset classes. Investment grade fixed maturity securities make up the majority of our investment portfolio, and we are comfortable allocating a portion of our assets to non-traditional investments. We consider non-traditional investments to include investments that are (1) unrated bond or fixed income securities, (2) non-listed equities or (3) investments that generally have less liquidity than rated bond or fixed income securities or listed equities. Non-traditional investments represented 9.6% of our total cash and invested assets (excluding restricted cash equivalents) at December 31, 2023, consisting of syndicated bank loans (7.9%) and other invested assets (1.7%) that include interests in limited liability companies that invest in renewable energy opportunities, limited partnerships that invest in debt or equity securities, and notes receivable for renewable energy projects. While we are willing to make investments in non-traditional types of investments, we seek to avoid asset classes and investments that we do not understand. The weighted average credit rating of our portfolio of fixed maturity securities, bank loans and preferred stocks as of December 31, 2023 was “A”. At December 31, 2023, the average duration of our total invested assets and cash, excluding restricted cash, was 3.6 years.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approach to our business will help us achieve our goal of generating compelling returns on tangible equity while limiting volatility in our financial results. This approach involves the following:</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Generate Consistent Underwriting Profits.</w:t>
      </w:r>
      <w:r>
        <w:rPr>
          <w:color w:val="000000"/>
        </w:rPr>
        <w:t>   </w:t>
      </w:r>
      <w:r>
        <w:rPr>
          <w:rFonts w:ascii="Times New Roman;sans-serif" w:hAnsi="Times New Roman;sans-serif"/>
          <w:b w:val="false"/>
          <w:color w:val="000000"/>
          <w:sz w:val="20"/>
        </w:rPr>
        <w:t>We seek to make underwriting profits each and every year. We attempt to find ways to grow in markets we believe to be profitable, but are less concerned about growth than maintaining profitability in our underwriting activities (measured without regard to investment income). We are willing to reduce the premiums we write when we cannot achieve the pricing and contract terms we believe are necessary to meet our financial goals.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Maintain a Strong Balance Sheet.</w:t>
      </w:r>
      <w:r>
        <w:rPr>
          <w:color w:val="000000"/>
        </w:rPr>
        <w:t>   </w:t>
      </w:r>
      <w:r>
        <w:rPr>
          <w:rFonts w:ascii="Times New Roman;sans-serif" w:hAnsi="Times New Roman;sans-serif"/>
          <w:b w:val="false"/>
          <w:color w:val="000000"/>
          <w:sz w:val="20"/>
        </w:rPr>
        <w:t>Balance sheet integrity is key to our long-term success. In order to maintain balance sheet integrity, we seek to estimate the amount of future obligations, especially reserves for losses and loss adjustment expenses, in a consistent and appropriate fashion.</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 xml:space="preserve">Respond Rapidly to Market Opportunities and Challenges. </w:t>
      </w:r>
      <w:r>
        <w:rPr>
          <w:color w:val="000000"/>
        </w:rPr>
        <w:t>  </w:t>
      </w:r>
      <w:r>
        <w:rPr>
          <w:rFonts w:ascii="Times New Roman;sans-serif" w:hAnsi="Times New Roman;sans-serif"/>
          <w:b w:val="false"/>
          <w:color w:val="000000"/>
          <w:sz w:val="20"/>
        </w:rPr>
        <w:t>For the year ended December 31, 2023, gross written premiums for the Excess and Surplus Lines segment increased by 9.4% over the same period in 2022. We seek to grow our business by taking advantage of opportunities in markets in which we believe we can use our expertise to generate consistent underwriting profits. We seek to measure rates and react quickly to changes in the rates or terms the market will accept. In this favorable pricing environment, we have taken steps to grow and are increasing gross written premiums across most underwriting divisions in this segment. In 2023, our growth was primarily focused in our Excess Casualty, General Casualty, Manufacturers &amp; Contractors, and Excess Property divisions within our Excess and Surplus Lines segment. This very specific evaluation of each risk or class of risks is a hallmark of our underwriting.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When market conditions have been challenging, or when actual experience has not been as favorable as we anticipated, or when the size or risk profile of certain insureds or lines of business change, we have tried to act quickly to evaluate our situation and to make course corrections in order to protect our profits and preserve tangible equity. Our actions have included reducing our writings when margins tightened and exiting lines or classes of business when we believed the risk of continuing in a line outweighed the potential rewards from underwriting. We do not hesitate to increase loss estimates when we determine that it is appropriate.</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Focus on Specialty Insurance Markets and Fee Income.</w:t>
      </w:r>
      <w:r>
        <w:rPr>
          <w:color w:val="000000"/>
        </w:rPr>
        <w:t>   </w:t>
      </w:r>
      <w:r>
        <w:rPr>
          <w:rFonts w:ascii="Times New Roman;sans-serif" w:hAnsi="Times New Roman;sans-serif"/>
          <w:b w:val="false"/>
          <w:color w:val="000000"/>
          <w:sz w:val="20"/>
        </w:rPr>
        <w:t>We focus on specialty markets in which our underwriters have particular expertise and in which we have fewer competitors than in standard markets, and greater flexibility to price and structure our products in accordance with our underwriting strategy. We believe underwriting profitability can best be achieved through restricting our risk taking to niches where, because of our expertise, we can distinguish ourselves in the underwriting and pricing process. We also believe that we can achieve attractive returns on capital through the growth of our fronting business, as we carefully manage credit and collateral to generate attractive fee income, while generally utilizing less capital than in our highly underwritten businesses.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Use Timely and Accurate Data.</w:t>
      </w:r>
      <w:r>
        <w:rPr>
          <w:color w:val="000000"/>
        </w:rPr>
        <w:t>   </w:t>
      </w:r>
      <w:r>
        <w:rPr>
          <w:rFonts w:ascii="Times New Roman;sans-serif" w:hAnsi="Times New Roman;sans-serif"/>
          <w:b w:val="false"/>
          <w:color w:val="000000"/>
          <w:sz w:val="20"/>
        </w:rPr>
        <w:t>We design our internal processing and data collection systems to provide our management team with accurate and relevant information in real-time. We collect premium, commission and claims data, including detailed information regarding policy price, terms, conditions and the nature of the insured’s business. This data allows us to analyze trends in our business, including results by individual agent or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Earn a Meaningful Contribution from Investments.</w:t>
      </w:r>
      <w:r>
        <w:rPr>
          <w:color w:val="000000"/>
        </w:rPr>
        <w:t>   </w:t>
      </w:r>
      <w:r>
        <w:rPr>
          <w:rFonts w:ascii="Times New Roman;sans-serif" w:hAnsi="Times New Roman;sans-serif"/>
          <w:b w:val="false"/>
          <w:color w:val="000000"/>
          <w:sz w:val="20"/>
        </w:rPr>
        <w:t>We seek to earn a meaningful contribution to our overall returns from our investment portfolio activities each year. We attempt to balance the preservation of assets, liquidity needs and mitigation of volatility with returns across our portfolio. We believe our diversified portfolio and ability to source investment opportunities positions us well to generate returns while balancing the importance of maintaining a strong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Manage Capital Actively.</w:t>
      </w:r>
      <w:r>
        <w:rPr>
          <w:color w:val="000000"/>
        </w:rPr>
        <w:t>   </w:t>
      </w:r>
      <w:r>
        <w:rPr>
          <w:rFonts w:ascii="Times New Roman;sans-serif" w:hAnsi="Times New Roman;sans-serif"/>
          <w:b w:val="false"/>
          <w:color w:val="000000"/>
          <w:sz w:val="20"/>
        </w:rPr>
        <w:t>We invest and manage our capital with a goal of consistently increasing tangible equity for our shareholders and generating attractive returns on tangible equity. We intend to expand our premium volume and capital base to take advantage of opportunities to earn an underwriting profit or to reduce our premium volume and capital base if attractive underwriting opportunities are not available. We expect to finance our future operations with a combination of debt and equity and do not intend to raise or retain more capital than we believe we can profitably deploy in a reasonable time frame or that is reasonably necessary to bolster the capital positions of our regulated insurance entities. We may not, however, always be able to raise capital when needed. Our ratings from A.M. Best are very important to us, as are our relationships with our regulators, and maintaining them in good order is a principal consideration in our decisions regarding capital management.</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Structure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chart below displays our corporate structure as of December 31, 2023 as it pertains to our holding and operating subsidiaries.</w:t>
      </w:r>
    </w:p>
    <w:p>
      <w:pPr>
        <w:pStyle w:val="TextBody"/>
        <w:bidi w:val="0"/>
        <w:spacing w:before="0" w:after="0"/>
        <w:jc w:val="left"/>
        <w:rPr/>
      </w:pPr>
      <w:r>
        <w:rPr/>
        <w:drawing>
          <wp:inline distT="0" distB="0" distL="0" distR="0">
            <wp:extent cx="5934075" cy="37719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5934075" cy="3771900"/>
                    </a:xfrm>
                    <a:prstGeom prst="rect">
                      <a:avLst/>
                    </a:prstGeom>
                  </pic:spPr>
                </pic:pic>
              </a:graphicData>
            </a:graphic>
          </wp:inline>
        </w:drawing>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Excess and Surplus Lines Segment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underwrite non-admitted E&amp;S business through our subsidiaries, James River Insurance and James River Casualty (together, “James River,” which comprises our Excess and Surplus Lines segment), from offices in Richmond, Virginia; Scottsdale, Arizona; and Atlanta, Georgia. The Excess and Surplus Lines segment is our largest segment, representing 66.8% of consolidated gross written premiums from continuing operations for the year ended December 31, 2023. James River has been engaged in the E&amp;S insurance market for over 20 years.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E&amp;S industry focuses on providing insurance coverage to policyholders that may be unable to purchase insurance from standard lines insurers typically due to perceived risk related to their operations or risk exposures. Our Excess and Surplus Lines segment underwrites property-casualty insurance in all states and the District of Columbia. We utilize a network of authorized wholesale brokers and general agents throughout the United States. Gross written premiums for our Excess and Surplus Lines segment grew by 9.4%, 10.5%, and 19.2% in 2023, 2022, and 2021, respectively. Net written premiums grew by 0.1%, 17.5%, and 11.3% in 2023, 2022, and 2021, respectively. Net written premium growth was lower in 2023 due to $16.4 million of reinstatement premium, triggered by claims on the 2020 and 2021 years of an excess of loss reinsurance treaty, which reduced net written premiums, and the renewal of a quota share treaty, effective July 1, 2023, that increased premium cessions across all underwriting divisions other than Excess Casualty and resulted in lower retentions for the segment. The Excess and Surplus Lines segment produced a cumulative combined ratio of 94.4% from 2014 through 2023. Excluding Rasier, the cumulative combined ratio of the Excess and Surplus Lines segment for 2019 through 2023 was 86.1%.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Companies that underwrite on an E&amp;S lines basis operate under a different regulatory structure than standard market carriers. E&amp;S lines carriers are generally permitted to craft the terms of the insurance contract to suit the particular risk they are assuming. E&amp;S lines carriers are, for the most part, free of rate and form regulation. In contrast, standard market carriers are generally required to use approved insurance forms and to charge rates that have been authorized by or filed with state insurance departments. However, as E&amp;S carriers, our insurance subsidiaries in the Excess and Surplus Lines segment are not backed by any state’s guarantee fund, and in most states these subsidiaries may only write coverage for an insured after they have been declined coverage by the standard market.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segment underwrites coverage for a wide range of commercial businesses and does not write personal lines insurance. Applications for insurance are presented to us by authorized wholesale brokers who are engaged by retail agents to assist in coverage procurement.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Claims for business written and retained by the Excess and Surplus Lines segment are managed by our internal claims department although we use independent adjusters for inspection and payment of certain claims.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chart below identifies the Excess and Surplus Lines segment’s divisions and sets forth the amount of gross written premiums by each division.</w:t>
      </w:r>
    </w:p>
    <w:tbl>
      <w:tblPr>
        <w:tblW w:w="10674" w:type="dxa"/>
        <w:jc w:val="left"/>
        <w:tblInd w:w="0" w:type="dxa"/>
        <w:tblLayout w:type="fixed"/>
        <w:tblCellMar>
          <w:top w:w="28" w:type="dxa"/>
          <w:left w:w="28" w:type="dxa"/>
          <w:bottom w:w="28" w:type="dxa"/>
          <w:right w:w="28" w:type="dxa"/>
        </w:tblCellMar>
      </w:tblPr>
      <w:tblGrid>
        <w:gridCol w:w="592"/>
        <w:gridCol w:w="482"/>
        <w:gridCol w:w="262"/>
        <w:gridCol w:w="109"/>
        <w:gridCol w:w="109"/>
        <w:gridCol w:w="109"/>
        <w:gridCol w:w="211"/>
        <w:gridCol w:w="976"/>
        <w:gridCol w:w="109"/>
        <w:gridCol w:w="109"/>
        <w:gridCol w:w="109"/>
        <w:gridCol w:w="109"/>
        <w:gridCol w:w="307"/>
        <w:gridCol w:w="309"/>
        <w:gridCol w:w="50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Written Premiums</w:t>
              <w:br/>
              <w:t xml:space="preserve">Year Ended December 31,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E&amp;S Division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of Total</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Contractors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Health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and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Professionals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Gross written premiums for 2019 include $374.2 million related to a large commercial auto insured (Rasier). This coverage was terminated on December 31, 2019.</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 underwrites excess liability coverage for a variety of risk classes including manufacturers, contractors, distributors and transportation risks. Typically, we provide between $1.0 million and $10.0 million per occurrence limits above a $1.0 million attachment point. Of this amount, we retain up to $2.0 million of exposure per occurrence and cede the balance to our reinsurers. We write excess liability coverage above our own primary policies, as well as policies issued by third parties. When we write above others’ policies, we are selective regarding underlying carriers, focusing on the nature of the business, the financial strength of the carrier, their pricing and their claims handling capabilities.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 writes primary liability coverage on businesses exposed to premises liability type claims including real estate, mercantile and retail operations, apartments and condominiums, hotels and motels, restaurants, bars, taverns and schools. Typically, we write $1.0 million per occurrence in limits, of which we retain $690,000 net per occurrence.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Contractors writes primary general liability coverage for a variety of classes, including manufacturers of consumer, commercial, and industrial products and general and trade contractors. Typically, we issue a $1.0 million per occurrence limit in this division, of which we retain $690,000 net per occurrence.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Excess Property writes property risks providing limits in various layers above the primary coverage layer for a variety of classes, including apartments, condominiums, resorts, shopping centers, offices and general commercial properties. Typical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risk limits offered range from $5.0 million to $30.0 million on a gross basis, and a maximum of $5.0 million on a net of reinsurance basis. The average net per risk limit is approximately $775,000 as of December 31, 2023. We retain up to the first $5.0 million in any one event or catastrophe.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Energy writes risks engaged in the business of energy production, distribution or mining, and the manufacture of equipment used in the energy business segment. Examples of classes underwritten by this division include oil and gas exploration companies, oil or gas well drillers, oilfield consultants, oil or gas lease operators, oil well servicing companies, oil or gas pipeline construction companies, fireworks manufacturing, mining-related risks, utilities, and utility contractors. We provide policy limits up to $11.0 million per occurrence, of which we retain up to $3.2 million in limit net, with typical limits between $1.0 million and $5.0 million per occurrence, of which we retain between $690,000 and $1.98 million net, respectively, on either a primary or excess basis.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 includes both brokerage and delegated authority contract binding focusing on accounts with annual primary liability insurance premiums of less than $20,000 and more typically below $10,000. For these smaller risks, we limit flexibility in coverage options and pricing to facilitate quick turnaround and efficient processing. We generally write $1.0 million per occurrence limits, of which we retain $690,000 net per occurrence.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Allied Health underwrites casualty insurance for allied health and social service types of risks, such as long-term care facilities, independent living apartments, group homes, half-way houses and shelters, drug rehabilitation, home health care and medical staffing enterprises. We provide policy limits up to $11.0 million per occurrence, of which we retain up to $3.2 million in limit net, with typical limits between $1.0 million and $5.0 million per occurrence, of which we retain between $690,000 and $1.98 million net, respectively. Approximately 88% of the premiums written by our Allied Health division from inception through 2023 have been written on a claims-made and reported form. We believe this policy form significantly reduces our long-term exposure in this complicated class of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 underwrites primarily the hired and non-owned auto liability exposures for a variety of industry segments including package and food delivery services. Limits assumed are retained up to $690,000 net per occurrence by the Company, in some cases subject to self-insured retentions of the insureds.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Life Sciences underwrites general liability, products liability and/or professional liability coverage for manufacturers, distributors and developers of biologics (antibodies &amp; vaccines used for the prevention of disease), nutraceuticals (health, nutrition and herbal supplements), human clinical trials, pharmaceuticals (mainly generics and over-the-counters) and medical devices. This division also writes a book of various types of business engaged in the medical and adult-use cannabis industry. We provide policy limits up to $11.0 million per occurrence (up to $10.0 million on cannabis), of which we retain up to $3.2 million in limit net per occurrence, with typical limits between $1.0 million and $5.0 million per occurrence, of which we retain between $690,000 and $1.98 million net, respectively.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Sports and Entertainment underwrites primary liability coverage for sports, recreation and entertainment related risks, including special events, family entertainment centers, tourist attractions, health clubs, sports complexes and other sport and event venues. Typical limits offered are up to $1.0 million per occurrence, of which we retain $690,000 net per occurrence.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underwrites contractors’ pollution liability, products pollution liability, site specific pollution liability and consultant’s professional liability coverage on a stand-alone basis and in conjunction with the general liability coverage. Typically, we write environmental coverage for contractors who are not engaged in environmental remediation work on an occurrence form. We provide policy limits up to $11.0 million per occurrence, of which we retain up to $3.2 million in limit net, with typical limits between $1.0 million and $5.0 million per occurrence, of which we retain between $690,000 and $1.98 million net, respectively, on a primary or excess basis.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 writes professional liability coverage for accountants, architects, engineers, lawyers and certain other professions. We provide policy limits up to $11.0 million, of which we retain up to $3.2 million in limit net, with typical limits between $1.0 million and $5.0 million per occurrence, of which we retain between $690,000 and $1.98 million net, respectively. All of our professional liability coverage is written on a claims-made and reported basis.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Medical Professionals underwrites non-standard physicians’ professional liability for individuals or small groups. Our healthcare business is a mix of both surgical and non-surgical classes. We typically provide between $1.0 million and $3.0 million per occurrence limits, of which we retain between $690,000 and $1.58 million net, respectively. All of the policies written by this division have been issued on a claims-made and reported basis.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Liability, a new underwriting division in 2023, writes excess management liability coverage inclusive of directors &amp; officers liability, employment practices liability, and fiduciary liability. The division will underwrite a wide range of industries except for financial institutions and cryptocurrency firms. We write publicly traded risks, privately held risks and not-for-profit risks. Typical per risk limits offered are $5.0 million or less on a gross basis or $1.8 million on a net basis and a maximum of $10.0 million on a gross basis or $3.2 million on a net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the top producing states by amount of gross written premium for our Excess and Surplus Lines segment for the year ended December 31, 2023 and the amount of gross written premium produced by such states for the years ended December 31, 2022, 2021, 2020 and 2019. The table also shows the percentage of each states’ gross written premium to total gross written premium in the Excess and Surplus Lines segment for the years ended December 31, 2023, 2022 and 2021.</w:t>
      </w:r>
    </w:p>
    <w:tbl>
      <w:tblPr>
        <w:tblW w:w="12433" w:type="dxa"/>
        <w:jc w:val="left"/>
        <w:tblInd w:w="0" w:type="dxa"/>
        <w:tblLayout w:type="fixed"/>
        <w:tblCellMar>
          <w:top w:w="28" w:type="dxa"/>
          <w:left w:w="28" w:type="dxa"/>
          <w:bottom w:w="28" w:type="dxa"/>
          <w:right w:w="28" w:type="dxa"/>
        </w:tblCellMar>
      </w:tblPr>
      <w:tblGrid>
        <w:gridCol w:w="436"/>
        <w:gridCol w:w="385"/>
        <w:gridCol w:w="395"/>
        <w:gridCol w:w="109"/>
        <w:gridCol w:w="109"/>
        <w:gridCol w:w="109"/>
        <w:gridCol w:w="211"/>
        <w:gridCol w:w="976"/>
        <w:gridCol w:w="109"/>
        <w:gridCol w:w="109"/>
        <w:gridCol w:w="109"/>
        <w:gridCol w:w="109"/>
        <w:gridCol w:w="307"/>
        <w:gridCol w:w="309"/>
        <w:gridCol w:w="276"/>
        <w:gridCol w:w="109"/>
        <w:gridCol w:w="109"/>
        <w:gridCol w:w="109"/>
        <w:gridCol w:w="211"/>
        <w:gridCol w:w="826"/>
        <w:gridCol w:w="109"/>
        <w:gridCol w:w="109"/>
        <w:gridCol w:w="109"/>
        <w:gridCol w:w="109"/>
        <w:gridCol w:w="307"/>
        <w:gridCol w:w="309"/>
        <w:gridCol w:w="276"/>
        <w:gridCol w:w="109"/>
        <w:gridCol w:w="109"/>
        <w:gridCol w:w="109"/>
        <w:gridCol w:w="211"/>
        <w:gridCol w:w="826"/>
        <w:gridCol w:w="109"/>
        <w:gridCol w:w="109"/>
        <w:gridCol w:w="109"/>
        <w:gridCol w:w="109"/>
        <w:gridCol w:w="307"/>
        <w:gridCol w:w="309"/>
        <w:gridCol w:w="276"/>
        <w:gridCol w:w="109"/>
        <w:gridCol w:w="109"/>
        <w:gridCol w:w="109"/>
        <w:gridCol w:w="211"/>
        <w:gridCol w:w="826"/>
        <w:gridCol w:w="109"/>
        <w:gridCol w:w="109"/>
        <w:gridCol w:w="109"/>
        <w:gridCol w:w="109"/>
        <w:gridCol w:w="211"/>
        <w:gridCol w:w="826"/>
        <w:gridCol w:w="154"/>
      </w:tblGrid>
      <w:tr>
        <w:trPr/>
        <w:tc>
          <w:tcPr>
            <w:tcW w:w="4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21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Written</w:t>
              <w:br/>
              <w:t>Premiums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Written</w:t>
              <w:br/>
              <w:t>Premiums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Written</w:t>
              <w:br/>
              <w:t>Premiums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Written</w:t>
              <w:b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Written</w:t>
              <w:br/>
              <w:t>Premiums</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16.9 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15.9 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15.4 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0.9 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16.3 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Marketing and Distribution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distributes its products through a select group of authorized E&amp;S lines brokers we believe can consistently produce reasonable volumes of quality business. These brokers procure policies for their clients from us as well as from other insurance companies. At December 31, 2023, the segment had authorized close to 100 broker groups to submit applications to us. The Excess and Surplus Lines segment generally makes broker authorizations by brokerage office and underwriting division. The segment does not grant its brokers underwriting or claims authority. The segment does delegate limited authority under several programs underwritten by exclusive General Agents as well as a growing but still limited number of General Agents underwriting small-account commercial risks through our online contract binding portal.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segment selects its brokers based upon management’s review of the experience, knowledge and business plan of each broker. While many of our Excess and Surplus Lines segment’s brokers have more than one office, we evaluate each office as if it were a separate entity. Brokers must be able to demonstrate an ability to produce both the quality and quantity of business that we seek. Brokers unable to produce consistently profitable business, or who produce unacceptably low volumes of business, may be terminated. Our Excess and Surplus Lines segment’s underwriters visit brokers regularly to discuss the products that we offer and the needs of the brokers. We believe the personal relationships we foster with individual brokers and our ability to respond to a wide variety of risks placed by these brokers make us an important market for them.</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segment’s three largest brokers produced $716.3 million of gross written premiums for the year ended December 31, 2023, representing approximately 71.1% of the Excess and Surplus Lines segment’s gross written premiums and 47.5% of consolidated gross written premiums from continuing operations for 2023. The three largest brokers produced $324.7 million (Ryan Specialty Group), $246.4 million (Amwins Group), and $145.2 million (Truist Insurance Holdings) of gross written premiums for the year ended December 31, 2023, respectively, representing 21.5%, 16.3%, and 9.6% of consolidated gross written premiums from continuing operations and 32.2%, 24.5%, and 14.4% of the Excess and Surplus Lines segment’s gross written premiums for 2023, respectively.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2023 and 2022, our Excess and Surplus Lines segment paid an average commission to producers of 17.5% and 16.8%, respectively, of gross written premiums.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Underwriting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segment’s staff includes over 200 individuals directly employed in underwriting policies as of December 31, 2023. We are very selective about the policies we bind. Our Excess and Surplus Lines segment binds approximately 3% of new submissions and one out of every four new quotes. If our underwriters cannot reasonably expect to bind coverage at the combination of premiums and coverage that meet our standards, they are encouraged to quickly move on to another prospective opportunity. For the year ended December 31, 2023, we received approximately 321,000 submissions (new and renewal, excluding commercial auto policies), quoted almost 61,000 policies and bound close to 27,000 policies.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When we accept risk in our Excess and Surplus Lines segment, we are careful to establish terms that are suited to the risk and the pricing. As an excess and surplus lines writer, we use our freedom of rate and form to make it possible to take on risks that have already been rejected by admitted carriers who have determined they cannot insure these risks on approved forms at filed rates. We attempt to craft policies that offer affordable protection to our insureds by tailoring coverage in ways that make potential losses more predictable and are intended to reduce claims costs.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design our internal processing and data collection systems to provide our management team with accurate and relevant information in real-time. We collect premium, commission and claims data, including detailed information regarding policy price, terms, conditions and the nature of the insured’s business. This data allows us to analyze trends in our business, including results by individual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Claims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effective management of claims settlement and any associated litigation avoids delays and associated additional costs.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Over 60 claims professionals with significant experience in the property-casualty industry support our Excess and Surplus Lines segment as of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business generally results in claims from premises/operations liability, professional liability, hired and non-owned auto liability, auto physical damage, first party property losses and products liability. We believe the key to effective claims management is timely and thorough claims investigation. We seek to complete all investigations and adjust reserves appropriately as soon as is practicable after the receipt of a claim. We seek to manage the number of claims per adjuster to allow adjusters sufficient time to investigate and resolve claims. Senior management reviews each case above a specified amount at least quarterly to evaluate whether the key issues in the case are being considered and to monitor case reserve levels. We keep the settlement authority of front-line adjusters low to ensure the practice of having two or more members of the department participate in the decision as to whether to settle or defend. In addition, cases with unusual damage, liability or policy interpretation issues are subjected to peer reviews. Members of the underwriting staff participate in this process. Prior to any scheduled mediation or trial involving a claim, claims personnel conduct further peer review to make sure all issues and exposures have been adequately analyzed.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claims staff also contributes to our underwriting operations through communication of claims information to our underwriters. Members of our Claims team participate on our forms committee, which reviews and develops all policy forms and exclusions, and are also members of the underwriting review committee.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94% of all claims received are closed within five years in the Excess and Surplus Lines segment.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calendar year net loss ratios for the Excess and Surplus Lines segment for the last ten years were: </w:t>
      </w:r>
    </w:p>
    <w:tbl>
      <w:tblPr>
        <w:tblW w:w="1691" w:type="dxa"/>
        <w:jc w:val="left"/>
        <w:tblInd w:w="0" w:type="dxa"/>
        <w:tblLayout w:type="fixed"/>
        <w:tblCellMar>
          <w:top w:w="28" w:type="dxa"/>
          <w:left w:w="28" w:type="dxa"/>
          <w:bottom w:w="28" w:type="dxa"/>
          <w:right w:w="28" w:type="dxa"/>
        </w:tblCellMar>
      </w:tblPr>
      <w:tblGrid>
        <w:gridCol w:w="196"/>
        <w:gridCol w:w="172"/>
        <w:gridCol w:w="173"/>
        <w:gridCol w:w="109"/>
        <w:gridCol w:w="109"/>
        <w:gridCol w:w="307"/>
        <w:gridCol w:w="309"/>
        <w:gridCol w:w="316"/>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calendar year loss ratios for 2017 through 2021 were impacted by adverse reserve development of $38.7 million, $20.7 million, $57.4 million, $91.4 million and $200.1 million, respectively, in the commercial auto line of business that was primarily related to a former insured, Rasier LLC and its affiliates (“Rasier”). The loss ratios for 2022 and 2021 also include net catastrophe losses in the Excess Property line of business of $5.0 million related to Hurricane Ian in 2022 and $5.0 million related to Hurricane Ida in 2021.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27, 2021, James River entered into a loss portfolio transfer transaction (the “Commercial Auto LPT”) with Aleka Insurance, Inc. (“Aleka”), a captive insurance company affiliate of Rasier, to reinsure substantially all of the Excess and Surplus Lines segment’s legacy portfolio of commercial auto policies previously issued to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structured to be fully collateralized, is not subject to an aggregate limit, and is subject to certain exclusions. A pre-tax loss of $29.6 million was recognized as adverse loss and loss adjustment reserve development in the Excess and Surplus Lines segment for the third quarter of 2021 associated with the loss portfolio transfer.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due to adverse paid and reported loss trends on the legacy Rasier business, the Company recognized adverse prior year development of $64.4 million and $46.7 million, respectively, on the net reserves subject to the Commercial Auto LPT, resulting in corresponding additional amounts ceded under the Commercial Auto LPT. As a result, the cumulative amounts ceded under the Commercial Auto LPT exceed the consideration paid, moving the Commercial Auto LPT into a gain position. The Company has applied retroactive reinsurance accounting to the Commercial Auto LPT. Retroactive reinsurance benefits of $59.4 million and $31.0 million, respectively, were recorded in losses and loss adjustment expenses on the Consolidated Statements of (Loss) Income and Comprehensive Loss for the years ended December 31, 2023 and 2022 using the recovery method. As of December 31, 2023 and December 31, 2022, the cumulative amounts ceded under the Commercial Auto LPT were $456.2 million and $391.8 million, respectively. The deferred retroactive reinsurance gain separately presented on the Company's Consolidated Balance Sheets was $20.7 million and $15.7 million at December 31, 2023 and December 31, 2022, respectively.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Specialty Admitted Insurance Segment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Falls Lake Insurance Companies (“Falls Lake”) comprise our other U.S. insurance segment, Specialty Admitted Insurance. Falls Lake consists of Falls Lake National (an Ohio domiciled company, licensed in 49 states and the District of Columbia and registered as a surplus lines company in California), and its subsidiaries Stonewood Insurance (a North Carolina domiciled company) and Falls Lake Fire and Casualty (a California domiciled company). The Specialty Admitted Insurance segment produced 33.2% of gross written premiums from continuing operations for the year ended December 31, 2023.</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Fronting &amp; Program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Fronting and program business written through selected MGAs, insurance carriers, and other producers, represented 90.9% of 2023 gross written premiums in this segment (89.2% in 2022, 88.3% in 2021). In our fronting business, we issue insurance policies for another insurance company which may not have the licensure, product suite or rating to serve its desired market, or for a program supported by reinsurance or alternative capital provider(s). In a fronting arrangement, we give selected MGAs authority to act on our behalf to produce, underwrite and administer policies that meet our underwriting and pricing guidelines. We generally retain 10%-35% of the underwriting risk in our fronting business. The issuance of our policy makes us contractually responsible to the insured in the event they experience a covered loss. We enter into these arrangements selectively with counterparties which have significant experience and market presence in specialty classes of property-casualty risk, workers' compensation or automobile business. We only work with MGAs who permit us to actively engage with them through a combination of onsite and offsite resources to facilitate our real-time supervision of their work. Underwriting, claims and financial performance is subject to regular review by our staff, and we hold appropriate collateral to manage counterparty credit risk. We grant limited authority for underwriting and claims administration and employ a rigorous review process to ensure the authority is appropriately used within the terms of our contract, and that collateral held by us is appropriate. We charge fees as a percentage of gross written premiums for issuing these policies. We establish fronting opportunities through a variety of sources, including direct carrier relationships, MGAs, reinsurers, and reinsurance brokers.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objective is to utilize the combination of fee income and underwriting profits from our Specialty Admitted Insurance segment to leverage our capital and improve returns on tangible equity. Fee income was $24.2 million in 2023, $23.6 million in 2022, and $22.7 million in 2021. Our licensure and product filings position us to support this business throughout the United States. Because of the more limited capital allocation required to support it, we believe the fronting business represents an efficient use of capital, and we continued to expand this business in 2023. Our largest fronting relationship produced $163.1 million of gross written premiums in 2023, representing 10.8% of consolidated gross written premiums from continuing operations and 32.5% of the Specialty Admitted Insurance segment's gross written premiums,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focus our coverage on casualty risks in our fronting business, although some property insurance is written. We seek to limit our risk generally through reinsurance either on a proportional or excess of loss basis, or sometimes both. For initial claims oversight and administration, we generally outsource frequency layer claims management authority to third-party administrators up to the first $100,000 of a claim with our management oversight, and then provide supervisory control above this amount.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these program agreements, we pay fixed commissions, often with a profit contingency. Our fronting business is distributed primarily through MGAs and fronting and program managers.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Actions to Reduce Workers' Compensation Book</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non-renewed its large California workers' compensation program in the Specialty Admitted Insurance segment. This action was taken due to persistent rate pressure and tighter reinsurance capacity. Gross written premiums for the program were $96.5 million, $110.9 million, and $124.1 million for the years ended December 31, 2023, 2022, and 2021, respectively.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25, 2023, the Company announced that certain of its subsidiaries entered into an agreement to sell the renewal rights to the IRWC business in the Specialty Admitted Insurance segment. The IRWC business, underwritten by our staff and generated by appointed agents in 13 states, produced 9.1% of 2023 gross written premiums in this segment (10.8% in 2022, 11.7% in 2021). The transaction includes the full operations of the business, including underwriting, loss control and claims, and transfer of the employees supporting the business. The transaction, which closed on September 29, 2023, was aligned with our strategy to focus our resources on core businesses where we have meaningful scale. Upon closing of the transaction, the Company recognized a $2.2 million gain on sale included in other income for the year ended December 31, 2023 representing the minimum guaranteed consideration to be received in the transaction. The Company also recognized an impairment charge of $2.5 million related to the trademark intangible asset associated with the IRWC business.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Corporate and Other Segment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and other holding company employees are part of the Corporate and Other segment. This is where we set and direct strategy for the group as a whole as well as high level objectives for each of the operating segments. We make all capital management, capital allocation, treasury functions, information technology and group wide risk management decisions in this segment. Our decisions at this level also include reinsurance purchasing.</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Purchase of Reinsurance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routinely purchase reinsurance for our Excess and Surplus Lines and Specialty Admitted Insurance segments. The purchase of reinsurance reduces volatility by limiting our exposure to large losses and provides capacity for growth. In a reinsurance transaction, an insurance company transfers, or cedes, all or part of its exposure in return for a portion of the premium. Our companies remain legally responsible for the entire obligation to policyholders, irrespective of any reinsurance coverage we may purchase. Typically, we pay claims from our own funds and then seek reimbursement from the reinsurer. There is credit exposure with respect to losses ceded to the extent that any reinsurer is unable or unwilling to meet the obligations ceded by us under reinsurance treaties. The ability to collect on reinsurance is subject to many factors, including the solvency of the counterparty and their interpretation of contract language and other factors. As of December 31, 2023, we have no material, ongoing disputes with any reinsurer, and we are not aware of any credit quality issues with any of our reinsurers.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Purchased Property Reinsurance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focus on return on tangible equity leads us to avoid lines of business that we know are exposed to high degrees of volatility. The Excess and Surplus Lines segment writes a limited book of excess property risks ($64.6 million of direct written premiums in 2023). The risks assumed in this book are geographically dispersed and significantly reinsured to limit losses. The Excess and Surplus Lines segment may retain up to $5.0 million per risk on our excess property book; however, the average retained amount per risk is approximately $775,000. In our Specialty Admitted Insurance segment, we focus on casualty business, but we do write a limited amount of property insurance, principally through our fronting and programs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we purchased a proportional quota share reinsurance treaty specifically designed to cover property risks. The proportional quota share treaty along with facultative reinsurance helps ensure that our net retained limit per risk will be $5.0 million or less. Additionally, we purchased catastrophe reinsurance of $20.0 million in excess of a $5.0 million retention for the group that is intended to cover the 1 in 1,000 year modeled aggregate PML on the segment’s excess property book. We buy such high limits because we believe the property catastrophe models are less accurate when applied to small books of business like ours than when applied to larger portfolios. Where the Specialty Admitted Insurance segment incurs incidental property risks in its fronting and program book of business, protection is also provided under the corporate $20.0 million in excess of $5.0 million catastrophe treaty. This is also intended to cover the 1 in 1,000 year modeled aggregate PML on any property exposures the Specialty Admitted Insurance segment assumes. We believe our pre-tax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wide PML from a 1 in 1,000 year catastrophic event would not exceed 2.5% of shareholders’ equity, inclusive of reinstatement premiums payable and net retentions.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Purchased Casualty Reinsurance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we purchase a casualty multiline reinsurance solution for all divisions that provides coverage through a proportional quota share treaty and companion excess of loss treaty. The Company also utilizes facultative reinsurance to reduce the amount of exposure it retains on individual accounts according to its guidelines for accepting risk across various industry segments, locations and types of exposure. Our maximum net liability is $1.4 million of all policy limits up to $2.0 million per occurrence, and up to $3.2 million of all policy limits greater than $2.0 million per occurrence.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our Specialty Admitted Insurance segment, there are two distinct reinsurance strategies. For individual risk workers' compensation, we purchased $29.5 million excess of $500,000 per occurrence. For our fronting and program business, we generally purchase proportional reinsurance and excess of loss reinsurance to limit our exposure to no more than $750,000 per occurrence.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prior years, for both our Excess and Surplus Lines segment and our Specialty Admitted Insurance segment, we purchased a contingency clash reinsurance treaty that covered all casualty business for $10.0 million in excess of $2.0 million per occurrence. This coverage, which was put into runoff effective July 1, 2022, was intended to respond in situations with multiple insured losses from the same event as well as extra contractual obligations or excess policy limits on an individual occurrence basis.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2020, we purchased an additional $10.0 million in claims made coverage for excess policy limits and extra contractual obligations exposures above the clash and contingency treaty for the period 2014 to present. This treaty has one reinstatement and expired on December 31,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2023, our top ten reinsurers represented 65.2% of our total ceded reinsurance recoverables, and all of these reinsurance recoverables were from reinsurers with an A.M. Best rating of “A” (Excellent) or better, or are collateralized with letters of credit or by a trust agreement. The following table sets forth our ten most significant reinsurers by amount of reinsurance recoverables on unpaid losses and the amount of reinsurance recoverables pertaining to each such reinsurer as well as its A.M. Best rating as of December 31, 2023:</w:t>
      </w:r>
    </w:p>
    <w:tbl>
      <w:tblPr>
        <w:tblW w:w="7958" w:type="dxa"/>
        <w:jc w:val="left"/>
        <w:tblInd w:w="0" w:type="dxa"/>
        <w:tblLayout w:type="fixed"/>
        <w:tblCellMar>
          <w:top w:w="28" w:type="dxa"/>
          <w:left w:w="28" w:type="dxa"/>
          <w:bottom w:w="28" w:type="dxa"/>
          <w:right w:w="28" w:type="dxa"/>
        </w:tblCellMar>
      </w:tblPr>
      <w:tblGrid>
        <w:gridCol w:w="1540"/>
        <w:gridCol w:w="1354"/>
        <w:gridCol w:w="1366"/>
        <w:gridCol w:w="109"/>
        <w:gridCol w:w="109"/>
        <w:gridCol w:w="109"/>
        <w:gridCol w:w="244"/>
        <w:gridCol w:w="1130"/>
        <w:gridCol w:w="126"/>
        <w:gridCol w:w="109"/>
        <w:gridCol w:w="109"/>
        <w:gridCol w:w="109"/>
        <w:gridCol w:w="452"/>
        <w:gridCol w:w="452"/>
        <w:gridCol w:w="640"/>
      </w:tblGrid>
      <w:tr>
        <w:trPr/>
        <w:tc>
          <w:tcPr>
            <w:tcW w:w="154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Reinsurer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Reinsurance</w:t>
              <w:br/>
              <w:t>Recoverable as of</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 Best Rating</w:t>
              <w:br/>
              <w:t>December 31, 2023</w:t>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Reinsurance America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Berkley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Aleka Insurance Company (Commercial Auto LPT)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Unrated</w:t>
            </w:r>
            <w:r>
              <w:rPr>
                <w:rFonts w:ascii="Times New Roman;sans-serif" w:hAnsi="Times New Roman;sans-serif"/>
                <w:b w:val="false"/>
                <w:color w:val="000000"/>
                <w:sz w:val="13"/>
              </w:rPr>
              <w:t>(1)</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Hannover Ruck 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Endurance Assurance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European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w:t>
            </w:r>
            <w:r>
              <w:rPr>
                <w:rFonts w:ascii="Times New Roman;sans-serif" w:hAnsi="Times New Roman;sans-serif"/>
                <w:b w:val="false"/>
                <w:color w:val="000000"/>
                <w:sz w:val="13"/>
              </w:rPr>
              <w:t>(2)</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Munich Reinsurance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Safety National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Aspen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Motors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Top 10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1,358,474 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This reinsurer is unrated. All material reinsurance amounts from this reinsurer are collateralized.</w:t>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    This reinsurer is below A-. All material reinsurance recoverable amounts from this reinsurer are collateralized.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For the years ended December 31, 2023 and 2022, due to adverse paid and reported loss trends on the legacy Rasier business, the Company recognized adverse prior year development of $64.4 million and $46.7 million, respectively, on the net reserves subject to the Commercial Auto LPT, bringing the cumulative amount ceded under the Commercial Auto LPT to $456.2 million at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Commercial Auto LPT:</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December 31, 2023, the balance in the Indemnity Trust was $138.4 million, and, together with the balance of the Loss Fund Trust (as defined below) attributable to the Indemnity Agreements as described below, the total balance of collateral securing Rasier’s obligations under the Indemnity Agreements was $183.6 million.</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Pursuant to the Commercial Auto LPT, Aleka is required to post collateral equal to 102% of James River's estimate of Aleka's obligations under the Commercial Auto LPT, calculated in accordance with standard actuarial principles and based on reserves recorded in our statutory financial statements. The collateral is provided through a collateral trust arrangement (the “LPT Trust”) established in favor of James River by Aleka. At December 31, 2023, the balance in the LPT Trust was $63.7 million, and, together with the balance of the Loss Fund Trust (as defined below) attributable to the Commercial Auto LPT as described below, the total balance of collateral securing Aleka’s obligations under the Commercial Auto LPT was $83.8 million. At December 31, 2023, the total reinsurance recoverables under the Commercial Auto LPT was $84.5 million (including $78.1 million of unpaid recoverables and $6.4 million of paid recoverables).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December 31, 2023, the balance in the Loss Fund Trust was $72.4 million, including $45.2 million representing collateral supporting Rasier’s obligations under the Indemnity Agreements and $20.0 million representing collateral supporting Aleka’s obligations under the Commercial Auto LPT. Funds posted to the Loss Fund Trust are classified as restricted cash equivalents on the Company's balance sheet.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Reserve Policy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establish reserves that will adequately meet our obligations. All of our reserving actuaries are credentialed and our Chief Actuary has 39 years of industry experience. We engage independent actuarial consultants to perform independent valuations to corroborate our decisions regarding reserves. Anticipated inflation is reflected implicitly in the reserving process through analysis of cost trends and the review of historical development. We do not discount our reserves for losses and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val="false"/>
          <w:color w:val="000000"/>
          <w:sz w:val="20"/>
        </w:rPr>
        <w:t xml:space="preserve">adjustment expenses to reflect estimated present value. </w:t>
      </w:r>
      <w:r>
        <w:rPr>
          <w:rFonts w:ascii="Times New Roman;sans-serif" w:hAnsi="Times New Roman;sans-serif"/>
          <w:b w:val="false"/>
          <w:color w:val="030303"/>
          <w:sz w:val="20"/>
        </w:rPr>
        <w:t>All of our methods to calculate net reserves include assumptions about estimated reinsurance recoveries and their collectability</w:t>
      </w:r>
      <w:r>
        <w:rPr>
          <w:rFonts w:ascii="Times New Roman;sans-serif" w:hAnsi="Times New Roman;sans-serif"/>
          <w:b w:val="false"/>
          <w:color w:val="464646"/>
          <w:sz w:val="20"/>
        </w:rPr>
        <w:t xml:space="preserve">. </w:t>
      </w:r>
      <w:r>
        <w:rPr>
          <w:rFonts w:ascii="Times New Roman;sans-serif" w:hAnsi="Times New Roman;sans-serif"/>
          <w:b w:val="false"/>
          <w:color w:val="030303"/>
          <w:sz w:val="20"/>
        </w:rPr>
        <w:t>Reinsurance collectability is evaluated independently of the reserving process and appropriate allowances for credit losses are established.</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We maintain reserves for specific claims incurred and reported and reserves for claims incurred but not reported (“IBNR”). The process of establishing loss reserves is complex and inherently imprecise because it must take into consideration many variables that are subject to the outcome of future events</w:t>
      </w:r>
      <w:r>
        <w:rPr>
          <w:rFonts w:ascii="Times New Roman;sans-serif" w:hAnsi="Times New Roman;sans-serif"/>
          <w:b w:val="false"/>
          <w:color w:val="5D5D5D"/>
          <w:sz w:val="20"/>
        </w:rPr>
        <w:t xml:space="preserve">. </w:t>
      </w:r>
      <w:r>
        <w:rPr>
          <w:rFonts w:ascii="Times New Roman;sans-serif" w:hAnsi="Times New Roman;sans-serif"/>
          <w:b w:val="false"/>
          <w:color w:val="000000"/>
          <w:sz w:val="20"/>
        </w:rPr>
        <w:t>As a result, informed subjective estimates and judgments about our ultimate exposure to losses are an integral component of our loss reserving process</w:t>
      </w:r>
      <w:r>
        <w:rPr>
          <w:rFonts w:ascii="Times New Roman;sans-serif" w:hAnsi="Times New Roman;sans-serif"/>
          <w:b w:val="false"/>
          <w:color w:val="5D5D5D"/>
          <w:sz w:val="20"/>
        </w:rPr>
        <w:t xml:space="preserve">. </w:t>
      </w:r>
      <w:r>
        <w:rPr>
          <w:rFonts w:ascii="Times New Roman;sans-serif" w:hAnsi="Times New Roman;sans-serif"/>
          <w:b w:val="false"/>
          <w:color w:val="000000"/>
          <w:sz w:val="20"/>
        </w:rPr>
        <w:t>Given that loss reserve estimates depend on the outcome of future events</w:t>
      </w:r>
      <w:r>
        <w:rPr>
          <w:rFonts w:ascii="Times New Roman;sans-serif" w:hAnsi="Times New Roman;sans-serif"/>
          <w:b w:val="false"/>
          <w:color w:val="3B3B3F"/>
          <w:sz w:val="20"/>
        </w:rPr>
        <w:t xml:space="preserve">, </w:t>
      </w:r>
      <w:r>
        <w:rPr>
          <w:rFonts w:ascii="Times New Roman;sans-serif" w:hAnsi="Times New Roman;sans-serif"/>
          <w:b w:val="false"/>
          <w:color w:val="000000"/>
          <w:sz w:val="20"/>
        </w:rPr>
        <w:t>changes in prior year estimates are generally unavoidable in the insurance industry</w:t>
      </w:r>
      <w:r>
        <w:rPr>
          <w:rFonts w:ascii="Times New Roman;sans-serif" w:hAnsi="Times New Roman;sans-serif"/>
          <w:b w:val="false"/>
          <w:color w:val="3B3B3F"/>
          <w:sz w:val="20"/>
        </w:rPr>
        <w:t xml:space="preserve">. </w:t>
      </w:r>
      <w:r>
        <w:rPr>
          <w:rFonts w:ascii="Times New Roman;sans-serif" w:hAnsi="Times New Roman;sans-serif"/>
          <w:b w:val="false"/>
          <w:color w:val="000000"/>
          <w:sz w:val="20"/>
        </w:rPr>
        <w:t xml:space="preserve">These changes are sometimes referred to as </w:t>
      </w:r>
      <w:r>
        <w:rPr>
          <w:rFonts w:ascii="Times New Roman;sans-serif" w:hAnsi="Times New Roman;sans-serif"/>
          <w:b w:val="false"/>
          <w:color w:val="262626"/>
          <w:sz w:val="20"/>
        </w:rPr>
        <w:t xml:space="preserve">"prior </w:t>
      </w:r>
      <w:r>
        <w:rPr>
          <w:rFonts w:ascii="Times New Roman;sans-serif" w:hAnsi="Times New Roman;sans-serif"/>
          <w:b w:val="false"/>
          <w:color w:val="000000"/>
          <w:sz w:val="20"/>
        </w:rPr>
        <w:t xml:space="preserve">year loss development" or </w:t>
      </w:r>
      <w:r>
        <w:rPr>
          <w:rFonts w:ascii="Times New Roman;sans-serif" w:hAnsi="Times New Roman;sans-serif"/>
          <w:b w:val="false"/>
          <w:color w:val="3B3B3F"/>
          <w:sz w:val="20"/>
        </w:rPr>
        <w:t>"</w:t>
      </w:r>
      <w:r>
        <w:rPr>
          <w:rFonts w:ascii="Times New Roman;sans-serif" w:hAnsi="Times New Roman;sans-serif"/>
          <w:b w:val="false"/>
          <w:color w:val="000000"/>
          <w:sz w:val="20"/>
        </w:rPr>
        <w:t>reserve development" and are included in current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monitor reserves using the most recent information on reported claims and a variety of statistical techniques, and we adjust our estimates as experience develops or new information becomes known.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many cases, several years may elapse between the occurrence of an insured loss, the reporting of the loss and our eventual payment of the loss. We establish loss and loss adjustment expense reserves for the ultimate payment of all losses and loss adjustment expenses incurred. We estimate the reserve for losses and loss adjustment expenses using individual case-basis valuations of reported claims. We also use statistical analyses to estimate the cost of losses that have been incurred but not reported to us. These estimates are based on historical information and on estimates of future trends that may affect the frequency of claims and changes in the average cost of claims that may arise in the future. We also consider various factors such as: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product line and volume of business;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Loss emergence and insured reporting patterns;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Underlying policy terms and conditions;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Business and exposure mix;</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Trends in claim frequency and severity;</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Changes in operations and claims practices;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Emerging economic and social trends;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Inflation;</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Changes in the regulatory and litigation environments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Discussions with third-party actuarial consultants; and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Reinsurance structures.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procedures we use to estimate loss reserves assume that past experience, adjusted for the effects of current developments and anticipated trends, is an appropriate basis for predicting future events. It also assumes that adequate historical or other data exists upon which to make these judgments. These estimates are by their nature subjective and imprecise, and ultimate losses and loss adjustment expenses may vary from established reserves.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Reserve Committee consists of our Chief Executive Officer, Chief Financial Officer, Chief Accounting Officer, and Chief Actuary. Additionally, the presidents, chief financial officers and segment actuaries of each of our insurance segments participate in the Reserve Committee meetings for their respective segments. The Reserve Committee meets quarterly to review the actuarial recommendations made by each segment actuary and use their best judgment to determine the best estimate to be recorded for the reserve for losses and loss adjustment expenses on our balance sheet. The Company also engages an independent internationally recognized actuarial consulting firm to review the Company’s reserve estimates in the third and fourth quarters of each year. This independent actuarial consulting firm prepares its own estimate of the reserve for losses and loss adjustment expenses, and we compare their estimate to the reserve for losses and loss adjustment expenses reviewed and approved by the Reserve Committee in order to corroborate the adequacy of our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favorable (adverse) reserve development by segment for our continuing operations during the calendar years 2023 to 2014 individually and in aggregate.</w:t>
      </w:r>
    </w:p>
    <w:tbl>
      <w:tblPr>
        <w:tblW w:w="6992" w:type="dxa"/>
        <w:jc w:val="left"/>
        <w:tblInd w:w="0" w:type="dxa"/>
        <w:tblLayout w:type="fixed"/>
        <w:tblCellMar>
          <w:top w:w="28" w:type="dxa"/>
          <w:left w:w="28" w:type="dxa"/>
          <w:bottom w:w="28" w:type="dxa"/>
          <w:right w:w="28" w:type="dxa"/>
        </w:tblCellMar>
      </w:tblPr>
      <w:tblGrid>
        <w:gridCol w:w="818"/>
        <w:gridCol w:w="720"/>
        <w:gridCol w:w="727"/>
        <w:gridCol w:w="109"/>
        <w:gridCol w:w="109"/>
        <w:gridCol w:w="109"/>
        <w:gridCol w:w="211"/>
        <w:gridCol w:w="901"/>
        <w:gridCol w:w="109"/>
        <w:gridCol w:w="109"/>
        <w:gridCol w:w="109"/>
        <w:gridCol w:w="109"/>
        <w:gridCol w:w="211"/>
        <w:gridCol w:w="721"/>
        <w:gridCol w:w="109"/>
        <w:gridCol w:w="109"/>
        <w:gridCol w:w="109"/>
        <w:gridCol w:w="109"/>
        <w:gridCol w:w="109"/>
        <w:gridCol w:w="109"/>
        <w:gridCol w:w="211"/>
        <w:gridCol w:w="90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Calendar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Cumulative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Includes adverse development in accident years 2020 and prior exceeding favorable development on accident years 2022 and 2021.</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Includes $200.1 million of adverse development in the commercial auto line of business that was primarily related to the 2019 and prior contract years with Rasier, partially offset by $9.4 million of favorable development from other divisions.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Includes $91.4 million of adverse development in the commercial auto line of business that was primarily related to the 2018 and prior contract years with Rasier, partially offset by $32.0 million of favorable development from other divisions.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Includes $57.4 million of adverse development in the commercial auto line of business that was primarily related to the 2016 and 2017 contract years with Rasier, partially offset by $6.2 million of favorable development from other divisions.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Includes $20.7 million of adverse development in the commercial auto line of business that was primarily related to the 2016 contract year with Rasier, partially offset by $5.7 million of favorable development from other divisions.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    Includes $38.7 million of adverse development in the commercial auto line of business that was primarily related to the 2016 contract year with Rasier, partially offset by $18.6 million of favorable development from other divisions primarily from the 2014 through 2016 accident years.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Among the indicators of reserve strength that we monitor closely is the amount of IBNR reserves held on our balance sheet for claims that have been incurred but not yet reported. The table below sets forth our IBNR, total gross reserves and the percentage that IBNR represents of the total gross reserves, in each case by segment and in the aggregate, at December 31, 2023. The percentage that IBNR represents of total gross reserves at December 31, 2023 is 66.9%.</w:t>
      </w:r>
    </w:p>
    <w:tbl>
      <w:tblPr>
        <w:tblW w:w="7165" w:type="dxa"/>
        <w:jc w:val="left"/>
        <w:tblInd w:w="0" w:type="dxa"/>
        <w:tblLayout w:type="fixed"/>
        <w:tblCellMar>
          <w:top w:w="28" w:type="dxa"/>
          <w:left w:w="28" w:type="dxa"/>
          <w:bottom w:w="28" w:type="dxa"/>
          <w:right w:w="28" w:type="dxa"/>
        </w:tblCellMar>
      </w:tblPr>
      <w:tblGrid>
        <w:gridCol w:w="911"/>
        <w:gridCol w:w="801"/>
        <w:gridCol w:w="808"/>
        <w:gridCol w:w="109"/>
        <w:gridCol w:w="109"/>
        <w:gridCol w:w="109"/>
        <w:gridCol w:w="211"/>
        <w:gridCol w:w="976"/>
        <w:gridCol w:w="109"/>
        <w:gridCol w:w="109"/>
        <w:gridCol w:w="109"/>
        <w:gridCol w:w="109"/>
        <w:gridCol w:w="211"/>
        <w:gridCol w:w="976"/>
        <w:gridCol w:w="109"/>
        <w:gridCol w:w="109"/>
        <w:gridCol w:w="109"/>
        <w:gridCol w:w="109"/>
        <w:gridCol w:w="255"/>
        <w:gridCol w:w="256"/>
        <w:gridCol w:w="561"/>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Reserves at December 31, 2023</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br/>
              <w:t>% of Total</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1,742,957 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IBNR, total net reserves (prior to the $660,000 allowance for credit losses on reinsurance recoverables) and the percentage that IBNR represents of the total net reserves, in each case by segment and in the aggregate, at December 31, 2023. The percentage that IBNR represents of total net reserves at December 31, 2023 is 72.0%.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tbl>
      <w:tblPr>
        <w:tblW w:w="7015" w:type="dxa"/>
        <w:jc w:val="left"/>
        <w:tblInd w:w="0" w:type="dxa"/>
        <w:tblLayout w:type="fixed"/>
        <w:tblCellMar>
          <w:top w:w="28" w:type="dxa"/>
          <w:left w:w="28" w:type="dxa"/>
          <w:bottom w:w="28" w:type="dxa"/>
          <w:right w:w="28" w:type="dxa"/>
        </w:tblCellMar>
      </w:tblPr>
      <w:tblGrid>
        <w:gridCol w:w="911"/>
        <w:gridCol w:w="801"/>
        <w:gridCol w:w="808"/>
        <w:gridCol w:w="109"/>
        <w:gridCol w:w="109"/>
        <w:gridCol w:w="109"/>
        <w:gridCol w:w="211"/>
        <w:gridCol w:w="826"/>
        <w:gridCol w:w="109"/>
        <w:gridCol w:w="109"/>
        <w:gridCol w:w="109"/>
        <w:gridCol w:w="109"/>
        <w:gridCol w:w="211"/>
        <w:gridCol w:w="976"/>
        <w:gridCol w:w="109"/>
        <w:gridCol w:w="109"/>
        <w:gridCol w:w="109"/>
        <w:gridCol w:w="109"/>
        <w:gridCol w:w="255"/>
        <w:gridCol w:w="256"/>
        <w:gridCol w:w="561"/>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Reserves at December 31, 2023</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br/>
              <w:t>% of Total</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reported claims from prior policy years were closed at December 31, 2023 as shown below:</w:t>
      </w:r>
    </w:p>
    <w:tbl>
      <w:tblPr>
        <w:tblW w:w="7274" w:type="dxa"/>
        <w:jc w:val="left"/>
        <w:tblInd w:w="0" w:type="dxa"/>
        <w:tblLayout w:type="fixed"/>
        <w:tblCellMar>
          <w:top w:w="28" w:type="dxa"/>
          <w:left w:w="28" w:type="dxa"/>
          <w:bottom w:w="28" w:type="dxa"/>
          <w:right w:w="28" w:type="dxa"/>
        </w:tblCellMar>
      </w:tblPr>
      <w:tblGrid>
        <w:gridCol w:w="353"/>
        <w:gridCol w:w="309"/>
        <w:gridCol w:w="312"/>
        <w:gridCol w:w="115"/>
        <w:gridCol w:w="115"/>
        <w:gridCol w:w="115"/>
        <w:gridCol w:w="339"/>
        <w:gridCol w:w="339"/>
        <w:gridCol w:w="851"/>
        <w:gridCol w:w="115"/>
        <w:gridCol w:w="115"/>
        <w:gridCol w:w="115"/>
        <w:gridCol w:w="308"/>
        <w:gridCol w:w="308"/>
        <w:gridCol w:w="592"/>
        <w:gridCol w:w="115"/>
        <w:gridCol w:w="115"/>
        <w:gridCol w:w="115"/>
        <w:gridCol w:w="257"/>
        <w:gridCol w:w="257"/>
        <w:gridCol w:w="641"/>
        <w:gridCol w:w="115"/>
        <w:gridCol w:w="115"/>
        <w:gridCol w:w="115"/>
        <w:gridCol w:w="255"/>
        <w:gridCol w:w="256"/>
        <w:gridCol w:w="517"/>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72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Claims Closed at December 31, 2023</w:t>
            </w:r>
          </w:p>
        </w:tc>
      </w:tr>
      <w:tr>
        <w:trPr/>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Policy Year</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 Lines</w:t>
              <w:br/>
              <w:t xml:space="preserve">Segment Excluding </w:t>
              <w:br/>
              <w:t>Commercial</w:t>
              <w:br/>
              <w:t>Auto</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 Lines</w:t>
              <w:br/>
              <w:t>Segment</w:t>
              <w:br/>
              <w:t>Commercial</w:t>
              <w:br/>
              <w:t>Auto</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br/>
              <w:t>Segment</w:t>
              <w:br/>
              <w:t>Individual</w:t>
              <w:br/>
              <w:t>Risk Workers’</w:t>
              <w:br/>
              <w:t>Comp</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br/>
              <w:t>Segment</w:t>
              <w:br/>
              <w:t>Fronting</w:t>
              <w:br/>
              <w:t>and</w:t>
              <w:br/>
              <w:t>Programs</w:t>
            </w:r>
          </w:p>
        </w:tc>
      </w:tr>
      <w:tr>
        <w:trPr/>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Investment Strategy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strategy seeks to generate stable investment income and contributions to growth in tangible equity, while providing sufficient liquidity to meet our claims and other obligations. We attempt to generate better than market average risk-adjusted returns in our investment portfolio by taking measured risks based upon detailed knowledge of certain niche asset classes. While we are willing to make investments in non-traditional types of investments, we avoid risks that we do not understand well, as well as structures or situations we think could cause substantial loss of capital. The vast majority of our investment portfolio is managed by third party, independent investment managers.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investment portfolio is invested in investment grade fixed income securities. This portfolio provides predictable income with low risk of principal loss and strong liquidity. We seek to augment our overall return and income by investing in bank loans and other higher yielding assets, including equity securities and private investments. We designed these strategies to improve our investment return, and we are focused on opportunistic investing in areas where we believe our management has expertise or an appropriate understanding of the risk and return of the investment.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is designed to earn higher returns than an investment grade fixed income approach alone while maintaining a high average portfolio credit rating and investing in asset classes and allocations that are consistent with the insurance regulatory and rating agency framework within which we operate. We have generally managed our overall portfolio to a duration of 3 to 5 years. At December 31, 2023, the average duration of our total invested assets and cash, excluding restricted cash, was 3.6 years.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cash and invested assets, excluding restricted cash equivalents, at December 31, 2023 is as follows:</w:t>
      </w:r>
    </w:p>
    <w:tbl>
      <w:tblPr>
        <w:tblW w:w="10205" w:type="dxa"/>
        <w:jc w:val="left"/>
        <w:tblInd w:w="0" w:type="dxa"/>
        <w:tblLayout w:type="fixed"/>
        <w:tblCellMar>
          <w:top w:w="28" w:type="dxa"/>
          <w:left w:w="28" w:type="dxa"/>
          <w:bottom w:w="28" w:type="dxa"/>
          <w:right w:w="28" w:type="dxa"/>
        </w:tblCellMar>
      </w:tblPr>
      <w:tblGrid>
        <w:gridCol w:w="958"/>
        <w:gridCol w:w="744"/>
        <w:gridCol w:w="752"/>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55"/>
        <w:gridCol w:w="256"/>
        <w:gridCol w:w="436"/>
        <w:gridCol w:w="109"/>
        <w:gridCol w:w="109"/>
        <w:gridCol w:w="109"/>
        <w:gridCol w:w="307"/>
        <w:gridCol w:w="309"/>
        <w:gridCol w:w="665"/>
      </w:tblGrid>
      <w:tr>
        <w:trPr/>
        <w:tc>
          <w:tcPr>
            <w:tcW w:w="95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5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Book 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Carrying</w:t>
              <w:br/>
              <w:t>Value</w:t>
            </w:r>
          </w:p>
        </w:tc>
      </w:tr>
      <w:tr>
        <w:trPr/>
        <w:tc>
          <w:tcPr>
            <w:tcW w:w="2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and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 and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and preferred stock investments primarily consist of investment grade fixed income and preferred stock securities, which make up 70.4% of total invested assets and cash. Common stock investments primarily consist of dividend yield focused equity holdings and are 2.6% of total invested assets and cash. Our objective with fixed maturity, preferred stock and common stock investments is to earn attractive risk-adjusted returns with a low risk of loss of principal, while earning attractive income.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Bank Loans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Bank Loan portfolio primarily consists of investments in participations in syndicated bank loans, but may also include a small allocation of bonds. Bank loans in our portfolio are generally senior secured loans with an average credit quality of “B” as of December 31, 2023 and floating interest rates based on spreads over SOFR. We believe bank loans are an attractive asset class because (1) floating-rate loans help to reduce our risk of loss in the event of rising interest rates, (2) the loans are generally senior secured, (3) the asset class has a history of relatively high recovery rates in the event of default, (4) the portfolio provides an attractive yield and (5) the maturities of the loans are relatively short (average of approximately 5 years). We invest in this asset class by owning individual loan participations that are carried at fair market value. As of December 31, 2023, bank loans totaled 7.9% of total invested assets and cash.</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Other Invested Assets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make selective investments in private debt or equity securities in areas where we see opportunity or attractive risk and return characteristics. We focus on investments where we believe we have an understanding of the risk and opportunity and have the ability to monitor them closely. At December 31, 2023, we held 10 private investments with a total carrying value of $33.1 million. Our portfolio consists of investments in wind and solar energy, banking, small cap equities, loans of middle market private equity sponsored companies, asset management firms and other investments. We are opportunistic in our private investment strategy and our portfolio may grow or shrink based on the opportunities available to us. Our other invested asset strategy has significant risk and not all investments are successful. As a result, we intentionally keep this portfolio as a small portion of the overall investment portfolio. As of December 31, 2023, other invested assets totaled 1.7% of total invested assets and cash.</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total invested assets and cash totaled $1,980.2 million as of December 31, 2023. The weighted average credit rating of our portfolio of fixed maturity securities, bank loans and preferred stocks as of December 31, 2023 was “A”. We have intentionally maintained a cautious interest rate risk position by having an average duration for our total invested assets and cash, excluding restricted cash, of 3.6 years at December 31, 2023. Based on the current duration of 3.6 years, a 1.0% increase in interest rates would result in a pre-tax decline in the market value of our portfolio, excluding other invested assets and cash, of approximately $60.2 million.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Insurance Cycle Management and Growth</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business is cyclical in nature, with “hard” and “soft” cycles. Hard markets occur when insurance underwriters limit their exposure in a line of business or across their entire portfolio. When underwriters exercise restraint, insurance buyers are forced to pay more to induce underwriters to cover their risks. A hard market can also be created by economic expansions when capital committed to backing insurance policies does not grow as fast as the demand for insurance. There is generally a correlation between interest rates and the willingness of insurance companies to commit their capital to writing insurance. When fixed income yields are low, insurance companies may need to raise insurance prices to improve underwriting results in order to offset loss of investment income.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in a growth phase for our U.S. primary operations. In both our Excess and Surplus Lines and Specialty Admitted Insurance segments, we are experiencing growth in premiums driven by favorable rates as well as increases in policy count and exposures. The table below shows the changes in gross written premiums we have experienced in our operating segments from 2021 through 2023.</w:t>
      </w:r>
    </w:p>
    <w:tbl>
      <w:tblPr>
        <w:tblW w:w="10205" w:type="dxa"/>
        <w:jc w:val="left"/>
        <w:tblInd w:w="0" w:type="dxa"/>
        <w:tblLayout w:type="fixed"/>
        <w:tblCellMar>
          <w:top w:w="28" w:type="dxa"/>
          <w:left w:w="28" w:type="dxa"/>
          <w:bottom w:w="28" w:type="dxa"/>
          <w:right w:w="28" w:type="dxa"/>
        </w:tblCellMar>
      </w:tblPr>
      <w:tblGrid>
        <w:gridCol w:w="538"/>
        <w:gridCol w:w="438"/>
        <w:gridCol w:w="439"/>
        <w:gridCol w:w="109"/>
        <w:gridCol w:w="109"/>
        <w:gridCol w:w="109"/>
        <w:gridCol w:w="211"/>
        <w:gridCol w:w="976"/>
        <w:gridCol w:w="109"/>
        <w:gridCol w:w="109"/>
        <w:gridCol w:w="109"/>
        <w:gridCol w:w="109"/>
        <w:gridCol w:w="203"/>
        <w:gridCol w:w="203"/>
        <w:gridCol w:w="483"/>
        <w:gridCol w:w="109"/>
        <w:gridCol w:w="109"/>
        <w:gridCol w:w="109"/>
        <w:gridCol w:w="211"/>
        <w:gridCol w:w="976"/>
        <w:gridCol w:w="109"/>
        <w:gridCol w:w="109"/>
        <w:gridCol w:w="109"/>
        <w:gridCol w:w="109"/>
        <w:gridCol w:w="255"/>
        <w:gridCol w:w="256"/>
        <w:gridCol w:w="483"/>
        <w:gridCol w:w="109"/>
        <w:gridCol w:w="109"/>
        <w:gridCol w:w="109"/>
        <w:gridCol w:w="211"/>
        <w:gridCol w:w="976"/>
        <w:gridCol w:w="109"/>
        <w:gridCol w:w="109"/>
        <w:gridCol w:w="109"/>
        <w:gridCol w:w="109"/>
        <w:gridCol w:w="255"/>
        <w:gridCol w:w="256"/>
        <w:gridCol w:w="546"/>
      </w:tblGrid>
      <w:tr>
        <w:trPr/>
        <w:tc>
          <w:tcPr>
            <w:tcW w:w="5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41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years prior to those presented, the business written at our U.S. primary operations has, at times, been subject to “soft” market conditions, reflected both in price decreases and reduced underlying exposures. Our Excess and Surplus Lines segment is the most sensitive to hard and soft markets. We have, therefore, sought to diversify this business by geography, line of business and revenue stream. While we have been growing this business and achieving increasing or stable rates for several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periods through December 31, 2023, there will likely be periods in the future where our growth moderates, stagnates or turns negative. The market for most lines of commercial insurance, other than workers' compensation, are currently in a hardening phase.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has historically been able to make an underwriting profit regardless of the state of the underwriting cycle. This segment's cumulative combined ratio for 2014 through 2023 is 94.4%. Excluding Rasier, the cumulative combined ratio of the Excess and Surplus Lines segment for 2019 through 2023 was 86.1%.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Traditionally, admitted insurance lines have been very susceptible to market cycles. We believe this trend is continuing. We seek to isolate ourselves from these trends in our Specialty Admitted Insurance segment by writing lines of business we believe are slightly less competitive, by prudently purchasing reinsurance and by being willing to dramatically reduce our writings when market conditions warrant.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material portion of the profitability we seek to achieve from our fronting business will come from fee income that is generated via policies that are issued by our insurance companies and then mostly or wholly reinsured to third parties. Because we earn substantial fees from underwriting business on which we retain little or no insurance risk, this business can be profitable to us even in soft market conditions. We have $455.8 million of gross written premiums for fronting and program business for 2023 ($69.7 million on a net basis), and we expect our fee income will continue to grow in future periods and provide us with a steady revenue stream that will be relatively insulated from conditions in the admitted insurance market.</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in a variety of markets against a variety of competitors depending on the nature of the risk and coverage being underwritten. The competition for any one account may range from large international firms to smaller regional companies or group captives in the domiciles in which we operate. To remain competitive, our strategy includes, among other measures: (1) focusing on rate adequacy and underwriting discipline, (2) leveraging our distribution network, (3) controlling expenses, (4) maintaining financial strength and issuer credit ratings and (5) providing quality services to agents and policyholders.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Excess and Surplus Lines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within the E&amp;S lines marketplace comes from a wide range of carriers. In addition to mature E&amp;S companies that operate nationwide, there is competition from carriers formed in recent years. The Excess and Surplus Lines segment may also compete with national and regional carriers from the standard market willing to underwrite selected accounts on an admitted basis. Competitors in this segment include ACE Westchester Specialty Group (Chubb), AmRisc Insurance Company (Truist), Apollo Syndicate, Alleghany Corporation (Berkshire Hathaway), Arrowhead General Insurance Agency, Inc., Ategrity Specialty Insurance Company, Axis Insurance Company (Axis Capital Holdings Limited), Beazley Group (Lloyd’s), Brit Insurance (Lloyd’s), Colony Specialty Insurance Company (Argo Group International Holdings, Ltd.), Fairfax Financial Holdings, Ltd., Hiscox Insurance Company (Lloyd’s), Houston Casualty Company (a subsidiary of Tokio Marine HCC), Kinsale Capital Group, Inc., Lexington Insurance Company (American International Group, Inc.), Markel Corporation, Navigators Insurance Company (Hartford), OneBeacon (Intact Financial Corporation), QBE Insurance Group Ltd., RLI Corp., E&amp;S/Specialty (Nationwide Mutual Group), Starr Insurance Company (C.V. Starr &amp; Company), Swiss Re Ltd, United Specialty Insurance Company, W.R. Berkley, and other large national and multi-national insurance carriers.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Specialty Admitted Insurance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diverse nature of the products offered by the Specialty Admitted Insurance segment, competition comes from various sources. National carriers tend to compete for fronting and program accounts along all product lines. Competition for our fronting business includes but is not limited to State National (part of Markel), Argo Group, Clear Blue, Spinnaker, Trisura, Red Point, Equity Insurance Company, Worth Insurance, and Amtrust.</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Bermuda Insurance Regulation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1978 and related rules and regulations (the “Insurance Act”), which regulates the insurance business of JRG Re, provides that no person shall carry on insurance business in or from within Bermuda unless registered as an insurer under the Insurance Act by the Bermuda Monetary Authority (the “BMA”). The BMA, in deciding whether to grant registration,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The registration of an applicant as an insurer is subject to its complying with the terms of its registration and such other conditions as the BMA may impose at any time.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It is not necessary that the insurance company be incorporated in Bermuda. A foreign corporation may obtain a permit under the Companies Act 1981 of Bermuda (the “Companies Act”) to carry on business in Bermuda and then be registered as an insurer in Bermuda under the Insurance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does not distinguish between insurers and reinsurers; companies are registered (licensed) under the Insurance Act as “insurers” (although in certain circumstances a condition to registration may be imposed to the effect that the company may carry on only reinsurance business). The Insurance Act uses the defined term “insurance business” to include reinsurance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also grants to the BMA powers to supervise, investigate and intervene in the affairs of insurance companies.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Insurance Advisory Committee appointed by the Bermuda Minister of Finance advises the BMA on matters connected with the discharge of the BMA’s functions and subcommittees thereof supervise, investigate and review the law and practice of insurance in Bermuda, including reviews of accounting and administrative procedures.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imposes solvency and liquidity standards on Bermuda insurance companies, as well as auditing and reporting requirements.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Certain significant aspects of the Bermuda insurance regulatory framework applicable to Class 3B insurers are set</w:t>
      </w:r>
      <w:r>
        <w:rPr>
          <w:color w:val="000000"/>
        </w:rPr>
        <w:t xml:space="preserve"> </w:t>
      </w:r>
      <w:r>
        <w:rPr>
          <w:rFonts w:ascii="Times New Roman;sans-serif" w:hAnsi="Times New Roman;sans-serif"/>
          <w:b w:val="false"/>
          <w:color w:val="000000"/>
          <w:sz w:val="20"/>
        </w:rPr>
        <w:t>forth below.</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Classification of Insurers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distinguishes between insurers carrying on long-term business, insurers carrying on general business and insurers carrying on special purpose business. There are several classifications of insurers carrying on general business, ranging from Class 1 insurers (pure captives) to Class 4 insurers (large commercial underwriters). JRG Re is licensed as a Class 3B insurer and is regulated as such under the Insurance Act.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Minimum Paid-Up Share Capital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is required to maintain fully paid up share capital of at least $120,000.</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Principal Representative and Principal Office</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A Class 3B insurer is required to maintain a principal office and to appoint and maintain a principal representative in Bermuda. For the purposes of the Insurance Act, the principal office of JRG Re is located at Wellesley House, 2</w:t>
      </w:r>
      <w:r>
        <w:rPr>
          <w:rFonts w:ascii="Times New Roman;sans-serif" w:hAnsi="Times New Roman;sans-serif"/>
          <w:b w:val="false"/>
          <w:color w:val="000000"/>
          <w:sz w:val="13"/>
        </w:rPr>
        <w:t>nd</w:t>
      </w:r>
      <w:r>
        <w:rPr>
          <w:color w:val="000000"/>
        </w:rPr>
        <w:t xml:space="preserve"> </w:t>
      </w:r>
      <w:r>
        <w:rPr>
          <w:rFonts w:ascii="Times New Roman;sans-serif" w:hAnsi="Times New Roman;sans-serif"/>
          <w:b w:val="false"/>
          <w:color w:val="000000"/>
          <w:sz w:val="20"/>
        </w:rPr>
        <w:t>Floor, 90 Pitts Bay Road, Pembroke, HM 08, Bermuda.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Without a reason acceptable to the BMA, an insurer may not terminate the appointment of its principal representative, and the principal representative may not cease to act as such, unless 30 days’ prior notice in writing to the BMA is given of the intention to do so.</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It is the duty of the principal representative to forthwith notify the BMA where the principal representative reaches the view that there is a likelihood of the insurer (for which the principal representative acts) becoming insolvent, or on it coming to the knowledge of the principal representative, or the principal representative having reason to believe, that a reportable “event” has occurred. Examples of a reportable “event” include a failure by the insurer to comply substantially with a condition imposed upon it by the BMA relating to a solvency margin or a liquidity or other ratio, a significant loss reasonably likely to cause the insurer to fail to comply with its enhanced capital requirement (discussed below) and the occurrence of a material change (as such term is defined under the Insurance Act) in its business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Within 14 days of such notification to the BMA, the principal representative must furnish the BMA with a written report setting out all the particulars of the case that are available to the principal representative.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Where there has been a significant loss which is reasonably likely to cause the insurer to fail to comply with its enhanced capital requirement, the principal representative must also furnish the BMA with a capital and solvency return reflecting an enhanced capital requirement prepared using post-loss data. The principal representative must provide this within 45 days of notifying the BMA regarding the loss.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where a notification has been made to the BMA regarding a material change, the principal representative has 30 days from the date of such notification to furnish the BMA with unaudited interim statutory financial statements in relation to such period as the BMA may require, together with a general business solvency certificate in respect of those statements.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Head Office</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A Class 3B insurer shall maintain its head office in Bermuda. In determining whether the insurer satisfies this requirement, the BMA shall consider, </w:t>
      </w:r>
      <w:r>
        <w:rPr>
          <w:rFonts w:ascii="Times New Roman;sans-serif" w:hAnsi="Times New Roman;sans-serif"/>
          <w:b w:val="false"/>
          <w:i/>
          <w:color w:val="000000"/>
          <w:sz w:val="20"/>
        </w:rPr>
        <w:t>inter alia</w:t>
      </w:r>
      <w:r>
        <w:rPr>
          <w:rFonts w:ascii="Times New Roman;sans-serif" w:hAnsi="Times New Roman;sans-serif"/>
          <w:b w:val="false"/>
          <w:color w:val="000000"/>
          <w:sz w:val="20"/>
        </w:rPr>
        <w:t xml:space="preserve">, the following factors: (i) where the underwriting, risk management and operational decision making of the insurer occurs; (ii) whether the presence of senior executives who are responsible for, and involved in, the decision making related to the insurance business of the insurer are located in Bermuda; and (iii) where meetings of the board of directors of the insurer occur. In making its determination, the BMA may also have regard to (a) the location where management of the insurer meets to effect policy decisions of the insurer; (b) the residence of the officers, insurance managers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or employees of the insurer; and (c) the residence of one or more directors of the insurer in Bermuda. This provision does not apply to an insurer that has a permit to conduct business in Bermuda under the Companies Act or the Non-Resident Insurance Undertakings Act 1967.</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Loss Reserve Specialist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is required to appoint an individual approved by the BMA to be its loss reserve specialist. In order to qualify as an approved loss reserve specialist, the applicant must be an individual qualified to provide an opinion in accordance with the requirements of the Insurance Act and the BMA must be satisfied that the individual is fit and proper to hold such an appointment.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is required to submit annually an opinion of its approved loss reserve specialist with its capital and solvency return in respect of its total general business insurance technical provisions (i.e. the aggregate of its net premium provisions, net loss and loss expense provisions and risk margin, as each is reported in the insurer’s statutory economic balance sheet). The loss reserve specialist’s opinion must state, among other things, whether or not the aggregate amount of technical provisions shown in the statutory economic balance sheet as at the end of the relevant financial year (i) meets the requirements of the Insurance Act and (ii) makes reasonable provision for the total technical provisions of the insurer under the terms of its insurance contracts and agreements.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Annual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is required to prepare and submit to the BMA, on an annual basis, audited financial statements which have been prepared under generally accepted accounting principles or international financial reporting standards (“GAAP financial statements”) and audited statutory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prescribes rules for the preparation and substance of statutory financial statements (which include, in statutory form, a balance sheet, an income statement, a statement of capital and surplus and notes thereto). The statutory financial statements include detailed information and analysis regarding premiums, claims, reinsurance and investments of the insurer.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insurer’s annual GAAP financial statements, and the auditor’s report thereon, and the statutory financial statements are required to be filed with the BMA within four months from the end of the relevant financial year (unless specifically extended with the approval of the BMA). The statutory financial statements do not form a part of the public records maintained by the BMA but the GAAP financial statements are available for public inspection.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Declaration of Compliance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filing its statutory financial statements, a Class 3B insurer is also required to deliver to the BMA a declaration of compliance, in such form and with such content as may be prescribed by the BMA, declaring whether or not the insurer has, with respect to the preceding financial year (i) complied with all requirements of the minimum criteria applicable to it, (ii) complied with the minimum margin of solvency as at its financial year end, (iii) complied with the applicable enhanced capital requirements as at its financial year end, (iv) complied with applicable conditions, directions and restrictions imposed on, or approvals granted to, the insurer and (v) complied with the minimum liquidity ratio for general business as at its financial year end. The declaration of compliance is required to be signed by two directors of the insurer, and if the insurer has failed to comply with any of the requirements referenced in (i) through (v) above or observe any limitations, restrictions or conditions imposed upon the issuance of its license, if applicable, the insurer will be required to provide the BMA with particulars of such failure in writing. A Class 3B insurer shall be liable to a civil penalty by way of a fine for failure to comply with a duty imposed on it in connection with the delivery of the declaration of compliance.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Annual Statutory Financial Return and Annual Capital and Solvency Return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is required to file with the BMA a statutory financial return no later than four months after its financial year end (unless specifically extended with the approval of the BMA).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statutory financial return of an insurer shall consist of (i) an insurer information sheet, (ii) an auditor’s report, (iii) the statutory financial statements, (iv) notes to the statutory financial statements and (v) declaration of compliance.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insurer information sheet shall state, among other matters, (i) whether the general purpose financial statements of the insurer for the relevant year have been audited and an unqualified opinion issued, (ii) the minimum margin of solvency applying to the insurer and whether such margin was met, (iii) whether or not the minimum liquidity ratio applying to the insurer for the relevant year was met and (iv) whether or not the insurer has complied with every condition attached to its certificate of registration. The insurer information sheet shall state if any of the questions identified in items (ii), (iii) or (iv) above is answered in the negative, whether or not the insurer has taken corrective action in any case and, where the insurer has taken such action, describe the action in an attached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directors are required to certify whether the minimum solvency margin has been met, and the independent approved auditor is required to state whether in its opinion it was reasonable for the directors to make this certification.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Where an insurer’s accounts have been audited for any purpose other than compliance with the Insurance Act, a statement to that effect must be filed with the statutory financial return.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each year the insurer is required to file with the BMA a capital and solvency return along with its annual statutory financial return. The prescribed form of capital and solvency return comprises the insurer’s Bermuda Solvency Capital Requirement (“BSCR”) model or an approved internal capital model in lieu thereof, together with such schedules as prescribed by the Insurance (Prudential Standards) (Class 4 and Class 3B Solvency Requirement) Rules 2008 for Class 3B insurers, as amended from time to time.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Neither the statutory financial return nor the capital and solvency return is available for public inspection.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Quarterly Financial Return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not otherwise subject to group supervision, is required to prepare and file quarterly financial returns with the BMA on or before the last day of the months of May, August and November of each year. The quarterly financial returns consist of (i) quarterly unaudited financial statements for each financial quarter (which must minimally include a balance sheet and income statement and must also be recent and not reflect a financial position that exceeds two months), (ii) details of intra-group transactions that the Class 3B insurer is a party to and the Class 3B insurer's risk concentrations, including details of material intra-group transactions that have materialized since the most recent quarterly or annual financial returns, details surrounding all intra-group reinsurance and retrocession arrangements and other intra-group risk transfer insurance business arrangements that have materialized since the most recent quarterly or annual financial returns, and details of the ten largest exposures to unaffiliated counterparties and any other unaffiliated counterparty exposures exceeding 10% of the Class 3B insurer’s statutory capital and surplus, (iii) enhanced capital requirement ratio for the financial quarter, (iv) total quoted bonds and unquoted bonds allocated by BSCR rating for the financial quarter and (v) details of any qualifying catastrophic event that occurred during the financial quarter.</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Public Disclosures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commercial insurers and insurance groups are required under the Insurance Act to prepare and file with the BMA, and also publish on their web site, a financial condition report. The BMA has discretion to approve modifications and exemptions to the public disclosure rules on application by the insurer if, among other things, the BMA is satisfied that the disclosure of certain information will result in a competitive disadvantage or compromise confidentiality obligations of the insurer.</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Independent Approved Auditor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must appoint an independent auditor who will audit and report on the insurer’s GAAP financial statements and statutory financial statements,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Non-insurance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Class 3B insurer may engage in non-insurance business unless that non-insurance business is ancillary to its insurance business. Non-insurance business means any business other than insurance business and includes carrying on investment business, managing an investment fund as operator, carrying on business as a fund administrator, carrying on banking business, underwriting debt or securities or otherwise engaging in investment banking, engaging in commercial or industrial activities and carrying on the business of management, sales or leasing of real property.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Minimum Liquidity Ratio</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provides a minimum liquidity ratio for general business insurers. A Class 3B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reinsurance balances receivable, funds held by ceding reinsurers and any other assets which the BMA, on application in any particular case made to it with reasons, accepts in that case.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certain categories of assets which, unless specifically permitted by the BMA, do not automatically qualify as relevant assets, such as unquoted equity securities, investments in and advances to affiliates and real estate and collateral loans.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relevant liabilities are total general business insurance reserves and total other liabilities less deferred income taxes and letters of credit, guarantees and other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Minimum Solvency Margin and Enhanced Capital Requirements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provides that the value of the statutory assets of an insurer must exceed the value of its statutory liabilities by an amount greater than its prescribed minimum solvency margin (“MSM”).</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MSM that must be maintained by a Class 3B insurer with respect to its general business is the greater of (i) $1,000,000, (ii) 20% of the first $6,000,000 of net premiums written (but if the net premiums written are in excess of $6,000,000, the figure is $1,200,000 plus 15% of net premiums written in excess of $6,000,000) or (iii) 15% of the aggregate of net loss and loss expense provisions and other insurance general business reserves or (iv) 25% of the ECR (as defined below) as reported at the end of the relevant year.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Class 3B insurers are also required to maintain available statutory economic capital and surplus at a level equal to or in excess of its enhanced capital requirement (“ECR”) which is established by reference to either the BSCR model or an approved internal capital model.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BSCR model is a risk-based capital model which provides a method for determining an insurer’s capital requirements (statutory economic capital and surplus) by taking into account the risk characteristics of different aspects of the insurer’s business. The BSCR formula establishes capital requirements for ten categories of risk: fixed income investment risk, equity investment risk, interest rate/liquidity risk, currency risk, concentration risk, premium risk, reserve risk, credit risk, catastrophe risk and operational risk. For each category, the capital requirement is determined by applying factors to asset, premium, reserve, creditor, probable maximum loss and operation items, with higher factors applied to items with greater underlying risk and lower factors for less risky items.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not specifically referred to in the Insurance Act (or required thereunder), the BMA has also established a target capital level (“TCL”) for each Class 3B insurer equal to 120% of its ECR. The TCL serves as an early warning tool for the BMA, and failure to maintain statutory capital at least equal to the TCL will likely result in increased regulatory oversight.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insurer which at any time fails to meet its MSM requirements must, upon becoming aware of such failure, immediately notify the BMA and, within 14 days thereafter, file a written report with the BMA containing particulars of the circumstances that gave rise to the failure and setting out its plan detailing specific actions to be taken and the expected timeframe in which the insurer intends to rectify the failure.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insurer which at any time fails to meet its applicable ECR shall, upon becoming aware of that failure or of having reason to believe that such a failure has occurred, immediately notify the BMA in writing and within 14 days of such notification file with the BMA a written report containing particulars of the circumstances leading to the failure, and a plan detailing the manner, specific actions to be taken and time within which the insurer intends to rectify the failure, and within 45 days of becoming aware of that failure or of having reason to believe that such a failure has occurred, furnish the BMA with (i) unaudited statutory economic balance sheets and unaudited interim statutory financial statements prepared in accordance with GAAP covering such period as the BMA may require; (ii) the opinion of a loss reserve specialist in relation to the total general business insurance technical provisions as set out in the economic balance sheet, where applicable; (iii) a general business solvency certificate in respect of the financial statements; and (iv) a capital and solvency return reflecting an enhanced capital requirement prepared using post failure data where applicable.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Eligible Capital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enable the BMA to better assess the quality of an insurer’s capital resources, a Class 3B insurer is required to disclose the makeup of its capital in accordance with a “3-tiered eligible capital system”. Under this system, all of the insurer’s capital instruments will be classified as either basic or ancillary capital which in turn will be classified into one of three tiers based on their “loss absorbency” characteristics. Highest quality capital will be classified as Tier 1 Capital, and lesser quality capital will be classified as either Tier 2 Capital or Tier 3 Capital. Under this regime, up to certain specified percentages of Tier 1, Tier 2 and Tier 3 Capital may be used to support the insurer’s MSM, ECR and TCL.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characteristics of the capital instruments that must be satisfied to qualify as Tier 1, Tier 2 and Tier 3 Capital are set out in the Insurance (Eligible Capital) Rules 2012, and amendments thereto. Under these rules, Tier 1, Tier 2 and Tier 3 Capital may, until January 1, 2026, include capital instruments that do not satisfy the requirement that the instrument be non-redeemable or settled only with the issuance of an instrument of equal or higher quality upon a breach, or if it would cause a breach, of the ECR.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Where the BMA has previously approved the use of certain instruments for capital purposes, the BMA’s consent will need to be obtained if such instruments are to remain eligible for use in satisfying the MSM and the ECR.</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Code of Conduct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Insurance Code of Conduct (the “Insurance Code”) prescribes the duties, standards, procedures and sound business principles with which all insurers registered under the Insurance Act must comply. The BMA will assess an insurer’s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the Insurance Code in a proportional manner relative to the nature, scale and complexity of its business. Failure to comply with the requirements of the Insurance Code will be taken into account by the BMA in determining whether an insurer is conducting its business in a sound and prudent manner as prescribed by the Insurance Act, may result in the BMA exercising its powers of intervention and investigation (see below) and will be a factor in calculating the operational risk charge under the insurer’s BSCR or approved internal model. At the end of 2021, the BMA released a consultation paper on the revisions to the Insurance Code and following a review of the public consultation feedback, the revisions to the Insurance Code were finalized and became effective on August 31, 2022 (with a six-month transition period for conduct-related additions and a 12-month transition period to comply with the new provisions/amendments of all other sections of the document). The most significant changes to the Insurance Code relate to corporate governance, including introducing a requirement that an insurer's board include an appropriate number of non-executive directors and independent directors without executive responsibility. The BMA clarified that the revisions would not create a requirement for independent non-executive directors for all boards, but that subsidiary boards of a Bermuda group would determine the appropriate number of non-executive directors required for the entity based on the nature, scale and complexity of the insurer's operations. The Insurance Code was also amended to require board members to review and assess the fitness and propriety of board members, committees, and chief and senior executives at least every three (3) years and/or upon a material change to the business activities or risk profile. Other changes include a requirement for insurers to demonstrate the economic impact of risk mitigation techniques originating from reinsurance contracts and the addition of "Sustainability Risk" as a material risk that should be considered in risk management strategies.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Cyber Risk Code of Conduct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BMA has recognized that cyber incidents can cause significant financial losses and/or reputational impacts across the insurance industry and has implemented the Insurance Sector Operational Cyber Risk Management Code of Conduct (the “Cyber Risk Code”) to ensure that those operating in the Bermuda insurance sector can mitigate such risks. The Cyber Risk Code prescribes the duties, requirements, standards, procedures and principles which all insurers, insurance managers and insurance intermediaries (agents, brokers and insurance market place providers) registered under the Insurance Act must comply. The Cyber Risk Code is designed to promote the stable and secure management of information technology systems of regulated entities and requires that all registrants implement their own technology risk programmes, determine what their top risks are and develop an appropriate risk response. This requires all registrants to develop a cyber risk policy which is to be delivered pursuant to an operational cyber risk management programme and appoint an appropriately qualified member of staff or outsourced resource to the role of Chief Information Security Officer. The role of the Chief Information Security Officer is to deliver the operational cyber risk management programme.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It is expected that the cyber risk policy will be approved by the registrant’s board of directors at least annually. The BMA will assess a registrant’s compliance with the Cyber Risk Code in a proportionate manner relative to the nature, scale and complexity of its business. While it is acknowledged that some registrants will use a third party to provide technology services and that they may outsource their IT resources (for example, to an insurance manager where applicable), when so outsourced, the overall responsibility for the outsourced functions will remain with the registrant’s board of directors. Failure to comply with the requirements of the Cyber Risk Code will be taken into account by the BMA in determining whether a registrant is conducting its business in a sound and prudent manner as prescribed by the Insurance Act and may result in the BMA exercising its powers of intervention and investigation (see below).</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Restrictions on Dividends and Distributions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is prohibited from declaring or paying a dividend if it is in breach of its MSM, ECR or minimum liquidity ratio or if the declaration or payment of such dividend would cause such a breach. Where an insurer fails to meet its MSM or minimum liquidity ratio on the last day of any financial year, it will be prohibited from declaring or paying any dividends during the next financial year without the approval of the BMA.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Reduction of Capital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Class 3B insurer may reduce its total statutory capital by 15% or more, as set out in its previous 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 (such as letters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seeking to reduce its statutory capital by 15% or more, as set out in its previous year’s financial statements, is also required to submit an affidavit signed by at least two directors (one of whom must be a Bermuda-resident director if any of the insurer’s directors are resident in Bermuda) and the principal representative stating that the proposed reduction will not cause it to fail its relevant margins and such other information as the BMA may require. Where such an affidavit is filed, it shall be available for public inspection at the offices of the BMA.</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Policyholder Priority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the liquidation or winding up of an insurer, policyholders’ liabilities receive prior payment ahead of general unsecured creditors. Subject to the prior payment of preferential debts under the Employment Act 2000 and the Companies Act, the insurance debts of an insurer must be paid in priority to all other unsecured debts of the insurer. Insurance debt is defined as a debt to which an insurer is or may become liable pursuant to an insurance contract, excluding debts owed to an insurer under an insurance contract where the insurer is the person insured. Insurance contract is defined as any contract of insurance, capital redemption contract or a contract that has been recorded as insurance business in the financial statements of the insurer pursuant to the Insurance Accounts Regulations 1980 or the Insurance Account Rules 2016, as applicable.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Fit and Proper Controller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BMA maintains supervision over the controllers of all registered insurers in Bermuda.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controller includes (i) the managing director of the registered insurer or its parent company, (ii) the chief executive of the registered insurer or of its parent company, (iii) a shareholder controller, and (iv) any person in accordance with whose directions or instructions the directors of the registered insurer or of its parent company are accustomed to act.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definition of shareholder controller is set out in the Insurance Act, but generally refers to (i) a person who holds 10% or more of the shares carrying rights to vote at a shareholders’ meeting of the registered insurer or its parent company, (ii) a person who is entitled to exercise 10% or more of the voting power at any shareholders’ meeting of such registered insurer or its parent company, or (iii) a person who is able to exercise significant influence over the management of the registered insurer or its parent company by virtue of its shareholding or its entitlement to exercise, or control the exercise of, the voting power at any shareholders’ meeting.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shareholder controller that owns 10% or more, but less than 20% of the shares as described above is defined as a 10% shareholder controller. A shareholder controller that owns 20% or more, but less than 33% of the shares as described above is defined as a 20% shareholder controller. A shareholder controller that owns 33% or more but less than 50% of the shares as described above is defined as a 33% shareholder controller. A shareholder controller that owns 50% or more of the shares as described above is defined as a 50% shareholder controller.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the shares of JRG Re’s parent company are traded on a recognized stock exchange, a person who becomes a 10%, 20%, 33% or 50% shareholder controller of the insurer, shall, within 45 days, notify the BMA in writing that he or she has become such a controller. In addition, a person who is a shareholder controller of JRG Re must serve on the BMA a notice in writing that he or she has reduced or disposed of his or her holding in the insurer where the proportion of voting rights in the insurer held by him or her will have reached or has fallen below 10%, 20%, 33% or 50% as the case may be, not later than 45 days after such disposal.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person who contravenes the Insurance Act by failing to give notice or knowingly becomes a controller of any description before the required 45 days has elapsed is guilty of an offence and liable to a fine of $25,000 on summary conviction.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BMA may file a notice of objection to any person who has become a controller of any description where it appears that such person is not or is no longer, a fit and proper person to be a controller of the registered insurer. Before issuing a notice of objection, the BMA is required to serve upon the person concerned a preliminary written notice stating the BMA’s intention to issue a formal notice of objection. Upon receipt of the preliminary written notice, the person served may, within 28 days, file written representations with the BMA, which shall be taken into account by the BMA in making their final determination. Any person who continues to be a controller of any description after having received a notice of objection shall be guilty of an offense and shall be liable on summary conviction to a fine of $25,000 (and a continuing fine of $500 per day for each day that the offense is continuing) or, if convicted on indictment, to a fine of $100,000 and/or two years in prison.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Notification by Registered Person of Change of Controllers and Officers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registered insurers are required to give written notice to the BMA of the fact that a person has become, or ceased to be, a controller or officer of the insurer within 45 days of becoming aware of such fact. An officer in relation to a registered insurer means a director, chief executive or senior executive performing duties of underwriting, actuarial, risk management, compliance, internal audit, finance or investment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Notification of Material Changes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registered insurers are required to give notice to the BMA of their intention to effect a material change within the meaning of the Insurance Act. For the purposes of the Insurance Act, the following changes are material: (i) the transfer or acquisition of insurance business being part of a scheme falling under Section 25 of the Insurance Act or Section 99 of the Companies Act, (ii) the amalgamation with or acquisition of another firm, (iii) engaging in unrelated business that is retail business, (iv) the acquisition of a controlling interest in an undertaking that is engaged in non-insurance business which offers services and products to persons who are not affiliates of the insurer, (v) outsourcing all or substantially all of the company’s actuarial, risk management compliance or internal audit functions, (vi) outsourcing all or a material part of an insurer’s underwriting activity, (vii) the transfer other than by way of reinsurance of all or substantially all of a line of business, (viii) expansion into a material new line of business, (ix) the sale of an insurer, and (x) outsourcing of an officer role.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registered insurer shall take any steps to give effect to a material change unless it has first served notice on the BMA that it intends to effect such material change, and before the end of 30 days, either the BMA has notified such company in writing that it has no objection to such change or that period has lapsed without the BMA having issued a notice of objection.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Before issuing a notice of objection, the BMA is required to serve upon the person concerned a preliminary written notice stating the BMA’s intention to issue a formal notice of objection. Upon receipt of the preliminary written notice, the person served may, within 28 days, file written representations with the BMA which shall be taken into account by the BMA in making their final determination.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Notification of Cyber Reporting Events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Every insurer is required to notify the BMA on it coming to the knowledge of the insurer, or where the insurer has reason to believe that a Cyber Reporting Event has occurred. Within fourteen days of such notification, the insurer must also furnish the BMA with a written report setting out all the particulars of the Cyber Reporting Event that are available to it. A Cyber Reporting Event includes any act that results in the unauthorized access to, disruption, or misuse of electronic systems or information stored on such systems of an insurer, including breach of security leading to the loss or unlawful destruction or unauthorized disclosure of or access to such systems or information where there is a likelihood of an adverse impact to policyholders, clients or the insurer's insurance business, or an event that has occurred for which notice is required to be provided to a regulatory body or government agency.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Supervision, Investigation, Intervention and Disclosure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BMA may, by notice in writing served on a registered person or a designated insurer, require the registered person or designated insurer to provide such information and/or documentation as the BMA may reasonably require with respect to matters that are likely to be material to the performance of its supervisory functions under the Insurance Act. In addition, it may require such person’s auditor, underwriter, accountant or any other person with relevant professional skill of such registered person or designated insurer to prepare a report on any aspect pertaining thereto. In the case of a report, the person so appointed shall immediately give the BMA written notice of any fact or matter of which he becomes aware or which indicates to him that any condition attaching to his registration under the Insurance Act is not or has not, or may not be or may not have, been fulfilled and that such matters are likely to be material to the performance of its functions under the Insurance Act. If it appears to the BMA to be desirable in the interests of the clients of a registered person or relevant insurance group, the BMA may also exercise these powers in relation to subsidiaries, parent companies and other affiliates of the registered person or designated insurer.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BMA deems it necessary to protect the interests of the policyholders or potential policyholders of an insurer or insurance group, it may appoint one or more competent persons to investigate and report on the nature, conduct or state of the insurer’s or the insurance group’s business, or any aspect thereof, or the ownership or control of the insurer or insurance group. If the person so appointed thinks it necessary for the purposes of the investigation, such person may also investigate the business of any person who is or has been, at any relevant time, a member of the insurance group or of a partnership of which the person being investigated is a member. In this regard, it shall be the duty of every person who is or was a controller, officer, employee, agent, banker, auditor, accountant, barrister and attorney or insurance manager to produce to the person appointed such documentation as the appointed person may reasonably require for purposes of the investigation, and to attend and answer questions relevant to the investigation and to otherwise provide such assistance as may be necessary in connection therewith.</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 the BMA suspects that a person has failed to properly register under the Insurance Act or that a registered person or designated insurer has failed to comply with a requirement of the Insurance Act or that a person is not, or is no longer, a fit and proper person to perform functions in relation to a regulated activity, it may, by notice in writing, carry out an investigation into such person (or any other person connected thereto). In connection therewith, the BMA may require every person who is or was a controller, officer, employee, agent, banker, auditor, accountant, barrister and attorney or insurance manager to make a report and produce such documents in his care, custody and control and to attend before the BMA to answer questions relevant to the BMA’s investigation and to take such actions as the BMA may direct. The BMA may also enter any premises for the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of carrying out its investigation and may petition the court for a warrant if it believes a person has failed to comply with a notice served on him, there are reasonable grounds for suspecting the completeness of any information or documentation produced in response to such notice, or that its directions will not be complied with or that any relevant documents would be removed, tampered with or destroyed.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it appears to the BMA that the business of the registered insurer is being conducted in a way that there is a significant risk of the insurer becoming insolvent or being unable to meet its obligations to policyholders, or that the insurer is in breach of the Insurance Act or any conditions imposed upon its registration, or the minimum criteria stipulated in the Insurance Act is not or has not been fulfilled in respect of a registered insurer, or that a person has become a controller without providing the BMA with the appropriate notice or in contravention of a notice of objection, or the registered insurer is in breach of its ECR, or that a designated insurer is in breach of any provision of the Insurance Act or the regulations or rules applicable to it, the BMA may issue such directions as it deems desirable for safeguarding the interests of policyholders or potential policyholders of the insurer or the insurance group. The BMA may, among other things, direct an insurer, for itself and in its capacity as designated insurer of the insurance group of which it is a member, (i) not to take on any new insurance business, (ii) not to vary any insurance contract if the effect would be to increase the insurer’s liabilities, (iii) not to make certain investments, (iv) to realize certain investments, (v) to maintain in or transfer to the custody of a specified bank, certain assets, (vi) not to declare or pay any dividends or other distributions or to restrict the making of such payments, (vii) to limit its premium income, (viii) not to enter into specified transactions with any specified person or persons of a specified class, (ix) to provide such written particulars relating to the financial circumstances of the insurer as the BMA thinks fit, (x) as an individual insurer only, and not in its capacity as designated insurer, to obtain the opinion of a loss reserve specialist and submit it to the BMA, and/or (xi) to remove a controller or officer.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BMA has the power to assist other regulatory authorities, including foreign insurance regulatory authorities, with their investigations involving insurance and reinsurance companies in Bermuda if it is satisfied that the assistance being requested is in connection with the discharge of regulatory responsibilities and that such cooperation is in the public interest. The grounds for disclosure by the BMA to a foreign regulatory authority without consent of the insurer are limited and the Insurance Act provides for sanctions for breach of the statutory duty of confidentiality.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Cancellation of Insurer’s Registration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insurer’s registration may be cancelled by the BMA at the request of the insurer or on certain grounds specified in the Insurance Act. Failure by the insurer to comply with its obligations under the Insurance Act, or if the BMA believes that the insurer has not been carrying on business in accordance with sound insurance principles, would be examples of such grounds.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Certain Other Bermuda Law Considerations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Bermuda Corporate Law Considerations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James River Group Holdings, Ltd. is incorporated in Bermuda, it is designated as a non-resident for Bermuda exchange control purposes by the BMA. Pursuant to its non-resident status, James River Group Holdings, Ltd. may engage in transactions in currencies other than the Bermuda dollar, and there are no restrictions on its ability to transfer funds (other than funds denominated in Bermuda dollars) in and out of Bermuda or to pay dividends to non-residents who are holders of its common shares in currencies other than the Bermuda dollar.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Bermuda law, share certificates are issued only in the names of companies, partnerships or individuals. In the case of an applicant acting in a special capacity (for example, as an executor or trustee), certificates may, at the request of the applicant, record the capacity in which the applicant is acting. Notwithstanding the recording of any such special capacity, we are not bound to investigate or see to the execution of any such trust. We will take no notice of any trust applicable to any of our common shares whether or not we have notice of such trust.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James River Group Holdings, Ltd. and JRG Re is incorporated in Bermuda as an “exempted company.” Under Bermuda law, exempted companies are companies formed for the purpose of conducting business outside Bermuda from a principal place of business in Bermuda. As a result, they are exempt from Bermuda laws restricting the percentage of share capital that may be held by non-Bermudians. However, exempted companies may not participate in certain business transactions, including: (i) the acquisition or holding of land in Bermuda except that required for their business and held by way of lease or tenancy for a term not exceeding 50 years or, with the consent of the Minister of Finance granted in his discretion by way of lease or tenancy for a term not exceeding 21 years in order to provide accommodation or recreational facilities for its officers and employees, (ii) the taking of mortgages on land in Bermuda to secure an amount in excess of B.D.$50,000 without the consent of the Minister of Finance, (iii) the acquisition of any bonds or debentures secured by any land in Bermuda, other than certain types of Bermuda government securities or securities issued by Bermuda public authorities, or (iv) the carrying on of business of any kind in Bermuda, except in furtherance of business carried on outside Bermuda or under license granted by the Minister of Finance. Generally, it is not permitted without a special license granted by the Minister of Finance to insure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Bermuda domestic risks or risks of persons of, in or based in Bermuda. JRG Re is a licensed insurer in Bermuda, and so it may carry on activities from Bermuda that are related to and in support of its insurance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of James River Group Holdings, Ltd. and JRG Re must comply with the provisions of the Companies Act regulating the payment of dividends and making distributions from contributed surplus. A company may not declare or pay a dividend, or make a distribution out of contributed surplus, if there are reasonable grounds for believing that (i) it is, or would after the payment be, unable to pay its liabilities as they become due, or (ii) the realizable value of the assets would thereby be less than its liabilities. In addition, certain provisions of the Insurance Act will limit our ability to pay dividends.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where a Bermuda company issues shares at a premium (that is, for a price above the par value), whether for cash or otherwise, a sum equal to the aggregate amount or value of the premium on those shares must be transferred to an account called “the share premium account.” The provisions of the Companies Act relating to the reduction of the share capital of a company apply as if the share premium account were paid up share capital of that company, except for certain matters such as: (i) paying up unissued shares to be issued to members as fully paid bonus shares, (ii) writing off the preliminary expenses of the company or the expenses of, or the commission paid or discount allowed on any issue of shares or debentures of the company, or (iii) providing for the premiums payable on redemption of shares or of any debentures of the company. The paid up share capital may not be reduced if, on the date the reduction is to be effected, there are reasonable grounds for believing that the company is, or after the reduction would be, unable to pay its liabilities as they become due. See “Restrictions on Dividends and Distributions”.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in cases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the company (which would include our common shares) are listed on an “Appointed Stock Exchange” (which would include the NASDAQ Stock Market). In granting the general permission, the BMA accepts no responsibility for our financial soundness or the correctness of any of the statements made or opinions expressed herein.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received consent from the BMA to issue, grant, create, sell and transfer freely any of our shares, stock, bonds, notes (other than promissory notes), debentures, debenture stock, units under a unit trust scheme, shares in an oil royalty, options, warrants, coupons, rights and depository receipts to and among persons who are either resident or non-resident of Bermuda for exchange control purposes.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Economic Substance</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Under the Economic Substance Act 2018 and related regulations (collectively, the “ESA”), each entity resident in Bermuda that carries on a “relevant activity” is required to comply with the economic substance requirements under the ESA, unless resident for tax purposes in a jurisdiction outside Bermuda that is not on the EU list of non-cooperative jurisdictions for tax purposes. Relevant activities include, </w:t>
      </w:r>
      <w:r>
        <w:rPr>
          <w:rFonts w:ascii="Times New Roman;sans-serif" w:hAnsi="Times New Roman;sans-serif"/>
          <w:b w:val="false"/>
          <w:i/>
          <w:color w:val="000000"/>
          <w:sz w:val="20"/>
        </w:rPr>
        <w:t>inter alia</w:t>
      </w:r>
      <w:r>
        <w:rPr>
          <w:rFonts w:ascii="Times New Roman;sans-serif" w:hAnsi="Times New Roman;sans-serif"/>
          <w:b w:val="false"/>
          <w:color w:val="000000"/>
          <w:sz w:val="20"/>
        </w:rPr>
        <w:t xml:space="preserve">, insurance and holding entity activities, as each is defined in the ESA.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requires that the entity is managed and directed in Bermuda, core income generating activities (which in relation to insurance includes predicting and calculating risk, insuring or re-insuring against risk, providing client services and preparing regulatory reports) are undertaken in Bermuda with respect to the relevant activity, the entity maintains adequate physical presence in Bermuda, there are adequate full time employees in Bermuda with suitable qualifications and there is adequate operating expenditure incurred in Bermuda in relation to the relevant activity. Entities in scope will also need to file an annual declaration form in respect of its relevant activity or activities.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relation to carrying on the relevant activity of insurance, compliance with the ESA also requires compliance with requirements in the Companies Act relating to corporate governance and the requirements of the Insurance Act and other instruments (including the Insurance Code) made thereunder. The Bermuda Registrar of Companies (the “Registrar”) will have regard to an insurer’s compliance with the Insurance Act and the Companies Act in his assessment of compliance with economic substance requirements and on the basis that an insurer complies with such requirements, the insurer will generally be considered to operate in Bermuda with adequate substance. An insurer will be required to complete and file a declaration form, and the Registrar will also have regard to the information provided in the declaration form in making his assessment of compliance with economic substance requirements.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Holding entities are subject to minimum economic substance requirements comprising (in the case of an exempted company), compliance with the corporate governance requirements set forth in the Companies Act and the filing of a declaration form. The ESA also requires such a holding entity to have adequate people for holding and managing equity participations and have adequate premises in Bermuda.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entity that must satisfy economic substance requirements but fails to do so could face automatic disclosure to competent authorities in the EU of the information filed by the entity with the Registrar in connection with the economic substance requirements and may also face financial penalties, restriction or regulation of its business activities and/or may be struck off as a registered entity in Bermuda.</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Bermuda Work Permit Considerations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Bermuda law, non-Bermudians (other than spouses of Bermudians and individuals holding permanent resident’s certificates) may not engage in any gainful occupation in Bermuda without an appropriate government work permit.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Standard work permits can be obtained for a one-, two-, three-, four- or five-year period. Where a standard work permit is being applied for, it is a requirement that the job must be advertised for three days (within an eight-day period) in the local newspaper and advertised for eight consecutive days on the Bermuda Government Job Board. Should no Bermudian (or spouse of a Bermudian or holder of a permanent resident’s certificate) meet the minimum standards as stipulated in the advertisements, the employer may then apply for a standard work permit for the non-Bermudian. Where such persons apply, employers must complete a Recruitment Disclosure Form, within the Standard Work Permit Application Form, and provide a summary of all applicants that are Bermudian, the spouse of the Bermudian or the holder of a permanent resident's certificate, including their qualifications and the reason they were unsuccessful. The Department of Immigration will compare the qualifications and experience of any Bermudian applicants (or spouse of a Bermudian or holder of a permanent resident’s certificate) to that stipulated in the advertisements and to the non-Bermudian to be satisfied that the role could not have been filled by a Bermudian (or spouse of a Bermudian or holder of a permanent resident’s certificate). In addition to the advertising, there are other documents that are required prior to the Department of Immigration making its decision.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position for which the standard work permit is being applied is that of a Chief Executive Officer or other chief officer post, the Minister of Economy and Labour allows an automatic waiver from the requirement to advertise the position and on occasion, after consideration, may waive the requirement to advertise for other senior executive positions upon request.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an employer wishes to change an employee’s job title, provided that the job description, duties, remuneration and benefits remain unchanged, the employer does not need to advertise or obtain the permission of the Minister of Economy and Labour to do this, but it must inform the Department of Immigration by letter, including the new Statement of Employment, and pay the necessary fee before or after the change has occurred.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an employer wishes to promote an employee currently on a work permit from his current job to another within the same business, the permission of the Minister of Economy and Labour must first be obtained. The employer will need to advertise internally and provide evidence of the internal recruitment efforts and consideration of internal Bermudian/spouse of Bermudian candidates.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temporary work permit can take up to 10 working days to process and a standard work permit takes four weeks to process.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Employers have the right to appeal to the Minister following any decision made by the Board or the Minister. Appeals should be submitted on letter form to the Department for the attention of the Chief Immigration Officer, made within seven (7) working days of the date of the refusal letter.</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U.S. Insurance Regulation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State Regulation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U.S. insurance subsidiaries are subject to extensive regulation and supervision by their state of domicile, as well as those states in which they do business. The purpose of such regulation and supervision is primarily to provide safeguards for policyholders, rather than to protect the interests of shareholders. The insurance laws of the various states establish regulatory agencies with broad administrative powers, including the power to grant or revoke operating licenses and regulate trade practices, investments, premium rates, deposits of securities, the form and content of financial statements and insurance policies, dividend limitations, cancellation and non-renewal of policies, accounting practices and the maintenance of specified reserves and capital for the protection of policyholders.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payment of dividends by our subsidiaries to us is limited by statute. In general, the laws and regulations applicable to our domestic insurance subsidiaries limit the aggregate amount of dividends or other distributions that they may declare or pay within any 12 month period without advance regulatory approval. In Ohio, the domiciliary state of James River Insurance, James River Casualty and Falls Lake National Insurance Company (“Falls Lake National”), the limitation is the greater of statutory net income for the preceding calendar year or 10% of the statutory surplus at the end of the preceding calendar year, provided that such dividends may only be paid out of the earned surplus of each of the companies without obtaining regulatory approvals.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Premium rate regulation varies greatly among jurisdictions and lines of insurance. In most states in which our subsidiaries write insurance, premium rates for the various lines of insurance are subject to either prior approval or limited review upon implementation. States require rates for property-casualty insurance that are adequate, not excessive, and not unfairly discriminatory.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insurance subsidiaries are required to file quarterly and annual reports with the appropriate regulatory agency in its state of domicile and with The National Association of Insurance Commissioners (“NAIC”) based on applicable statutory regulations, which differ from U.S. generally accepted accounting principles. Their business and accounts are subject to examination by such agencies at any time.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jurisdictions have laws and regulations that limit an insurer’s ability to withdraw from a particular market. For example, states may limit an insurer’s ability to cancel or non-renew policies. Furthermore, certain states prohibit an insurer from withdrawing one or more lines of business from the states, except pursuant to a plan approved by the state insurance department. Laws and regulations that limit cancellation and non-renewal and that subject program withdrawals to prior approval requirements may restrict our ability to exit unprofitable marketplaces in a timely manner.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State laws governing insurance holding companies and insurance companies require an insurance holding company and their insurance subsidiaries to register with the insurance department authority, to file certain reports disclosing information, including but not limited to capital structure, ownership, management, and financial condition. Such holding company laws also impose standards and filing requirements on certain transactions between related companies, which include, among other requirements, that all transactions be fair and reasonable, that an insurer’s surplus as regards policyholders be reasonable and adequate in relation to its liabilities and that expenses and payments be allocated to the appropriate party in accordance with customary accounting practices. These transactions between related companies include transfers of assets, loans, reinsurance agreements, service agreements, certain dividend payments by the insurance companies and certain other material transactions and modifications to such transactions. In 2012, the NAIC adopted significant changes to the insurance holding company act and regulations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its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and Ohio, the states in which our U.S. insurance subsidiaries are domiciled, include this enterprise risk report. In addition, in 2012, the NAIC adopted the Risk Management and Own Risk and Solvency Assessment Model Act (the “ORSA Model Act”). The ORSA Model Act, when adopted by the various states, requires an insurance holding company system’s Chief Risk Officer to submit at least annually to its lead state insurance regulator an Own Risk and Solvency Assessment Summary Report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and Ohio, the states in which our U.S. insurance subsidiaries are domiciled, adopted and require an ORSA filing.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holding company laws and regulations of the states in which our insurance companies are domiciled also generally require that before a person can acquire direct or indirect control of an insurer domiciled in the state, and in some cases prior to divesting its control, prior written approval must be obtained from the insurer’s domiciliary state insurance regulator. These laws discourage potential acquisition proposals and may delay, deter or prevent an investment in or a change of control involving us, or one or more of our regulated subsidiaries, including transactions that our management and some or all of our shareholders might consider desirable. Pursuant to applicable laws and regulations, “control” over an insurer is generally presumed to exist if any person, directly or indirectly, owns, controls, holds the power to vote or holds proxies representing 10 percent or more of the voting securities of that insurer. Indirect ownership includes ownership of the Company’s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state insurance guaranty fund laws, insurance companies doing business in a state can be assessed for certain obligations of insolvent insurance companies to such insolvent companies’ policyholders and claimants. Maximum assessments allowed in any one year generally vary between one percent and two percent of annual premiums written in that state, but it is possible that caps on such assessments could be raised if there are numerous or large insolvencies. In most states, guaranty fund assessments are recoverable either through future policy surcharges or offsets to state premium tax liabilities.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state insurance regulators utilize a risk-based capital model to help assess the capital and surplus adequacy of insurance companies in relation to investment and insurance risks and identify insurers that are in, or are perceived as approaching, financial difficulty. This model establishes minimum capital needs based on the risks applicable to the operations of the individual insurer. The risk-based capital requirements for property-casualty insurance companies measure three major areas of risk: asset risk, credit risk and underwriting risk. Under risk-based capital requirements, regulatory compliance is determined by the ratio of a company’s total adjusted capital, as defined by the NAIC, to its company action level risk-based capital. Companies having less statutory surplus than required by the risk-based capital requirements are subject to varying degrees of regulatory scrutiny and intervention, depending on the severity of the inadequacy. At December 31, 2023, the Company’s U.S.-based insurance subsidiaries had total adjusted statutory capital of $615.4 million, which is in excess of the minimum risk-based capital requirement.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response to the growing threat of cyber-attacks in the insurance industry, certain jurisdictions have begun to consider new cybersecurity measures, including the adoption of cybersecurity laws and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The following states have either adopted the NAIC Insurance Data Security Model Law or similar laws that govern the cybersecurity and data protection practices of insurers, insurance agents, and other licensed entities registered under state insurance laws: Alabama, Alaska, California, Connecticut, Delaware, Hawaii, Indiana, Iowa, Kentucky, Louisiana, Maine, Maryland, Michigan, Minnesota, Mississippi, New Hampshire, New York, North Dakota, Ohio, Pennsylvania, South Carolina, Tennessee, Vermont, Virginia and Wisconsin. We continue to monitor whether the other states in which we conduct business adopt the NAIC’s Insurance Data Security Model Law.</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states consider and/or enact laws that may alter or increase state authority to regulate insurance companies and insurance holding companies. States also consider and/or enact laws that impact the competitive environment and marketplace for property-casualty insurance. Changes in legislation or regulations and actions by regulators, including changes in administrative and enforcement policies, could require operational modifications from time to time. We cannot predict the effect that such changes or actions would have on our business, financial condition or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Federal Regulation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impact the insurance industry, including tort reform, corporate governance and the taxation of reinsurance companies. The Dodd-Frank Wall Street Reform and Consumer Protection Act (the “Dodd-Frank Act”) established the Federal Insurance Office which is authorized to study, monitor and report to Congress on the insurance industry and to recommend that the Financial Stability Oversight Council (“FSOC”)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 states. Additionally, the Dodd-Frank Act streamlined E&amp;S placements, the payment of E&amp;S taxes, the regulation of credit for reinsurance, and simplified the process for insurers to become an eligible E&amp;S insurer in the United States.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Changes to federal legislation and administrative policies in several areas, including changes in federal taxation, can also significantly impact the insurance industry and us.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20, 2019, the Terrorism Risk Insurance Act of 2002 and its successors, the Terrorism Risk Insurance Extension Act of 2005, the Terrorism Risk Insurance Program Reauthorization Act of 2007, and the Terrorism Risk Insurance Program Reauthorization Act of 2015 (collectively, the “Terrorism Acts”), were extended through December 31, 2027. Under the Terrorism Acts, commercial property and casualty insurers, in exchange for making terrorism insurance available,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entitled to be reimbursed by the federal government for a portion of their aggregate losses. As required by the Terrorism Acts, we offer policyholders in specific lines of commercial insurance the option to elect terrorism coverage.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for a loss to be covered under the Terrorism Acts, the loss must meet the aggregate industry loss minimum and must be the result of an act of terrorism as certified by the Secretary of the Treasury. Insurers participating in the Terrorism Acts are required to provide information regarding insurance coverage for terrorism losses, including: (i) lines of business with exposure to such losses, (ii) premiums earned on such coverage, (iii) geographical location of exposures, (iv) pricing of such coverage, (v) the take-up rate for such coverage, and (vi) the amount of private reinsurance for acts of terrorism purchased.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Geographic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each of the years ended December 31, 2023, 2022 and 2021, 100% of our gross written premiums and net earned premiums were generated from policies issued to U.S.-based insureds.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by understanding and leveraging the different dimensions of diversity in our workforce, we drive empowerment, collaboration and innovation needed to be a leader in our industry. As of December 31, 2023, we had 649 employees located in the United States and Bermuda, all but two classified as full-time. Of that population, 52% were female, 43% were male, and 5% did not specify their gender. Among the 97% of our employees who chose to disclose their race and ethnicity, approximately 12% identified as Black or African American, 4% as Hispanic or Latino, 6% as Asian, 1% as two or more races, less than 1% as Native Hawaiian or other Pacific Islander, and less than 1% as American Indian or Alaska Native.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Over the last year, our Diversity, Equity and Inclusion (DEI) committee continued to make progress in bringing additional awareness and focus to DEI topics throughout the company and in the locations where we operate. The committee is both diverse and made up of employees from all segments, levels and office locations. The primary objectives of the committee are to increase awareness of diversity and inclusion, provide education opportunities to all employees, improve understanding of how diversity and inclusion affect our corporate objectives, and identify and address potential roadblocks to diversity and equity in hiring, promotion, physical environment and professional development.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mutual benefits for our company and our employees to further their formal education and professional development. Our Employee Development and Education Assistance program provides financial assistance for courses, development programs and professional affiliations. Additionally, employees have access to an online learning management system that hosts courses and modules across a wide range of topics.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competitive benefits package that is designed to support the well-being of our employees. Our benefits include medical, dental and vision insurance, a comprehensive employee assistance program to support the mental health of our employees and their families, employer-paid life and disability plans, contributions to employee retirement accounts through a company match with immediate vesting as well as paid parental leave and adoption assistance.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encourage a hybrid work model, one that offers our employees a flexible work environment that fosters in-person connection and collaboration and best supports our success as a company. We believe in-office work strengthens our professional relationships and boosts employee training and development opportunities. We also understand that remote work offers benefits related to individual focus and time management. Hybrid work allows our company to thrive, balancing employee autonomy and satisfaction while preserving essential team communication and connection.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understand the critical role acknowledging employee contributions plays in improving morale and promoting a sense of purpose and appreciation. In 2023, we introduced a new Employee Recognition Program offering multiple channels for employees and managers to highlight each other’s accomplishments, mark service anniversaries, and celebrate life events. Employees can earn and award points under the program that they can use to purchase gift cards and merchandise or donate to charitable organizations.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value the opinions and diverse perspectives of our employees and use the feedback we receive throughout the year to help develop many of our company programs, policies, and benefits. We conduct an annual engagement survey to assess how motivated and engaged our employees are to perform their best each day. We also host voluntary focus groups to gain more perspective on our annual engagement survey findings and influence our strategy for the upcoming year. New hire feedback is collected following an employee’s first 30 days of employment, which allows us to reflect upon and improve aspects of our recruitment and onboarding processes. In addition to the formal surveys and feedback meetings, we collect valuable input through our Employee Suggestion Program where employees may express their feedback regarding any aspect of their employment with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hold U.S. federal service mark registration of our corporate logo and several other company trademark registrations with the U.S. Patent and Trademark Office. Such registrations protect our intellectual property from confusingly similar use. We monitor our trademarks and service marks and protect them from unauthorized use.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use licensed and proprietary systems and technologies in our underwriting. The licenses have terms that expire at various times. We believe that we can utilize other available systems and technologies in the event that the licenses are not renewed upon their expiration.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We file annual reports on Form 10-K, quarterly reports on Form 10-Q,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https://jrvrgroup.com, as soon as reasonably practicable after they are filed electronically with the SEC. Copies are also available, without charge, by writing to us at James River Group Holdings, Ltd., Wellesley House, 2</w:t>
      </w:r>
      <w:r>
        <w:rPr>
          <w:rFonts w:ascii="Times New Roman;sans-serif" w:hAnsi="Times New Roman;sans-serif"/>
          <w:b w:val="false"/>
          <w:color w:val="000000"/>
          <w:sz w:val="13"/>
        </w:rPr>
        <w:t>nd</w:t>
      </w:r>
      <w:r>
        <w:rPr>
          <w:color w:val="000000"/>
        </w:rPr>
        <w:t xml:space="preserve"> </w:t>
      </w:r>
      <w:r>
        <w:rPr>
          <w:rFonts w:ascii="Times New Roman;sans-serif" w:hAnsi="Times New Roman;sans-serif"/>
          <w:b w:val="false"/>
          <w:color w:val="000000"/>
          <w:sz w:val="20"/>
        </w:rPr>
        <w:t>Floor, 90 Pitts Bay Road, Pembroke, HM 08, Bermuda. The information on our web site is not a part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following risks, together with the cautionary statement under the caption “Special Note Regarding Forward-Looking Statements” above and the other information included in this Annual Report. The risks described below are not the only ones we face. Additional risks that are currently unknown to us or that we currently consider immaterial may also impair our business or materially adversely affect our financial condition or results of operations. If any of the following risks actually occurs, our business, financial condition or results of operation could be materially adversely affected.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Summary</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Reserving for losses is an inherently uncertain process, and our actual incurred losses may be greater than our loss and loss adjustment expense reserves, which could have a material adverse effect on our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risk management is based on estimates and judgments that are subject to significant uncertainties.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decline in our financial strength rating may result in a reduction of new or renewal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retain key management and employees or recruit other qualified personnel, and as a result we may not be able to grow our business and may also be materially adversely affected.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economic factors could result in the sale of fewer policies than expected or an increase in frequency or severity of claims and premium defaults or both, which, in turn, could affect our growth and profitability.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distribute products through a select group of brokers and agents, several of which account for a significant portion of our business, and such relationships may not continue, or if they do continue, the relationship may not be on favorable terms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Brokers or agents that produce our business may not forward premiums to us that they collect from our policyholders, and as a result, we may not receive compensation for coverage set forth in the underlying policy.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rely on a select group of customers for a significant portion of our business, and the loss or termination of our relationship with any such customers, or a material reduction in their business, could materially adversely affect our rate of growth, results of operations and financial condition.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unable to obtain reinsurance coverage at reasonable prices or on terms that provide us adequate protection.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have primary liability on our insurance policies for losses, even if reinsurance counterparties or insurance companies with which we have a fronting arrangement fail to make any contractually obligated payments with respect to such loss, or if we do not receive indemnification payments pursuant to an arrangement we have with a former customer.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we are unable to underwrite risks accurately and charge and collect competitive yet profitable rates to our policyholders, our business, financial condition and results of operations will be materially adversely affected.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failure of any of the loss limitations or exclusions we employ, or changes in other claims or coverage issues, could result in higher than anticipated losses.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exposure to losses arising from unpredictable natural disasters, terrorist acts, and other catastrophic events, the occurrence of which could result in an increase in the number or value of claims and could exceed the amount of reinsurance we purchased to protect us from such claims.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 of emerging claim and coverage issues on our business is uncertain and may result in coverage of risks that we did not factor in our policy prices.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investment portfolio is subject to significant market and credit risks, which could result in a material adverse impact on our financial condition or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extensive regulation, and the cost of compliance with such regulation or new regulation, or the results of non-compliance, may materially adversely affect our ability to achieve our business objectives and additionally may materially adversely affect our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agents we have appointed, may act based on inaccurate or incomplete information regarding the accounts we underwrite, the result of which may be to cause us to misprice our policies.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Agents may exceed their authority or commit fraud when binding policies on our behalf, causing us to make underwriting decisions on inadequate or inaccurate information.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reinsurance business is subject to loss settlements made by ceding companies and fronting carriers over which we have no control that are binding upon us, which could materially adversely affect our performance.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could be forced to sell investments to meet our liquidity requirements, causing us to incur losses on the investments.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require additional capital in the future, which may not be available or available only on unfavorable terms.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credit agreements contain a number of financial and other covenants, the breach of which could result in acceleration of payment of amounts due under our credit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we are unable to keep pace with the technological advancements in the insurance industry, our ability to compete effectively could be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actual renewals of our existing contracts do not meet expectations, our premiums written in future years and our future results of operations could be materially adversely affected.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California, North Carolina, Ohio or any other state in which our insurance companies are admitted significantly increase the assessments our insurance companies are required to pay, our financial condition and results of operations will suffer.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use of third-party claims administrators in certain lines of business may achieve less desirable results which could cause us to incur higher losses and loss adjustment expenses.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Taxation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Changes in U.S. tax laws (including associated regulations) and the interpretation of certain provisions applicable to insurance/reinsurance businesses with U.S. and non-U.S. operations, which may be retroactive, could have a significant impact on the Company and persons who own our shares.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Company, JRG Re and James River Group Holdings UK Limited may be subject to U.S. federal income taxation and our non-U.K. companies may be subject to U.K. taxation, which may have a material adverse effect on our operating results.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Persons who own our shares may be subject to U.S. federal income taxation on our undistributed earnings and may recognize ordinary income upon disposition of shares; non-corporate persons who own our shares may not qualify for the reduced tax rate for qualified dividend income on the dividends paid by us in the future, and tax-exempt organizations who own our shares may recognize unrelated business taxable income.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Shares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Litigation and legal proceedings against us or our subsidiaries could have a material adverse effect on our business, financial condition and/or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There is no guarantee that our evaluation of strategic alternatives will result in any particular outcome, and the perceived uncertainties related to the Company could adversely affect our business and our shareholders.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sale of JRG Re is subject to closing conditions and there can be no assurance that these conditions will be satisfied on the timeline we expect or at all, the sale of JRG may be terminated in certain circumstances, including the failure of the buyer to obtain required financing, and a portion of the consideration for the sale of JRG Re is a pre-closing dividend that is subject to the availability of unencumbered assets of JRG Re on the closing date.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identification of material weaknesses or the failure to otherwise maintain effective internal controls may result in material misstatements in our financial reporting and/or cause us to fail to meet our periodic reporting obligations.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of dividends that we may pay to our common shareholders is subject to restriction pursuant to the terms of the Series A Preferred Shares, and we cannot assure you that we will declare or pay dividends on our common shares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conversion of the Series A Preferred Shares into common shares would dilute the ownership of common shareholders and may adversely affect the market price of our common shares.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Dividends paid by our U.S. subsidiaries to James River UK may not be eligible for benefits under the U.S.-U.K. income tax treaty, reducing the amount of funds that would be available for the payment of dividends.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bye-laws and provisions of Bermuda law may impede or discourage a change of control transaction, which could deprive our investors of the opportunity to receive a premium for their shares.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Bermuda law differs from the laws in effect in the United States and may afford less protection to holders of our shares.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There are regulatory limitations on the ownership and transfer of our common shares.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operating results have in the past varied from quarter to quarter and may not be indicative of our long-term prospects.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Reserving for losses is an inherently uncertain process, and our actual incurred losses may be greater than our loss and loss adjustment expense reserves, which could have a material adverse effect on our financial condition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condition and results of operations depend upon our ability to assess accurately the potential losses and loss adjustment expenses under the terms of the insurance policies or reinsurance contracts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climate change, economic and judicial trends, and legislative changes. We continually monitor reserves using new information on reported claims and a variety of statistical techniques.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insurance and reinsurance industry, there is always the risk that reserves may prove inadequate, and actual results always differ from our reserve estimates. It is possible for insurance and reinsurance companies to underestimate the cost of claims. Our estimates could prove to be low, and this underestimation could have a material adverse effect on our financial strength. For example, in our subsidiary JRG Re, we experienced adverse development on the reserves for losses and loss adjustment expenses of: $35.5 million for the calendar year ended December 31, 2023; $13.4 million for the calendar year ended December 31, 2022; and $137.6 million for the calendar year ended December 31, 2021 primarily in underwriting years 2014 through 2018. In addition, for the commercial auto business in our Excess and Surplus Lines segment, we experienced adverse development on the reserves for losses and loss adjustment expenses of: $8.7 million for the calendar year ended December 31, 2023 principally relating to 2021 and prior accident years; $8.9 million for the calendar year ended December 31, 2022 principally relating to the 2020 and prior accident years; and $200.1 million for the calendar year ended December 31, 2021 principally relating to the 2019 and prior accident years for Rasier and its affiliates. Our Core E&amp;S business (excluding commercial auto) in the Excess and Surplus Lines segment experienced adverse development on the reserves for losses and loss adjustment expenses of $23.9 million for the calendar year ended December 31, 2023 principally relating to the 2020 and prior accident years. We cannot assure you that we will not have further adverse development in our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uncertainties we encounter in establishing our reserves for losses and related expenses in connection with our insurance businesses include:</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When we write “occurrence” policies,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94% of our Excess and Surplus Lines net casualty loss reserves are associated with “occurrence form” policies at December 31, 2023.</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pStyle w:val="TextBody"/>
        <w:bidi w:val="0"/>
        <w:spacing w:lineRule="auto" w:line="288" w:before="0" w:after="120"/>
        <w:ind w:left="0" w:right="0" w:hanging="360"/>
        <w:jc w:val="left"/>
        <w:rPr/>
      </w:pPr>
      <w:r>
        <w:rPr>
          <w:color w:val="000000"/>
        </w:rPr>
        <w:t>•    </w:t>
      </w:r>
      <w:r>
        <w:rPr>
          <w:rFonts w:ascii="Times New Roman;sans-serif" w:hAnsi="Times New Roman;sans-serif"/>
          <w:b w:val="false"/>
          <w:color w:val="000000"/>
          <w:sz w:val="20"/>
        </w:rPr>
        <w:t>New theories of liability are enforced retroactively from time to time by courts. See also</w:t>
      </w:r>
      <w:r>
        <w:rPr>
          <w:color w:val="000000"/>
          <w:shd w:fill="FFFFFF" w:val="clear"/>
        </w:rPr>
        <w:t xml:space="preserve"> “</w:t>
      </w:r>
      <w:r>
        <w:rPr>
          <w:rFonts w:ascii="Times New Roman;sans-serif" w:hAnsi="Times New Roman;sans-serif"/>
          <w:b w:val="false"/>
          <w:i/>
          <w:color w:val="000000"/>
          <w:sz w:val="20"/>
          <w:shd w:fill="FFFFFF" w:val="clear"/>
        </w:rPr>
        <w:t>The effect of emerging claim and coverage issues on our business is uncertain</w:t>
      </w:r>
      <w:r>
        <w:rPr>
          <w:color w:val="000000"/>
          <w:shd w:fill="FFFFFF" w:val="clear"/>
        </w:rPr>
        <w:t xml:space="preserve">” </w:t>
      </w:r>
      <w:r>
        <w:rPr>
          <w:rFonts w:ascii="Times New Roman;sans-serif" w:hAnsi="Times New Roman;sans-serif"/>
          <w:b w:val="false"/>
          <w:color w:val="000000"/>
          <w:sz w:val="20"/>
          <w:shd w:fill="FFFFFF" w:val="clear"/>
        </w:rPr>
        <w:t>risk factor herein</w:t>
      </w:r>
      <w:r>
        <w:rPr>
          <w:rFonts w:ascii="Times New Roman;sans-serif" w:hAnsi="Times New Roman;sans-serif"/>
          <w:b w:val="false"/>
          <w:color w:val="000000"/>
          <w:sz w:val="20"/>
        </w:rPr>
        <w:t>.</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We occasionally enter new lines of insurance, and as a consequence, we sometimes have to make estimates of future losses for risk classes with which we do not have a great deal of loss experience. This lack of loss experience may contribute to making errors of judgment when establishing reserves.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reinsurance reserve estimates are typically subject to greater uncertainty than insurance reserve estimates, primarily due to reliance on the original underwriting decisions made by the ceding company. As a result, we are subject to the risk that our ceding companies may not have adequately evaluated the risks reinsured by us and the premiums ceded may not adequately compensate us for the risks we assume. Other factors resulting in additional uncertainty in establishing reinsurance reserves include:</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increased lapse of time from the occurrence of an event to the reporting of the claim and the ultimate resolution or settlement of the claim.</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diversity of development patterns among different types of reinsurance treaties.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necessary reliance on the ceding company for information regarding claims.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insurance or reinsurance reserves should prove to be inadequate for the reasons discussed above, or for any other reason, we will be required to increase reserves, resulting in a reduction in our net income and shareholders’ equity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period in which the deficiency is identified. Future loss experience substantially in excess of established reserves could also have a material adverse effect on future earnings and liquidity and financial rating, which could affect our ability to attract business, our cost of capital and our ability to retain or hire qualified personnel.</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risk management is based on estimates and judgments that are subject to significant uncertainties.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to risk management relies on subjective variables that entail significant uncertainties. For example, we rely heavily on estimates of probable maximum losses for certain events that are generated by computer-run models. In addition, we rely on historical data and scenarios in managing credit and interest rate risks in our investment portfolio. These estimates, models, data and scenarios may not produce accurate predictions and consequently, we could incur losses both in the risks we underwrite and to the value of our investment portfolio.</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Small changes in assumptions, which depend heavily on our judgment and foresight, can have a significant impact on the modeled outputs. Although we believe that these probabilistic measures provide a meaningful indicator of the relative risk of certain events and changes to our business over time, these measures do not predict our actual exposure to, nor guarantee our successful management of, future losses that could have a material adverse effect on our financial condition and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 decline in our financial strength rating may result in a reduction of new or renewal business.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Companies, insurers and reinsurance brokers use ratings from independent ratings agencies as an important means of assessing the financial strength and quality of insurers and reinsurers.</w:t>
      </w:r>
      <w:r>
        <w:rPr>
          <w:color w:val="000000"/>
          <w:shd w:fill="FFFFFF" w:val="clear"/>
        </w:rPr>
        <w:t xml:space="preserve"> </w:t>
      </w:r>
      <w:r>
        <w:rPr>
          <w:rFonts w:ascii="Times New Roman;sans-serif" w:hAnsi="Times New Roman;sans-serif"/>
          <w:b w:val="false"/>
          <w:color w:val="000000"/>
          <w:sz w:val="20"/>
          <w:shd w:fill="FFFFFF" w:val="clear"/>
        </w:rPr>
        <w:t>A.M. Best has assigned a financial strength rating of “A-” (Excellent), which is the fourth highest of 13 ratings that A.M. Best issues, to each of James River Insurance, James River Casualty, Falls Lake Fire and Casualty, Falls Lake National and Stonewood Insurance</w:t>
      </w:r>
      <w:r>
        <w:rPr>
          <w:rFonts w:ascii="Times New Roman;sans-serif" w:hAnsi="Times New Roman;sans-serif"/>
          <w:b w:val="false"/>
          <w:color w:val="000000"/>
          <w:sz w:val="20"/>
        </w:rPr>
        <w:t xml:space="preserve">. On December 20, 2023, A.M. Best announced that it revised the outlook on our financial strength rating from stable to negative on such entities. Also, on December 20, 2023, A.M. Best announced that it downgraded the financial strength rating of JRG Re from </w:t>
      </w:r>
      <w:r>
        <w:rPr>
          <w:color w:val="000000"/>
          <w:shd w:fill="FFFFFF" w:val="clear"/>
        </w:rPr>
        <w:t>“</w:t>
      </w:r>
      <w:r>
        <w:rPr>
          <w:rFonts w:ascii="Times New Roman;sans-serif" w:hAnsi="Times New Roman;sans-serif"/>
          <w:b w:val="false"/>
          <w:color w:val="000000"/>
          <w:sz w:val="20"/>
          <w:shd w:fill="FFFFFF" w:val="clear"/>
        </w:rPr>
        <w:t>A-” (Excellent) with a stable outlook to "B++" (good) with a negative outlook. A.M. Best announced that the ratings actions follow our announcements in November 2023 that we identified a material weakness in our internal control over financial reporting, that we entered into an agreement to sell JRG Re, and that we are exploring strategic alternatives for the Company. A.M. Best indicated that the negative outlook reflects the uncertainty that the actions will have on our organization, and reflects the execution risk associated with some of these initiatives. A.M. Best further announced that the ratings actions on JRG Re was based upon A.M. Best's view that JRG Re is less integral to our strategic, operational and financial objectives, as a result of our determination to suspend underwriting in our former casualty reinsurance segment, and our agreement to sell JRG Re at 75% of the book value, valued at September 30,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 Best assigns ratings that are intended to provide an independent opinion of an insurance or reinsurance company’s ability to meet its obligations to policyholders and such ratings are not an evaluation directed to investors. A.M. Best periodically reviews our rating and may revise it downward or revoke it at its sole discretion based primarily on its analysis of our balance sheet strength (including capital adequacy and loss and loss adjustment expense reserve adequacy), operating performance and business profile. Factors that could affect such an analysis include but are not limited to:</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if we change our business practices from our organizational business plan in a manner that no longer supports our A.M. Best’s rating;</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if unfavorable financial, regulatory or market trends affect us, including excess market capacity;</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if our losses exceed our loss reserves;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if we have unresolved issues with government regulators;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if we are unable to retain our senior management or other key personnel;</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 xml:space="preserve">if our investment portfolio incurs significant losses; </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if A.M. Best alters its capital adequacy assessment methodology in a manner that would adversely affect our rating; or</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if A.M. Best reduces its assessment of our enterprise risk management.</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These and other factors could result in a downgrade of our rating. A downgrade of our rating could cause our current and future brokers and agents, retail brokers and insureds to choose other, more highly-rated competitors. A downgrade of this rating could also increase the cost or reduce the availability of reinsurance to us, increase collateral required for our assumed reinsurance business, trigger termination of assumed and/or ceded reinsurance contracts, trigger termination rights in certain of our agreements with MGAs in our Specialty Admitted segment, or, as occurred upon the downgrade by A.M. Best of JRG Re </w:t>
      </w:r>
      <w:r>
        <w:rPr>
          <w:rFonts w:ascii="Times New Roman;sans-serif" w:hAnsi="Times New Roman;sans-serif"/>
          <w:b w:val="false"/>
          <w:color w:val="000000"/>
          <w:sz w:val="20"/>
          <w:shd w:fill="FFFFFF" w:val="clear"/>
        </w:rPr>
        <w:t xml:space="preserve">described above, </w:t>
      </w:r>
      <w:r>
        <w:rPr>
          <w:rFonts w:ascii="Times New Roman;sans-serif" w:hAnsi="Times New Roman;sans-serif"/>
          <w:b w:val="false"/>
          <w:color w:val="000000"/>
          <w:sz w:val="20"/>
        </w:rPr>
        <w:t xml:space="preserve">result in a default under our credit facilities. See the Risk Factor </w:t>
      </w:r>
      <w:r>
        <w:rPr>
          <w:color w:val="000000"/>
        </w:rPr>
        <w:t>“</w:t>
      </w:r>
      <w:r>
        <w:rPr>
          <w:rFonts w:ascii="Times New Roman;sans-serif" w:hAnsi="Times New Roman;sans-serif"/>
          <w:b w:val="false"/>
          <w:i/>
          <w:color w:val="000000"/>
          <w:sz w:val="20"/>
        </w:rPr>
        <w:t>Our credit agreements contain a number of financial and other covenants, the breach of any of which could result in acceleration of payment of amounts due under our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In addition, in view of the earnings and capital pressures experienced by many financial institutions, including insurance companies, i</w:t>
      </w:r>
      <w:r>
        <w:rPr>
          <w:rFonts w:ascii="Times New Roman;sans-serif" w:hAnsi="Times New Roman;sans-serif"/>
          <w:b w:val="false"/>
          <w:color w:val="000000"/>
          <w:sz w:val="20"/>
        </w:rPr>
        <w:t xml:space="preserve">t is possible that rating organizations will heighten the level of scrutiny that they apply to such institutions, will increase the frequency and scope of their credit reviews, will request additional information from the companies that they rate and may increase the capital and other requirements employed in the rating organizations’ models for maintenance of certain ratings levels. It is possible that such reviews of us may result in adverse ratings consequences, which could have a material adverse effect on our financial condition and results of operations. A downgrade below “A-” or withdrawal of any rating could severely limit or prevent us from writing new and renewal insurance contracts. </w:t>
      </w:r>
      <w:r>
        <w:rPr>
          <w:rFonts w:ascii="Times New Roman;sans-serif" w:hAnsi="Times New Roman;sans-serif"/>
          <w:b w:val="false"/>
          <w:color w:val="000000"/>
          <w:sz w:val="20"/>
          <w:shd w:fill="FFFFFF" w:val="clear"/>
        </w:rPr>
        <w:t>See also “Item 7. Management’s Discussion and Analysis of Financial Condition and Results of Operations—Ratings.”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If we are unable to retain key management and employees or recruit other qualified personnel, we may be materially adversely affected.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depends, in large part, on our ability to retain our experienced management team and key employees and on our ability to recruit additional qualified employees to support our growth. For instance, our specialty insurance operations require the services of a number of highly experienced employees, including underwriters, to source quality business and analyze and manage our risk exposure. There can be no assurance that we can attract and retain the necessary employees to conduct our business activities on a timely basis or at all. Our competitors may offer more favorable compensation and/or permanent remote work arrangements to our key management or employees to incentivize them to leave our Company, or alternatively, to make it more difficult for us to recruit and hire new employees. Further, the transition to remote work by employees has allowed competitors that are located in different states or parts of the country to solicit our employees without requiring their relocation. Although we have employment agreements with most members of our senior management team, which include certain post-employment restrictions on engaging in businesses competitive with the Company, we do not have employment agreements with our senior underwriters or claims personnel. The November 2023 announcement that we are evaluating strategic alternatives caused uncertainty among our employees regarding our future operations or employment needs, which may limit our ability to retain or hire qualified personnel, and may contribute to the unplanned loss of highly skilled employees through attrition. Our inability to attract and retain qualified personnel and the loss of services of key personnel could have a material adverse effect on our financial condition and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Factors such as business revenue, economic conditions, the volatility and strength of the capital markets, inflation and pandemics can all affect the business and economic environment. These same factors affect our ability to generate revenue and profits. In an economic downturn that is characterized by higher unemployment, declining spending and reduced corporate revenues, the demand for insurance products is adversely affected, which directly affects our premium levels and profitability. Negative economic factors may also affect our ability to receive the appropriate rate for the risk we insure with our policyholders and may adversely affect the number of policies we can write, including with respect to our opportunities to underwrite profitable business. In an economic downturn, our customers may have less need for insurance coverage, cancel existing insurance policies, modify their coverage, self-insure their risks, or not renew with us. Existing policyholders may exaggerate or even falsify claims to obtain higher claims payments, or not pay premiums on our policies when due. These outcomes would reduce our underwriting profit to the extent these factors are not reflected in the rates we charge.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underwrite a significant portion of our insurance in (i) the Excess and Surplus Lines segment in Florida, California, Texas and New York, and (ii) the fronting and program business of the Specialty Admitted Insurance segment in California, Texas, North Carolina, Florida, and New York. Any economic downturn or reduced business activities in any such state, or other states where we conduct business, could have a material adverse effect on our financial condition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Higher than expected inflation could adversely affect the adequacy of our reserves by increasing average loss costs over time, negatively impact the values of our investments and our investment returns, and may increase our compensation expenses.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distribute products through a select group of brokers and agents, several of which account for a significant portion of our business, and such relationships may not continue, or if they do continue, the relationship may not be on favorable terms to us. In addition, reliance on brokers and agents subjects us to their credit risk.</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distribute our products through a select group of brokers and agents. In 2023:</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Excess and Surplus Lines segment conducted business with three brokers that produced an aggregate of $716.3 million in gross written premiums, or 71.1% of that segment’s gross written premiums for the year; and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Specialty Admitted Insurance segment conducted business with two agencies that produced $259.6 million in gross written premiums, representing 51.8% of that segment’s gross written premiums for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relationship with any of these brokers or agents may not continue. Even if the relationships do continue, they may not be on terms that are profitable for us. The termination of a relationship with one or more significant brokers or agents could result in lower direct written premiums and could have a material adverse effect on our results of operations or business prospects.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is a continuing trend toward consolidation among retail and wholesale brokers and agents. As brokers and agents consolidate and competition among them declines, they may seek and receive higher commissions. Increases in commission expense could reduce our underwriting profit.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premiums from policyholders, where the business is produced by brokers or agents, are collected directly by the brokers or agents and forwarded to our insurance subsidiaries. In certain jurisdictions, when the insured pays its policy premium to brokers or agents for payment on behalf of our insurance subsidiaries, the premiums might be considered to have been paid under applicable insurance laws and regulations. Accordingly, the insured would no longer be liable to us for those amounts, whether or not we have actually received the premiums from that broker or agent. Consequently, we assume a degree of credit risk associated with brokers and agents. Where necessary, we review the financial condition of potential new brokers and agents before we agree to transact business with them. Although failures by brokers and agents to remit premiums have not been material to date, there may be instances where brokers and agents collect premiums but do not remit them to us and we may be required under applicable law to provide the coverage set forth in the policy despite the absence of premiums.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possibility of these events depends in large part upon the financial condition and internal operations of our brokers and agents (which in most cases is not public information), we are not able to quantify the exposure presented by this risk. If we are unable to collect premiums from brokers and agents in the future, underwriting profits may decline and our financial condition and results of operations could be materially adversely affected.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rely on a select group of customers for a significant portion of our business, and the loss or termination of our relationship with any of these customers, or a material reduction in business with any of these customers, could materially adversely affect our rate of growth, results of operations and financial condition.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largest customer, an agent for the Specialty Admitted Insurance segment, accounted for approximately $163.1 million (10.8%) of our consolidated gross written premium from continuing operations in 2023. No other insured generated 10.0% or more of consolidated gross written premiums from continuing operations for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two largest customers in 2022, both agents for the Specialty Admitted Insurance segment, accounted for approximately $120.9 million (8.6%) and $110.9 million (7.9%) of our consolidated gross written premium from continuing operations in 2022. No insured generated 10.0% or more of consolidated gross written premiums from continuing operations for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largest customer in 2021, an agent for the Specialty Admitted Insurance segment, accounted for approximately $124.1 million of our gross written premium, representing 9.4% of our consolidated gross written premium from continuing operations in 2021. No insured generated 10.0% or more of consolidated gross written premiums from continuing operations for 2021.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loss or termination of our relationship with these customers, or another significant customer, or a material reduction in business with any such party, could materially adversely affect our rate of growth, results of operations and financial condition.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be unable to obtain reinsurance coverage at reasonable prices or on terms that provide us adequate protection.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reinsurance in many of our lines of business to help manage our exposure to insurance and reinsurance risks that we underwrite and to reduce volatility in our results. In addition, JRG Re has managed its risk through retrocession arrangements with third-party reinsurers. A retrocession is a practice whereby a reinsurer cedes risk to one or more other reinsurers.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and cost of reinsurance are subject to prevailing market conditions, both in terms of price and available capacity, each of which can affect our business volume and profitability. The availability of reasonably affordable reinsurance is a critical element of our business plan. One important way we utilize reinsurance is to reduce volatility in claims payments by limiting our exposure to losses from large risks. Another way we use reinsurance is to purchase substantial protection against concentrated losses when we enter new markets. In addition, the ability to obtain reinsurance is critical to our objective to grow our fee-based fronting business. As a result, our ability to manage volatility and avoid significant losses, expand into new markets, grow by offering insurance to new kinds of enterprises, or grow our fronting business may be limited by the unavailability of reasonably priced reinsurance. We may not be able to obtain reinsurance on acceptable terms or from entities with satisfactory creditworthiness. In such event, if we are unwilling to accept the terms or credit risk of potential reinsurers, we would have to reduce the level of our underwriting commitments, which would reduce our revenues. Reinsurance capacity has become more restricted making reinsurance placements more challenging during 2021, 2022 and 2023 than in prior years.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reinsurance companies have begun to exclude certain coverages from, or alter terms in, the reinsurance contracts we enter into with them. Some exclusions relate to risks that we cannot in turn exclude from the policies we write due to business or regulatory constraints. In addition, reinsurers are imposing terms, such as lower per occurrence and aggregate limits,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val="false"/>
          <w:color w:val="000000"/>
          <w:sz w:val="20"/>
        </w:rPr>
        <w:t>more exclusions, limiting the protection provided under the reinsurance contract. As a result, we, like other direct insurance companies, write insurance policies which to some extent do not have the benefit of reinsurance protection. These gaps in reinsurance protection expose us to greater risk and greater potential losses. For example, certain reinsurers have excluded coverage for terrorist acts or priced such coverage at unreasonably high rates. Many direct insurers, including us, have written policies without terrorist act exclusions and in many cases we cannot exclude terrorist acts because of regulatory constraints. We may, therefore, be exposed to potential losses as a result of terrorist acts.</w:t>
      </w:r>
      <w:r>
        <w:rPr>
          <w:color w:val="000000"/>
          <w:shd w:fill="FFFFFF" w:val="clear"/>
        </w:rPr>
        <w:t xml:space="preserve"> </w:t>
      </w:r>
      <w:r>
        <w:rPr>
          <w:rFonts w:ascii="Times New Roman;sans-serif" w:hAnsi="Times New Roman;sans-serif"/>
          <w:b w:val="false"/>
          <w:color w:val="000000"/>
          <w:sz w:val="20"/>
          <w:shd w:fill="FFFFFF" w:val="clear"/>
        </w:rPr>
        <w:t>See also “Item 1. Business — Business Segments—Purchase of Reinsurance.”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are subject to credit risk with regard to our reinsurance counterparties, insurance companies with which we have a fronting arrangement and an indemnification arrangement we have with a former customer.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reinsurance makes the assuming reinsurer liable to us to the extent of the risk ceded, we are not relieved of our primary liability to our insureds as the direct insurer. At December 31, 2023, reinsurance recoverables on unpaid losses from our three largest reinsurers was $606.3 million in the aggregate and represented 44.6% of the total balance. Additionally, prepaid reinsurance premiums ceded to three reinsurers at December 31, 2023 was $100.2 million in the aggregate, or 34.2% of the total balance of prepaid reinsurance premiums. In addition to reinsurance purchased to manage our ongoing business, we have two retroactive reinsurance arrangements on a legacy books of business: the first, a loss portfolio transfer reinsurance transaction on our legacy commercial auto lines business in our Excess &amp; Surplus Lines segment (the “Commercial Auto LPT”), and the second, a loss portfolio transfer retrocession agreement entered into by JRG Re on February 23, 2022 (the "Casualty Re LPT"). At December 31, 2023, reinsurance recoverables on the Commercial Auto LPT were $84.5 million (including $78.1 million of unpaid recoverables and $6.4 million of paid recoverables), and reinsurance recoverables on the Casualty Re LPT were $221.7 million.</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At December 31, 2023, all of our material reinsurance recoverable amounts are from companies with A.M. Best ratings of “A-” (Excellent) or better, are collateralized by the reinsurer for our benefit through letters of credit or funds held in trust accounts, or represent recoverables from a state residual market for automobile insurance, but we cannot be sure that our reinsurers will pay all reinsurance claims on a timely basis or at all. Similarly, in our fronting business, which we conduct through our Specialty Admitted Insurance segment, we are primarily liable to the insureds because we have issued the policies. While we customarily require a collateral trust arrangement to secure the obligations of the insurance entity for which we are fronting, we do not obtain collateral in every instance. </w:t>
      </w:r>
      <w:r>
        <w:rPr>
          <w:rFonts w:ascii="Times New Roman;sans-serif" w:hAnsi="Times New Roman;sans-serif"/>
          <w:b w:val="false"/>
          <w:color w:val="000000"/>
          <w:sz w:val="20"/>
          <w:shd w:fill="FFFFFF" w:val="clear"/>
        </w:rPr>
        <w:t xml:space="preserve">See also “Item 1. Business — Business Segments — Specialty Admitted Insurance Segment — Fronting &amp; Program Business.” </w:t>
      </w:r>
      <w:r>
        <w:rPr>
          <w:rFonts w:ascii="Times New Roman;sans-serif" w:hAnsi="Times New Roman;sans-serif"/>
          <w:b w:val="false"/>
          <w:color w:val="000000"/>
          <w:sz w:val="20"/>
        </w:rPr>
        <w:t>Reinsurers or fronting partners may default in their financial obligations to us as the result of insolvency, lack of liquidity, operational failure, fraud, asserted defenses based on agreement wordings or the principle of utmost good faith, asserted deficiencies in the documentation of agreements or for other reasons. The failure of a reinsurer or fronting partner to pay us does not lessen our contractual obligations to insureds. If a reinsurer or fronting partner fails to pay the expected portion of a claim or claims, our net losses might increase substantially and materially adversely affect our financial condition. Any disputes regarding reinsurance contracts, indemnification arrangements and related agreements could be time-consuming, costly and uncertain of success.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Downgrades to the credit ratings of our reinsurance counterparties may result in the reduction of rating agency capital credit provided by those reinsurance contracts and could, therefore, result in a downgrade of our own credit ratings. In addition, under the reinsurance regulations, in many states where our U.S. insurance subsidiaries are domiciled, certain reinsurers are required to collateralize their obligations to us and to the extent they do not do so, our ability for regulators to recognize this reinsurance will be impaired. We evaluate each reinsurance claim based on the facts of the case, historical experience with the reinsurer on similar claims and existing case law and include any amounts deemed uncollectible from the reinsurer in our allowance for credit losses on reinsurance balances. </w:t>
      </w:r>
      <w:r>
        <w:rPr>
          <w:rFonts w:ascii="Times New Roman;sans-serif" w:hAnsi="Times New Roman;sans-serif"/>
          <w:b w:val="false"/>
          <w:color w:val="000000"/>
          <w:sz w:val="20"/>
          <w:shd w:fill="FFFFFF" w:val="clear"/>
        </w:rPr>
        <w:t>See also “Item 1. Business — Business Segments — Purchase of Reinsurance.”</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We are exposed to credit risk relating to a set of insurance contracts previously issued to Rasier, under which the Company pays losses and loss adjustment expenses on the contracts. Rasier is contractually obligated to reimburse us for the losses and loss adjustment expenses paid on their behalf pursuant to indemnification agreements with it. This reimbursement obligation is supported by collateral posted for our benefit in a trust account from time to time. If Rasier fails to reimburse us, and the collateral posted for our benefit to support their reimbursement obligations is insufficient, our financial condition and results of operations could be materially adversely affected. S</w:t>
      </w:r>
      <w:r>
        <w:rPr>
          <w:rFonts w:ascii="Times New Roman;sans-serif" w:hAnsi="Times New Roman;sans-serif"/>
          <w:b w:val="false"/>
          <w:color w:val="000000"/>
          <w:sz w:val="20"/>
          <w:shd w:fill="FFFFFF" w:val="clear"/>
        </w:rPr>
        <w:t>ee also “Item 1. Business — Business Segments — Purchase of Reinsurance — Amounts Recoverable from an Indemnifying Party.”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situations where we manage our credit exposure to reinsurers or fronting partners with a collateral arrangement, which includes our Commercial Auto LPT and indemnification arrangements on the Rasier policies, it is possible that the collateral could be insufficient to cover all claims, either as a result of a decline in the value of the collateral, an increase in the obligations being collateralized, a failure of management to monitor the adequacy of the collateral held, or the refusal of the counterparty to post additional collateral. In that event, we would be contractually entitled to recovery from our reinsurer or the entity for which we are fronting, but, for a variety of reasons, the other party could default in its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i/>
          <w:color w:val="000000"/>
          <w:sz w:val="20"/>
        </w:rPr>
        <w:t>If we are unable to underwrite risks accurately and charge and collect competitive yet profitable rates to our policyholders, our business, financial condition and results of operations will be materially adversely affected</w:t>
      </w:r>
      <w:r>
        <w:rPr>
          <w:rFonts w:ascii="Times New Roman;sans-serif" w:hAnsi="Times New Roman;sans-serif"/>
          <w:b/>
          <w:color w:val="000000"/>
          <w:sz w:val="20"/>
        </w:rPr>
        <w: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the premiums for our insurance policies are established at the time a policy is issued and, therefore, before all of our underlying costs are known. Like other insurance companies, we rely on estimates and assumptions in setting our premium rates. Establishing adequate premium rates is necessary, together with investment income, to generate sufficient revenue to offset losses, loss adjustment expenses and other underwriting costs and to earn a profit. If we do not accurately assess the risks that we assume, we may not charge adequate premiums to cover our losses and expenses, which would materially adversely affect our results of operations and our profitability. Alternatively, we could set our premiums too high, which could reduce our competitiveness and lead to lower revenues.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collect and properly analyze a substantial volume of data from our insureds;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develop, test and apply appropriate actuarial projections and rating formulas;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closely monitor and timely recognize changes in trends; and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project both frequency and severity of our insureds’ losses with reasonable accuracy.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implement our pricing accurately in accordance with our assumptions. Our ability to undertake these efforts successfully and, as a result, accurately price our policies, is subject to a number of risks and uncertainties, including:</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insufficient or unreliable data;</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incorrect or incomplete analysis of available data;</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uncertainties generally inherent in estimates and assumptions;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our failure to implement appropriate actuarial projections and rating formulas or other pricing methodologies;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regulatory constraints on rate increases;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our failure to accurately estimate investment yields and the duration of our liability for loss and loss adjustment expenses; and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unanticipated court decisions, legislation or regulatory action.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charging profitable rates on the insurance policies we issue, we also must be able to collect the premiums, deductibles, and self-insured retentions that our insureds agreed to pay at the inception of their policies. The inability or refusal of our insureds to pay the amounts owed by them pursuant to their policies undermines our goal of underwriting risk accurately and charging competitive yet profitable rates, and could adversely affect our results of operations and our profitability.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 failure of any of the loss limitations or exclusions we employ, or changes in other claims or coverage issues, could have a material adverse effect on our financial condition or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seek to mitigate our loss exposure through a variety of methods, the future is inherently unpredictable. It is difficult to predict the timing, frequency and severity of losses with statistical certainty. It is not possible to completely eliminate our exposure to unforecasted or unpredictable events and, to the extent that losses from such risks occur, our financial condition and results of operations could be materially adversely affected.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instance, various provisions of our policies, such as limitations or exclusions from coverage or choice of forum, which have been negotiated to limit our risks, may not be enforceable in the manner we intend. At the present time, we employ a variety of endorsements to our policies that limit exposure to known risks.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design our Excess and Surplus Lines segment’s policy terms to manage our exposure to expanding theories of legal liability like those which have given rise to claims for lead paint, asbestos, mold, construction defects and environmental matters. Many of the policies we issue also include conditions requiring the prompt reporting of claims to us and entitle us to decline coverage in the event of a violation of that condition. Also, many of our policies limit the period during which a policyholder may bring a claim under the policy, which in many cases is shorter than the statutory period under which such claims can be brought against our policyholders. While these exclusions and limitations help us assess and reduce our loss exposure and help eliminate known exposures to certain risks, it is possible that a court or regulatory authority could nullify or void an exclusion or legislation could be enacted modifying or barring the use of such endorsements and limitations. These types of governmental actions could result in higher than anticipated losses and loss adjustment expenses, which could have a material adverse effect on our financial condition or results of operations. In some instances, these changes may not become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apparent until sometime after we have issued insurance policies that are affected by the changes. As a result, the full extent of liability under our insurance contracts may not be known for many years after a contract is issued.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have exposure to losses arising from unpredictable natural disasters, terrorist acts, and other catastrophic events. Claims from these events could reduce our earnings and cause volatility in our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to losses arising from unpredictable natural disasters, terrorist acts, and other catastrophic events. These events can cause losses in a variety of our property-casualty lines and generally result in an increase in the number of claims filed as well as the amount of compensation sought by claimants.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incidence and severity of natural disasters, terrorist acts, and other catastrophic events are inherently unpredictable. The extent of losses from catastrophes is a function of the frequency of loss events, the total amount of insured exposure in the area affected by each event and the severity of the events. Claims from catastrophic events could exceed our amount of reinsurance purchased to protect us from such events, cause us to pay reinstatement premiums, reduce our earnings and cash flows, cause volatility in our results of operations and cash flows for any fiscal period or materially impact our financial condition. For example, for the third quarter ending September 30, 2022, we incurred $5.0 million in net catastrophe losses related to Hurricane Ian.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large-scale pandemic, the continued threat or occurrence of terrorism, within the United States and abroad, or military and other actions, and heightened security measures in response to these types of threats may cause significant volatility and losses in our investment portfolio from declines in the equity markets and from interest rate changes in the United States, Europe and elsewhere, and result in loss of life, property damage, disruptions to commerce and reduced economic activity. Some of our assets in our investment portfolio may be adversely affected by declines in the equity markets and reduced economic activity caused by a large-scale pandemic or the continued threat of terrorism. Additionally, a large-scale pandemic or terrorist act could have a material effect on sales, profitability, competitiveness, marketability of product offerings, liquidity and operating results. For example, the COVID-19 pandemic presented, and other future pandemics could present, inflation, supply chain disruptions, labor shortages, backlogs in the court system, responsive regulatory actions and mandates, financial market disruptions, and economic downturn, among other things.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 effect of emerging claim and coverage issues on our business is uncertain.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industry practices and legal, judicial, social and other environmental conditions change, unexpected and unintended issues related to claims and coverage may emerge. These issues may materially adversely affect our business by either broadening coverage beyond our underwriting intent or by increasing the number or size of claims. In some instances, these changes may not become apparent until sometime after we have issued insurance or reinsurance contracts that are affected by the changes. As a result, the full extent of liability under our insurance or reinsurance contracts may not be known for many years after a contract is issued.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Four examples of unanticipated risks that affected the insurance industry are:</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Asbestos liability applied to manufacturers of products and contractors who installed those products;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 xml:space="preserve">Apportionment of liability for settlement assigned to subcontractors who may have been involved in mundane tasks (such as installing sheetrock in a home); </w:t>
      </w:r>
    </w:p>
    <w:p>
      <w:pPr>
        <w:pStyle w:val="TextBody"/>
        <w:bidi w:val="0"/>
        <w:spacing w:lineRule="auto" w:line="288" w:before="0" w:after="120"/>
        <w:ind w:left="0" w:right="0" w:hanging="360"/>
        <w:jc w:val="left"/>
        <w:rPr/>
      </w:pPr>
      <w:r>
        <w:rPr>
          <w:color w:val="000000"/>
        </w:rPr>
        <w:t>•    </w:t>
      </w:r>
      <w:r>
        <w:rPr>
          <w:rFonts w:ascii="Times New Roman;sans-serif" w:hAnsi="Times New Roman;sans-serif"/>
          <w:b w:val="false"/>
          <w:color w:val="000000"/>
          <w:sz w:val="20"/>
        </w:rPr>
        <w:t xml:space="preserve">Court decisions, such as the 1995 </w:t>
      </w:r>
      <w:r>
        <w:rPr>
          <w:rFonts w:ascii="Times New Roman;sans-serif" w:hAnsi="Times New Roman;sans-serif"/>
          <w:b w:val="false"/>
          <w:color w:val="000000"/>
          <w:sz w:val="20"/>
          <w:u w:val="single"/>
        </w:rPr>
        <w:t>Montrose</w:t>
      </w:r>
      <w:r>
        <w:rPr>
          <w:color w:val="000000"/>
        </w:rPr>
        <w:t xml:space="preserve"> </w:t>
      </w:r>
      <w:r>
        <w:rPr>
          <w:rFonts w:ascii="Times New Roman;sans-serif" w:hAnsi="Times New Roman;sans-serif"/>
          <w:b w:val="false"/>
          <w:color w:val="000000"/>
          <w:sz w:val="20"/>
        </w:rPr>
        <w:t>decision in California, that read policy exclusions narrowly so as to expand coverage, thereby requiring insurers to create and write new exclusions; and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Social inflation trends, including higher and more frequent claims, more favorable judgments and legislated increases.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passage of new legislation designed to expand the right to sue, to remove limitations on recovery, to deem by statute the existence of a covered occurrence, to extend or eliminate the statutes of limitations or otherwise to repeal or weaken tort reforms could have a material and adverse effect on our results of operations and/or financial position.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investment portfolio is subject to significant market and credit risks, which could result in a material adverse impact on our financial condition or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depend, in part, on the performance of our investment portfolio. We seek to hold a diversified portfolio of investments that is managed by professional investment advisory management firms in accordance with our investment policy and periodically reviewed by our Investment Committee. However, our investments are subject to general economic conditions and market risks as well as risks inherent to particular securities.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Our primary market risk exposures are to changes in interest rates and equity prices.</w:t>
      </w:r>
      <w:r>
        <w:rPr>
          <w:color w:val="000000"/>
          <w:shd w:fill="FFFFFF" w:val="clear"/>
        </w:rPr>
        <w:t xml:space="preserve"> </w:t>
      </w:r>
      <w:r>
        <w:rPr>
          <w:rFonts w:ascii="Times New Roman;sans-serif" w:hAnsi="Times New Roman;sans-serif"/>
          <w:b w:val="false"/>
          <w:color w:val="000000"/>
          <w:sz w:val="20"/>
          <w:shd w:fill="FFFFFF" w:val="clear"/>
        </w:rPr>
        <w:t xml:space="preserve">See </w:t>
      </w:r>
      <w:r>
        <w:rPr>
          <w:color w:val="000000"/>
        </w:rPr>
        <w:t>“</w:t>
      </w:r>
      <w:r>
        <w:rPr>
          <w:rFonts w:ascii="Times New Roman;sans-serif" w:hAnsi="Times New Roman;sans-serif"/>
          <w:b w:val="false"/>
          <w:color w:val="000000"/>
          <w:sz w:val="20"/>
          <w:shd w:fill="FFFFFF" w:val="clear"/>
        </w:rPr>
        <w:t>Item 7A. Quantitative and Qualitative Disclosures About Market Risk.”</w:t>
      </w:r>
      <w:r>
        <w:rPr>
          <w:color w:val="000000"/>
        </w:rPr>
        <w:t xml:space="preserve"> </w:t>
      </w:r>
      <w:r>
        <w:rPr>
          <w:rFonts w:ascii="Times New Roman;sans-serif" w:hAnsi="Times New Roman;sans-serif"/>
          <w:b w:val="false"/>
          <w:color w:val="000000"/>
          <w:sz w:val="20"/>
        </w:rPr>
        <w:t xml:space="preserve">Prior to 2022, interest rates had been at or near historic lows, limiting yields on fixed income investments and negatively impacting investment income. Increases in interest rates during 2022 and for much of 2023, while generating higher investment yields, led to declines in the fair values of our fixed income securities, influenced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val="false"/>
          <w:color w:val="000000"/>
          <w:sz w:val="20"/>
        </w:rPr>
        <w:t>the duration of our fixed income investments and the extent of interest rate increases. For example, for the year ended December 31, 2022, we experienced unrealized losses on fixed maturity investments of $193.0 million, which were recognized in other comprehensive loss.</w:t>
      </w:r>
      <w:r>
        <w:rPr>
          <w:color w:val="000000"/>
        </w:rPr>
        <w:t xml:space="preserve"> </w:t>
      </w:r>
      <w:r>
        <w:rPr>
          <w:rFonts w:ascii="Times New Roman;sans-serif" w:hAnsi="Times New Roman;sans-serif"/>
          <w:b w:val="false"/>
          <w:color w:val="000000"/>
          <w:sz w:val="20"/>
        </w:rPr>
        <w:t>During 2023, the fair values of our fixed maturity securities recovered some of the unrealized losses with signs of inflation easing and optimism about future Federal Reserve interest rate cuts. The $99.3 million reduction in accumulated other comprehensive loss in the year ended December 31, 2023 reflects the increase in fair values of our fixed maturity securities as well as $53.2 million of losses recognized on JRG Re's fixed maturities. The Company entered into a definitive agreement on November 8, 2023 to sell JRG Re. The sale is expected to close in the first quarter of 2024 and the Company no longer has the intent or ability to hold securities in an unrealized loss position until a recovery of their fair value could occur.</w:t>
      </w:r>
      <w:r>
        <w:rPr>
          <w:color w:val="3051F2"/>
        </w:rPr>
        <w:t xml:space="preserve"> </w:t>
      </w:r>
      <w:r>
        <w:rPr>
          <w:rFonts w:ascii="Times New Roman;sans-serif" w:hAnsi="Times New Roman;sans-serif"/>
          <w:b w:val="false"/>
          <w:color w:val="000000"/>
          <w:sz w:val="20"/>
        </w:rPr>
        <w:t>Some fixed income securities have call or prepayment options, which represent possible reinvestment risk in declining rate environments. Other fixed income securities such as mortgage-backed and asset-backed securities carry prepayment risk or, in a rising interest rate environment, may not pre-pay as quickly as expected. In addition, individual securities in our fixed income securities portfolio are subject to credit risk and default. Downgrades in the credit ratings of fixed maturities can have a significant negative effect on the market valuation of such securities.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financial crisis or severe downturn in public debt and equity markets, we could incur substantial realized and unrealized investment losses in future periods, which could have a material adverse impact on our financial condition, results of operations, debt and financial strength ratings, insurance subsidiaries’ capital liquidity and ability to access capital markets.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our investment portfolio is subject to the risk that certain investments may default or become impaired due to deterioration in the financial condition of one or more issuers of the securities held, or due to deterioration in the financial condition of an insurer that guarantees an issuer’s payments of such investments. Such defaults and impairments could reduce our net investment income and result in realized investment losses.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We hold investments in bank loans (7.9% of the carrying value of our cash and invested assets (excluding restricted cash equivalents) as of December 31, 2023. Most of these loans are issued to sub-investment grade borrowers. While this class of investment has been profitable for us, a severe downturn in the markets could materially adversely affect the value of these investments, including the possibility that we would suffer substantial losses on this portfolio. As of December 31, 2023, the fair value of our investments in bank loans was $156.2 million</w:t>
      </w:r>
      <w:r>
        <w:rPr>
          <w:rFonts w:ascii="Times New Roman;sans-serif" w:hAnsi="Times New Roman;sans-serif"/>
          <w:b w:val="false"/>
          <w:color w:val="000000"/>
          <w:sz w:val="20"/>
          <w:shd w:fill="FFFFFF" w:val="clear"/>
        </w:rPr>
        <w:t>.</w:t>
      </w:r>
    </w:p>
    <w:p>
      <w:pPr>
        <w:pStyle w:val="TextBody"/>
        <w:bidi w:val="0"/>
        <w:spacing w:lineRule="auto" w:line="288" w:before="0" w:after="12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we held equity investments of $8.4 million in non-public limited liability companies that have invested in renewable energy investments. We invested in the equity of these projects because we anticipate earning attractive risk-adjusted returns from these investments. However, our investments in these projects are illiquid and the ultimate results from these investments may be unknown for some time.</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We also invest in marketable equity securities. These securities are carried on the balance sheet at fair market value and are subject to potential losses and declines in market value. Our invested assets also include interests in limited partnerships and privately held debt investments totaling $24.8 million at December 31, 2023. These investments were designed to provide diversification of risk and enhance the return on the overall portfolio. However, these investments entail substantial risks and are generally illiquid. Our investment portfolio is subject to increased valuation uncertainties when investment markets are illiquid. The valuation of investments is more subjective when markets are illiquid, thereby increasing the risk that the estimated fair value (</w:t>
      </w:r>
      <w:r>
        <w:rPr>
          <w:rFonts w:ascii="Times New Roman;sans-serif" w:hAnsi="Times New Roman;sans-serif"/>
          <w:b w:val="false"/>
          <w:i/>
          <w:color w:val="000000"/>
          <w:sz w:val="20"/>
        </w:rPr>
        <w:t>i.e.</w:t>
      </w:r>
      <w:r>
        <w:rPr>
          <w:rFonts w:ascii="Times New Roman;sans-serif" w:hAnsi="Times New Roman;sans-serif"/>
          <w:b w:val="false"/>
          <w:color w:val="000000"/>
          <w:sz w:val="20"/>
        </w:rPr>
        <w:t>, the carrying amount) does not reflect prices at which actual transactions would occur.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Risks for all types of securities are managed through application of our investment policy, which establishes investment parameters that include (but are not limited to) maximum percentages of investment in certain types of securities and minimum levels of credit quality, which we believe are within guidelines established by the NAIC, BMA and various state insurance departments, as applicable.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become subject to additional government or market regulation which may have a material adverse impact on our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Market disruptions like those experienced during the credit-driven financial market collapse in 2008, as well as the dramatic increase in the capital allocated to alternative asset management during recent years, have led to increased governmental as well as self-regulatory scrutiny of the insurance industry in general. In addition, certain legislation proposing greater regulation of the industry is periodically considered by governing bodies of some jurisdictions as well as the U.S. federal government. The credit-driven equity market collapse in 2008 or other significant market disruptions may increase the likelihood that some increased regulation of the industry is mandated.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are a Bermuda company, we are subject to changes in Bermuda law and regulation that may have a material adverse impact on our operations, including through the imposition of tax liability or increased regulatory supervision. In addition, we will be exposed to any changes in the political environment in Bermuda.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could be materially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affect the insurance industry, including tort reform, corporate governance and the taxation of reinsurance companies. The Dodd-Frank Act also established the Federal Insurance Office, which is authorized to study, monitor and report to Congress on the insurance industry and to recommend that the FSOC designate an insurer as an entity posing risks to U.S. financial stability in the event of the insurer’s material financial distress or failure. In December 2013, the Federal Insurance Office issued a report on alternatives to modernize and improve the system of insurance regulation in the United States, including increasing national uniformity through either a federal charter or effective action by the states. Any additional regulations established as a result of the Dodd-Frank Act or actions in response to the Federal Insurance Office Report could increase our costs of compliance or lead to disciplinary action.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We are unable to predict whether any legislation will be enacted or any regulations will be adopted, or the effect that any such developments could have on our business, financial condition or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Bermuda insurance and reinsurance regulatory framework has become subject to increased scrutiny in many jurisdictions. The BMA sought “regulatory equivalency” which enables Bermuda’s commercial insurers to transact business with the European Union on a “level playing field”. In connection with its initial efforts to achieve equivalency under Solvency II, the BMA implemented and imposed additional requirements on the companies it regulates, such as JRG Re. On November 26, 2015, via delegated act, the European Commission granted Bermuda’s commercial insurers full equivalence in all areas of Solvency II for an indefinite period of time. The European Commission’s act was reviewed and approved by the European Parliament and Council. On March 4, 2016, the delegated act was published in the official journal of the European Union. The grant of full equivalence came into force on March 24, 2016 and applies from January 1, 2016.</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Additionally, the regulatory environment surrounding information security and privacy is increasingly demanding. We are subject to numerous U.S. federal and state laws governing the protection of personal and confidential information of our clients and employees, and new privacy laws have been adopted or are being considered at the state and federal level that may be applicable to us. The NAIC adopted an Insurance Data Security Model Law on October 24, 2017, which requires licensed insurance entities to comply with detailed information security requirements. To date, the following states have either adopted the NAIC Insurance Data Security Model Law or similar laws that govern the cybersecurity and data protection practices of insurers, insurance agents, and other licensed entities registered under state insurance laws</w:t>
      </w:r>
      <w:r>
        <w:rPr>
          <w:rFonts w:ascii="Times New Roman;sans-serif" w:hAnsi="Times New Roman;sans-serif"/>
          <w:b w:val="false"/>
          <w:color w:val="000000"/>
          <w:sz w:val="20"/>
          <w:shd w:fill="FFFFFF" w:val="clear"/>
        </w:rPr>
        <w:t xml:space="preserve">: Alabama, California, Connecticut, Delaware, Indiana, Iowa, Louisiana, Maine, Michigan, Minnesota, Mississippi, New Hampshire, New York, North Dakota, Ohio, Pennsylvania, South Carolina, Tennessee, Virginia and Wisconsin. </w:t>
      </w:r>
      <w:r>
        <w:rPr>
          <w:rFonts w:ascii="Times New Roman;sans-serif" w:hAnsi="Times New Roman;sans-serif"/>
          <w:b w:val="false"/>
          <w:color w:val="000000"/>
          <w:sz w:val="20"/>
        </w:rPr>
        <w:t>It is not yet known whether, and to what extent, other state legislatures or insurance regulators where we operate will enact the NAIC Insurance Data Security Model Law in whole or in part, or in a modified form. Such enactments, especially if inconsistent between states or with existing laws and regulations, could raise compliance costs or increase the risk of noncompliance, with the attendant risk of being subject to regulatory enforcement actions and penalties, as well as reputational harm. Further, several states have enacted privacy laws requiring specific disclosures regarding privacy practices and granting certain rights to consumers with respect to the use by companies of their personally identifiable information. There has also been proposed privacy legislation at the federal level. These new privacy laws may impose compliance costs, and ambiguities surrounding their applicability and interpretation may increase the risk of noncompliance, with the attendant risk of being subject to regulatory enforcement actions and penalties, as well as class action litigation. Any such events could potentially have an adverse impact on our business, financial condition or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It is impossible to predict what, if any, changes in the regulations applicable to us, the markets in which we operate, trade and invest or the counterparties with which we do business may be instituted in the future. Any such regulation could have a material adverse impact on our business.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admitted insurance and reinsurance subsidiaries are subject to extensive regulation, primarily by California (the domiciliary state for Falls Lake Fire and Casualty Company), Ohio (the domiciliary state for James River Insurance, James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River Casualty, and Falls Lake National), North Carolina (the domiciliary state for Stonewood Insurance), Bermuda (the domicile of JRG Re), and to a lesser degree, the other jurisdictions in the United States in which we operate. Most insurance regulations are designed to protect the interests of insurance policyholders, as opposed to the interests of shareholders. These regulations generally are administered by a department of insurance in each state and, in the case of JRG Re, the BMA in Bermuda,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State insurance departments and the BMA also conduct periodic examinations of the affairs of insurance companies and reinsurance companies and require the filing of annual and other reports relating to financial condition, holding company issues and other matters. These regulatory requirements may impose timing and expense or other constraints that could materially adversely affect our ability to achieve some or all of our business objectives. Failure by any of our insurance subsidiaries to comply with applicable regulations could result in a requirement for that subsidiary to cease writing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regulatory authorities have broad discretion to deny or revoke licenses for various reasons, including the violation of regulations. For example, an insurer’s registration may be cancelled by the BMA on certain grounds specified in the Insurance Act, including failure by the insurer to comply with its obligations under the Insurance Act, or if the BMA believes that the insurer has not been carrying on business in accordance with sound insurance principles.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 NAIC has developed a system to test the adequacy of statutory capital of U.S.-based insurers, known as risk-based capital or “RBC,” that many states have adopted. This system establishes the minimum amount of risk-based capital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supervision, rehabilitation or liquidation. Failure to maintain adequate risk-based capital at the required levels could materially adversely affect the ability of our insurance subsidiaries to maintain regulatory authority to conduct their business. </w:t>
      </w:r>
      <w:r>
        <w:rPr>
          <w:rFonts w:ascii="Times New Roman;sans-serif" w:hAnsi="Times New Roman;sans-serif"/>
          <w:b w:val="false"/>
          <w:color w:val="000000"/>
          <w:sz w:val="20"/>
          <w:shd w:fill="FFFFFF" w:val="clear"/>
        </w:rPr>
        <w:t>For additional information, see “Item 1. Business — Regulation — U.S. Insurance Regulation — State Regulation.”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various state insurance regulators have increased their focus on risks within an insurer’s holding company system that may pose enterprise risk to the insurer. In 2012, the NAIC adopted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a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and Ohio, the states in which our U.S. insurance subsidiaries are domiciled, adopted the NAIC Amendments, including the enterprise risk report requirement.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2012, the NAIC also adopted the ORSA Model Act. The ORSA Model Act, when adopted by the various states, requires an insurance holding company system’s Chief Risk Officer to submit annually to its lead state insurance regulator an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and Ohio, the states in which our U.S. insurance subsidiaries are domiciled, adopted the ORSA Model Act and require an ORSA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 in regulation of our business may materially reduce our profitability, limit our growth or otherwise materially adversely affect our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Changing climate conditions may increase the frequency and severity of catastrophic events and thereby adversely affect our financial condition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changing weather patterns and climatic conditions, such as global warming, appear to have contributed to the unpredictability, frequency and severity of natural disasters and created additional uncertainty as to future trends and exposures. There is a growing scientific consensus that global warming and other climate changes are increasing the frequency and severity of catastrophic weather and other events, such as hurricanes, fires, tornadoes, windstorms, floods and other natural disasters. Such changes make it more difficult for us to predict and model catastrophic events, reducing our ability to accurately price our exposure to such events and mitigate our risks. Any increase in the frequency or severity of natural disasters may adversely affect our financial condition and results.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have exposure to losses from terrorism for which we are required by law to provide coverage.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 insurers are required by state and federal law to offer coverage for terrorism in certain commercial lines, including workers’ compensation. As discussed under “Item 1. Business — Regulation — U.S. Insurance Regulation — Federal Regulation,” the Terrorism Acts require commercial property and casualty insurance companies to offer coverage for acts of terrorism, whether foreign or domestic, and established a federal assistance program through the end of 2027 to help cover claims related to future terrorism-related losses. The impact of any terrorist act is unpredictable, and the ultimate impact on us would depend upon the nature, extent, location and timing of such an act.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or agents we have appointed, may act based on inaccurate or incomplete information regarding the accounts we underwrite, or such agents may exceed their authority or commit fraud when binding policies on our behalf.</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MGAs and other agents who have the ability to bind our policies, rely on information provided by insureds or their representatives when underwriting insurance policies. While we may make inquiries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In addition, in the Specialty Admitted Insurance segment, MGAs and other agents have the authority to bind policies on our behalf within prescribed underwriting guidelines, and third party administrators manage and pay claims on our behalf and advise us with respect to case reserves. If any such agents exceed their authority, breach their obligations to us, fail to maintain proper licenses, have weak internal controls, or engage in fraudulent activities, our reputation could suffer, we may experience regulatory intervention, or our financial condition and results of operations could be materially adversely affected.</w:t>
      </w:r>
      <w:r>
        <w:rPr>
          <w:color w:val="000000"/>
        </w:rPr>
        <w:t xml:space="preserve"> </w:t>
      </w:r>
      <w:r>
        <w:rPr>
          <w:rFonts w:ascii="Times New Roman;sans-serif" w:hAnsi="Times New Roman;sans-serif"/>
          <w:b w:val="false"/>
          <w:color w:val="000000"/>
          <w:sz w:val="20"/>
        </w:rPr>
        <w:t>Although we are continually monitoring these agents and administrators, our monitoring efforts may not be adequate.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 insurance business is historically cyclical, and we may experience periods with excess underwriting capacity and unfavorable premium rates, which could materially adversely affect our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insurers have experienced significant fluctuations in operating results due to competition, frequency and severity of catastrophic events, levels of capacity, adverse trends in litigation, regulatory constraints, general economic conditions and other factors. We have experienced these types of fluctuations since the Company’s inception.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increased premium levels. Demand for insurance depends on numerous factors, including the frequency and severity of catastrophic events, levels of capacity, the introduction of new capital providers, general economic conditions and underwriting results of primary insurers. All of these factors fluctuate and may contribute to price declines generally in the insurance industry.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with certainty whether market conditions will improve, remain constant or deteriorate. Negative market conditions may impair our ability to underwrite insurance at rates we consider appropriate and commensurate relative to the risk assumed. If we cannot underwrite insurance at appropriate rates, our ability to transact business will be materially adversely affected. Any of these factors could lead to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reinsurance business is subject to loss settlements made by ceding companies and fronting carriers over which we have no control, which could materially adversely affect our performance.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Where JRG Re enters into assumed reinsurance contracts with third parties, all loss settlements made by the ceding company will be unconditionally binding upon us, provided they are within the terms of the underlying policies and within the terms of the relevant contract. While we believe the ceding companies will settle such claims in good faith, we are bound to accept the claims settlements agreed to by the ceding companies. Under the underlying policies, each ceding company typically bears the burden of proving that a contractual exclusion applies to a loss, and there may be circumstances where the facts of a loss are insufficient to support the application of an exclusion. In such circumstances, we assume such losses under the reinsured policies, which could materially adversely affect our performance.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could be forced to sell investments to meet our liquidity requirements.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invest the premiums we receive from our insureds and ceding companies until they are needed to pay policyholder claims or until they are recognized as profits. Consequently, we seek to manage the duration of our investment portfolio based on the duration of our loss and loss adjustment expense reserves to ensure sufficient liquidity and avoid having to liquidate securities to fund claims. Risks such as inadequate loss and loss adjustment expense reserves or unfavorable trends in litigation could potentially result in the need to sell investments to fund these liabilities. Such sales could result in significant realized losses depending on the conditions of the general market, interest rates and credit issues with individual securities.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employees could take excessive risks, which could negatively affect our financial condition and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an insurance enterprise, we are in the business of binding certain risks. The employees who conduct our business, including executive officers and other members of management, underwriters, claims professionals, and other employees, do so in part by making decisions and choices that involve exposing us to risk. These include decisions such as setting underwriting guidelines and standards, product design and pricing, determining which business opportunities to pursue, claims management decisions, and other decisions. Although we employ controls and procedures designed to monitor employees’ business decisions and prevent us from taking excessive risks, these controls and procedures may not be effective. If our employees take excessive risks, the impact of those risks could have a material adverse effect on our financial condition and business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in the future, which may not be available or available only on unfavorable terms.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depend on many factors, including our ability to write new and renewal business successfully and to establish premium rates and reserves at levels sufficient to cover losses. Our ability to underwrite depends largely upon the expected quality of our claims paying process and our perceived financial strength as estimated by potential insureds, brokers, other intermediaries, independent rating agencies, and our regulators. To the extent that our existing capital is insufficient to fund our future operating requirements, cover claim losses, satisfy ratings agencies in order to maintain a satisfactory rating, or meet the capital requirements of our regulators in order to maintain our insurance licenses, we may need to raise additional capital in the future through offerings of debt, hybrid or equity securities or through suspension or reduction of dividends, or otherwise to:</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fund liquidity needs caused by underwriting or investment losses;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replace capital lost in the event of significant reinsurance losses or adverse reserve developments;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satisfy letters of credit or guarantee bond requirements that may be imposed by our clients or by regulators;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meet rating agency or regulatory capital requirements; or</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respond to competitive pressures.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equity or debt financing, if available at all, may be on terms that are unfavorable to us. Further, any additional capital raised through the sale of equity could dilute shareholders’ ownership interest in the Company and would likely cause the value of our shares to decline. For example, in May 2021, we raised $192.1 million in equity capital (the “May Equity Offering”) to protect our balance sheet after experiencing $170.0 million of adverse development on our commercial auto business in the first quarter of 2021 almost entirely related to a previously canceled account that has been in run-off since 2019. In the May Equity Offering, we announced the offering of 6,497,500 shares at $31.00 per share the day after our shares had a closing market price equal to $46.50. Additionally, on March 1, 2022 we issued 150,000 Series A Perpetual Cumulative Convertible Preferred Shares, par value $0.00125 per share (the "Series A Preferred Shares"), for an aggregate purchase price of $150 million, primarily to protect our balance sheet after experiencing $115.0 million of adverse reserve development in our former casualty reinsurance segment in the fourth quarter of 2021. The Series A Preferred Shares, among other things, have the right to receive a payment on account of the distribution of assets on any voluntary or involuntary liquidation, dissolution or winding up of the affairs of the Company before any payment may be made to holders of any other class or series of capital shares, pay dividends to the security holders at the initial rate of 7% of their liquidation preference of $1,000 per share per annum, include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val="false"/>
          <w:color w:val="000000"/>
          <w:sz w:val="20"/>
        </w:rPr>
        <w:t>that may limit our ability to pay dividends to common shareholders and may not be redeemed at our election. See also "</w:t>
      </w:r>
      <w:r>
        <w:rPr>
          <w:rFonts w:ascii="Times New Roman;sans-serif" w:hAnsi="Times New Roman;sans-serif"/>
          <w:b w:val="false"/>
          <w:i/>
          <w:color w:val="000000"/>
          <w:sz w:val="20"/>
        </w:rPr>
        <w:t xml:space="preserve">The Series A Preferred Shares have rights, preferences and privileges that are not held by, and are preferential to the rights of, our common shareholders, which could adversely affect our liquidity and financial condition" </w:t>
      </w:r>
      <w:r>
        <w:rPr>
          <w:rFonts w:ascii="Times New Roman;sans-serif" w:hAnsi="Times New Roman;sans-serif"/>
          <w:b w:val="false"/>
          <w:color w:val="000000"/>
          <w:sz w:val="20"/>
        </w:rPr>
        <w:t>and "</w:t>
      </w:r>
      <w:r>
        <w:rPr>
          <w:rFonts w:ascii="Times New Roman;sans-serif" w:hAnsi="Times New Roman;sans-serif"/>
          <w:b w:val="false"/>
          <w:i/>
          <w:color w:val="000000"/>
          <w:sz w:val="20"/>
        </w:rPr>
        <w:t xml:space="preserve">The amount of dividends that we may pay to our common shareholders is subject to restrictions pursuant to the terms of the Series A Preferred Shares, and we cannot assure you that we will declare or pay dividends on our common shares in the future." </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Further, our ability to raise debt and certain types of equity capital may be constrained by covenants in our existing credit facilities. See the Risk Factor</w:t>
      </w:r>
      <w:r>
        <w:rPr>
          <w:color w:val="000000"/>
        </w:rPr>
        <w:t xml:space="preserve"> “</w:t>
      </w:r>
      <w:r>
        <w:rPr>
          <w:rFonts w:ascii="Times New Roman;sans-serif" w:hAnsi="Times New Roman;sans-serif"/>
          <w:b w:val="false"/>
          <w:i/>
          <w:color w:val="000000"/>
          <w:sz w:val="20"/>
        </w:rPr>
        <w:t>Our credit agreements contain financial and other covenants, the breach of which could result in acceleration of payment of amounts due under our credit facilities</w:t>
      </w:r>
      <w:r>
        <w:rPr>
          <w:color w:val="000000"/>
        </w:rPr>
        <w:t xml:space="preserve">” </w:t>
      </w:r>
      <w:r>
        <w:rPr>
          <w:rFonts w:ascii="Times New Roman;sans-serif" w:hAnsi="Times New Roman;sans-serif"/>
          <w:b w:val="false"/>
          <w:color w:val="000000"/>
          <w:sz w:val="20"/>
        </w:rPr>
        <w:t>below. Additional capital raised through the issuance of debt would most likely result in creditors having rights, preferences and privileges senior or otherwise superior to those of the holders of our shares and may limit our flexibility in operating our business and make it more difficult to obtain capital in the future. Disruptions, uncertainty, or volatility in the capital and credit markets may also limit our access to capital required to operate our business. If we are not able to obtain adequate capital, or obtain it on favorable terms, our business, financial condition and results of operations could be materially adversely affected.</w:t>
      </w:r>
    </w:p>
    <w:p>
      <w:pPr>
        <w:pStyle w:val="TextBody"/>
        <w:bidi w:val="0"/>
        <w:spacing w:lineRule="auto" w:line="288" w:before="0" w:after="120"/>
        <w:jc w:val="left"/>
        <w:rPr/>
      </w:pPr>
      <w:r>
        <w:rPr>
          <w:rFonts w:ascii="Times New Roman;sans-serif" w:hAnsi="Times New Roman;sans-serif"/>
          <w:b/>
          <w:i/>
          <w:color w:val="000000"/>
          <w:sz w:val="20"/>
        </w:rPr>
        <w:t>Our credit agreements contain financial and other covenants, the breach of any of which could result in acceleration of payment of amounts due under our credit facilities</w:t>
      </w:r>
      <w:r>
        <w:rPr>
          <w:rFonts w:ascii="Times New Roman;sans-serif" w:hAnsi="Times New Roman;sans-serif"/>
          <w:b/>
          <w:color w:val="000000"/>
          <w:sz w:val="20"/>
        </w:rPr>
        <w:t>.</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As of December 31, 2023, we had an outstanding unsecured balance of approximately $207.3 million in the aggregate under our two bank credit agreements. The agreements contain certain financial covenants that require us to maintain consolidated net worth in excess of a specified minimum amount and a leverage ratio as of the end of any fiscal quarter not in excess of 0.35 to 1. The agreements contain other covenants which, among other things, require ongoing compliance with applicable insurance regulations and require each of our regulated insurance subsidiaries to maintain ratings from A.M. Best not lower than an A-. At December 31, 2023, we were in default of the financial strength rating covenant due to the downgrade of JRG Re by A.M. Best on December 20, 2023 from "A-" (Excellent) to "B++" (good), which default has been waived by our lenders until March 1, 2025. See the Risk Factor "</w:t>
      </w:r>
      <w:r>
        <w:rPr>
          <w:rFonts w:ascii="Times New Roman;sans-serif" w:hAnsi="Times New Roman;sans-serif"/>
          <w:b w:val="false"/>
          <w:i/>
          <w:color w:val="000000"/>
          <w:sz w:val="20"/>
        </w:rPr>
        <w:t>A decline in the financial strength rating may result in a reduction of new or renewal business</w:t>
      </w:r>
      <w:r>
        <w:rPr>
          <w:rFonts w:ascii="Times New Roman;sans-serif" w:hAnsi="Times New Roman;sans-serif"/>
          <w:b w:val="false"/>
          <w:color w:val="000000"/>
          <w:sz w:val="20"/>
        </w:rPr>
        <w:t>" above. This breach or any other breach of any of the covenants could result in acceleration of our obligations to repay our outstanding indebtedness under such agreement if we are unable to obtain a waiver or amendment from our lenders, and otherwise could impair our ability to borrow funds or result in higher borrowing costs.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operate in a highly competitive environment and we may not continue to be able to compete effectively against larger or more well-established business rivals.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face competition from other specialty insurance companies, standard insurance companies and underwriting agencies, as well as from diversified financial services companies that are larger than we are and that have greater financial, marketing and other resources than we do. Some of these competitors also have longer experience and more market recognition than we do in certain lines of business. In addition, it may be difficult or prohibitively expensive for us to implement technology systems and processes that are competitive with the systems and processes of these larger companies.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In particular, 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reputation, and the experience and reputation of the members of our underwriting team in the particular lines of insurance we seek to underwrite.</w:t>
      </w:r>
      <w:r>
        <w:rPr>
          <w:color w:val="000000"/>
          <w:shd w:fill="FFFFFF" w:val="clear"/>
        </w:rPr>
        <w:t xml:space="preserve"> </w:t>
      </w:r>
      <w:r>
        <w:rPr>
          <w:rFonts w:ascii="Times New Roman;sans-serif" w:hAnsi="Times New Roman;sans-serif"/>
          <w:b w:val="false"/>
          <w:color w:val="000000"/>
          <w:sz w:val="20"/>
          <w:shd w:fill="FFFFFF" w:val="clear"/>
        </w:rPr>
        <w:t>See also “Item 1. Business — Competition.”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new, proposed or potential legislative or industry developments could further increase competition in our industry. These developments include:</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An increase in capital-raising by companies in our lines of business, which has resulted in new entrants to our markets and an excess of capital in the industry;</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deregulation of commercial insurance lines in certain states and the possibility of federal regulatory reform of the insurance industry, which could increase competition from standard carriers for our E&amp;S lines of insurance business; and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Changing practices facilitated by the Internet may lead to greater competition in the insurance business. Among the possible changes are shifts in the way in which commercial insurance is purchased, which could affect both admitted and E&amp;S lines.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depend largely on the wholesale distribution model for our Excess and Surplus Lines segment’s premiums. If the wholesale distribution model were to be significantly altered by changes in the way E&amp;S lines risks are marketed, including, without limitation, through use of the internet, it could have a material adverse effect on our premiums, underwriting results and profits.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assurance that we will be able to continue to compete successfully in the insurance market. Increased competition in the market could result in a change in the supply and/or demand for insurance, affect our ability to price our products at risk-adequate rates, affect our ability to retain business with existing customers, or underwrite new business on favorable terms. If this increased competition so limits our ability to transact business, our operating results could be materially adversely affected.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If we are unable to keep pace with the technological advancements in the insurance industry, our ability to compete effectively could be impaired.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developing and maintaining information technology systems and data analytics that will allow our insurance subsidiaries to compete effectively. There can be no assurance that the development of current technology or data analytics for future use will not result in our being competitively disadvantaged, especially with those carriers that have greater resources. If we are unable to keep pace with the advancements being made in technology and data analytics, our ability to compete with other insurance companies who have advanced technological or data analytics capabilities will be negatively affected. Further, if we are unable to effectively execute and update or replace our key legacy technology systems as they become obsolete or as emerging technology renders them competitively inefficient, our competitive position and our cost structure could be adversely affected.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If actual renewals of our existing contracts do not meet expectations, our premiums written in future years and our future results of operations could be materially adversely affected.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contracts are written for a one-year term. In our financial forecasting process, we make assumptions about the renewal of our prior year’s contracts. The insurance industry has historically been a cyclical business with intense competition, often based on price. If actual renewals do not meet expectations or if we choose not to write a renewal (including in connection with the early termination of insurance policies), our premiums written in future years and our future operations could be materially adversely affected.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change our underwriting guidelines or our strategy without shareholder approval.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has the authority to change our underwriting guidelines or our strategy without notice to our shareholders and without shareholder approval. As a result, we may make fundamental changes to our operations without shareholder approval, which could result in our pursuing a strategy or implementing underwriting guidelines that may be materially different from the strategy or underwriting guidelines described in the section titled “Business” or elsewhere in this Annual Report.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ability to implement our business strategy could be delayed or adversely affected by Bermuda employment restrictions relating to the ability to obtain and retain work permits for key employees in Bermuda.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Bermuda law, non-Bermudians (other than spouses of Bermudians and holders of permanent residents’ certificates) may not engage in any gainful occupation in Bermuda without a valid government work permit. A work permit may be granted or renewed upon showing that, after proper public advertisement, no Bermudian, spouse of a Bermudian or a holder of a permanent resident’s certificate who meets the minimum standards reasonably required by the employer has applied for the job. A work permit is issued with an expiry date (up to five years) and no assurances can be given that any work permit will be issued or, if issued, renewed upon the expiration of the relevant term. If work permits are not obtained or are not renewed for our key employees, we would lose their services, which could materially affect our business.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If California, North Carolina Ohio or any other state in which our insurance companies are admitted significantly increases the assessments our insurance companies are required to pay, our financial condition and results of operations will suffer.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insurance companies are subject to assessments in California (the domiciliary state for Falls Lake Fire and Casualty Company), North Carolina (the domiciliary state for Stonewood Insurance), Ohio (the domiciliary state for James River Insurance, James River Casualty and Falls Lake National) and other states in which our insurance companies may be admitted, for various purposes, including the provision of funds necessary to fund the operations of the various insurance departments and the state funds that pay covered claims under certain policies written by impaired, insolvent or failed insurance companies. These assessments are generally set based on an insurer’s percentage of the total premiums written in the insurer’s state within a particular line of business. As our insurance subsidiaries grow, our share of any assessments may increase. We cannot predict with certainty the amount of future assessments because they depend on factors outside our control, such as insolvencies of other insurance companies. Significant assessments could result in higher than expected operating expenses and have a material adverse effect on our financial condition or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use of third-party claims administrators in certain lines of business may result in higher losses and loss adjustment expenses.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Excess and Surplus Lines and Specialty Admitted Insurance segments handled all claims using employed staff. As we have entered new lines of business, we now use third-party claims administrators and contract employees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administer claims subject to the supervision of our employed staff. It is possible that these contract employees and third-party claims administrators may achieve less desirable results on claims than has historically been the case for our internal staff, which could result in significantly higher losses and loss adjustment expenses in those lines of business.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Taxation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Changes in tax law may have a significant impact on the Company.</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Tax Act</w:t>
      </w:r>
      <w:r>
        <w:rPr>
          <w:rFonts w:ascii="Times New Roman;sans-serif" w:hAnsi="Times New Roman;sans-serif"/>
          <w:b w:val="false"/>
          <w:color w:val="000000"/>
          <w:sz w:val="20"/>
        </w:rPr>
        <w:t>. The Tax Act, enacted on December 22, 2017, introduced significant changes to the Internal Revenue Code of 1986, as amended (the “Code”). The Tax Act contained many provisions that impact us and our shareholders, including provisions that impose a base erosion and anti-abuse tax (“BEAT”) on income of a U.S. corporation determined without regard to certain otherwise deductible payments made to certain foreign affiliates (including premium or other consideration paid or accrued to a related foreign reinsurance company for reinsurance), broaden the definition of United States shareholder for purposes of the controlled foreign corporation (“CFC”) rules, and make it more difficult for a foreign insurance company to avoid being treated as a passive foreign investment company (“PFIC”).</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is continued uncertainty regarding how these and other provisions of the Tax Act will be interpreted, although guidance in proposed and final forms has been released with respect to certain provisions of the Tax Act, including certain BEAT and PFIC provisions, that may impact the Company. The ultimate impact of the Tax Act may differ from the Company’s description below due to changes in interpretations, as well as additional regulatory guidance that may be issued. Given the complexity of the Tax Act, you are strongly encouraged to consult your own tax advisor regarding its potential impact on the U.S. federal income tax consequences to you considering your particular circumstances.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BEAT</w:t>
      </w:r>
      <w:r>
        <w:rPr>
          <w:rFonts w:ascii="Times New Roman;sans-serif" w:hAnsi="Times New Roman;sans-serif"/>
          <w:b w:val="false"/>
          <w:color w:val="000000"/>
          <w:sz w:val="20"/>
        </w:rPr>
        <w:t>. The Tax Act’s BEAT provision imposes a minimum tax on “applicable taxpayers,” which are generally corporations that are part of a group with at least $500 million of applicable annual gross receipts and that make certain payments to related foreign persons, including payments that are deductible for U.S. tax purposes, payments to purchase depreciable or amortizable property, and reinsurance payments. BEAT subjects the “modified taxable income” of an applicable taxpayer to tax at a rate of 10% in 2020-2025, and 12.5% in 2026 and thereafter. In general, modified taxable income is calculated by adding back to a taxpayer’s regular taxable income the amount of certain “base erosion tax benefits” with respect to certain “base erosion payments” to foreign affiliates, as well as the “base erosion percentage” of any net operating loss deductions. BEAT applies to the extent it exceeds a taxpayer’s regular corporate income tax liability (determined without regard to certain tax credits).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We have analyzed the regulations released by the U.S. Internal Revenue Service (the “IRS”) and U.S. Department of the Treasury regarding BEAT</w:t>
      </w:r>
      <w:r>
        <w:rPr>
          <w:color w:val="000000"/>
          <w:shd w:fill="FFFFFF" w:val="clear"/>
        </w:rPr>
        <w:t xml:space="preserve"> </w:t>
      </w:r>
      <w:r>
        <w:rPr>
          <w:rFonts w:ascii="Times New Roman;sans-serif" w:hAnsi="Times New Roman;sans-serif"/>
          <w:b w:val="false"/>
          <w:color w:val="000000"/>
          <w:sz w:val="20"/>
          <w:shd w:fill="FFFFFF" w:val="clear"/>
        </w:rPr>
        <w:t xml:space="preserve">and have concluded that we will be subject to additional tax if regular U.S. income tax does not exceed a minimum amount. </w:t>
      </w:r>
      <w:r>
        <w:rPr>
          <w:rFonts w:ascii="Times New Roman;sans-serif" w:hAnsi="Times New Roman;sans-serif"/>
          <w:b w:val="false"/>
          <w:color w:val="000000"/>
          <w:sz w:val="20"/>
        </w:rPr>
        <w:t>The applicability of BEAT depends on a number of factors and the extent to which we may be subject to BEAT in future periods as a result of changes in interpretations, as well as additional regulatory guidance that may be issued, is currently unknown.</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IRA</w:t>
      </w:r>
      <w:r>
        <w:rPr>
          <w:rFonts w:ascii="Times New Roman;sans-serif" w:hAnsi="Times New Roman;sans-serif"/>
          <w:b w:val="false"/>
          <w:color w:val="000000"/>
          <w:sz w:val="20"/>
        </w:rPr>
        <w:t>. The Inflation Reduction Act of 2022 (the “IRA”) contains a number of tax-related provisions, including a 15% corporate alternative minimum tax imposed on certain corporations that meet an income-based test, as well as a 1% nondeductible excise tax on certain stock repurchases. It is unclear how these provisions of the IRA will be applied and what impact the IRA will have on our tax liability. We will continue to evaluate the IRA’s impact as further information becomes available.</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BEPS</w:t>
      </w:r>
      <w:r>
        <w:rPr>
          <w:rFonts w:ascii="Times New Roman;sans-serif" w:hAnsi="Times New Roman;sans-serif"/>
          <w:b w:val="false"/>
          <w:color w:val="000000"/>
          <w:sz w:val="20"/>
        </w:rPr>
        <w:t>. In recent years, the Organization for Economic Co-operation and Development (“OECD”), with the support of the G20, has developed proposals to address perceived base erosion and profit shifting (“BEPS”). BEPS generally refers to tax planning strategies that exploit gaps and mismatches in tax rules to artificially shift profits to locations with low or no tax and little or no economic activity, for the purpose of reducing a multinational group’s aggregate tax liability. In 2021, the OECD/G20 Inclusive Framework on BEPS published a statement updating and finalizing the key components of a “two pillar” plan for global tax reform, as agreed among a number of countries across the globe. Pillar I addresses tax nexus and the allocation of profits for tax purposes. Under Pillar II, a global minimum tax at the rate of 15% would be imposed on certain companies whose revenues exceed a threshold. In December 2022, the member states of the European Union unanimously voted to adopt the OECD’s minimum tax rules and phase them into national law, and in February 2023 the OECD released technical guidance on the global minimum tax which was agreed by consensus of the BEPS 2.0 (Pillars I and II) signatory jurisdictions. Under the European Union’s minimum tax directive, member states are to adopt domestic legislation implementing the minimum tax rules effective for periods beginning on or after December 31, 2023, with the “under-taxed profit rule” to take effect for periods beginning on or after December 31, 2024. Legislatures in multiple countries outside of the European Union have also drafted legislation to implement the OECD’s minimum tax proposal. As a result of these developments, the tax laws of certain countries in which we and our affiliates do business could change on a prospective or retroactive basis, and any such changes, including the adoption of the global minimum tax rules, could subject us to additional taxes and costs for tax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U.S. persons who own our shares may be subject to U.S. federal income taxation on our undistributed earnings and may recognize ordinary income upon disposition of shares.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are considered a PFIC (as defined in Section 1297(a) of the Code) for U.S. federal income tax purposes, a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PFIC rules include provisions intended to provide an exception for qualifying insurance corporations (“QIC”) engaged in the active conduct of an insurance business. Generally, a QIC is a company (i) that would be subject to tax under special provisions related to insurance companies if the company was a U.S. entity, and (ii) the applicable insurance liabilities of which constitute more than 25% of its total assets as reported on the company’s applicable financial statement. On January 15, 2021, the IRS and U.S. Department of the Treasury issued final regulations and proposed regulations that provide guidance regarding the PFIC rules and the QIC exception. More specifically, the complex regulations provide, among other things, clarity on the application of “applicable insurance liabilities” and the “applicable financial statement,” as well as the requirements to be engaged in the “active conduct” of an insurance business. The IRS has requested comments on several aspects of the proposed regulations, which are not effective until adopted in final form. It is uncertain when the proposed regulations will be finalized, and whether the provisions of any final or temporary regulations will vary from the proposed regulations.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not and have not been, and currently do not expect to become, a PFIC for U.S. federal income tax purposes. Our belief that we are not and have not been a PFIC is based, in part, on the fact that we believe that we are a QIC engaged in the active conduct of an insurance business. New regulations or pronouncements interpreting or clarifying these rules may be forthcoming. We cannot predict what impact, if any, such guidance would have on an investor that is subject to U.S. federal income taxation. As a result, we cannot assure you that we, or one of our subsidiaries, will not be deemed a PFIC by the IRS. If we, or one of our subsidiaries, were considered a PFIC, it could have material adverse tax consequences for an investor that is subject to U.S. federal income taxation.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non-U.S. corporation generally will be classified as a CFC if U.S. persons, each of whom owns, directly, indirectly, or constructively, at least 10% of the voting power or value of such corporation’s stock (“U.S. 10% Shareholders”), own in the aggregate more than 50% of the voting power or value of the stock of such corporation. The Tax Act eliminated the prohibition on “downward attribution” from non-U.S. persons to U.S. persons under the CFC constructive ownership rules. As a result, our U.S. subsidiaries are deemed to own all of the stock of our non-U.S. subsidiaries (other than James River Group Holdings UK Limited (“James River UK”)) for purposes of classifying those non-U.S. subsidiaries as CFCs. The legislative history under the Tax Act indicates that this change to the CFC constructive ownership rules was not intended to cause our non-U.S. subsidiaries to be treated as CFCs with respect to a 10% U.S. Shareholder that is not related (within the meaning of Section 954(d)(3) of the Code) to our U.S. subsidiary. However, it is not clear whether the IRS or a court would interpret the change made by the Tax Act in a manner consistent with such indicated intent.</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Under these rules, if a foreign corporation is a CFC, each U.S. 10% Shareholder who owns directly or indirectly shares of the CFC on the last day of the CFC’s taxable year must annually include in its taxable income its pro rata share of the CFC’s “subpart F income,” even if no distributions are made. Subpart F income typically includes “foreign personal holding company income” (such as interest, dividends and other types of passive income), as well as insurance and reinsurance income (including underwriting and investment income). In general (subject to the special rules applicable to “related person insurance income” described below), for purposes of taking into account insurance income, a foreign insurance company will be treated as a CFC if U.S. 10% Shareholders collectively own more than 25% of the voting power or value of the company’s shares at any point during any year. </w:t>
      </w:r>
      <w:r>
        <w:rPr>
          <w:rFonts w:ascii="Times New Roman;sans-serif" w:hAnsi="Times New Roman;sans-serif"/>
          <w:b w:val="false"/>
          <w:color w:val="000000"/>
          <w:sz w:val="20"/>
          <w:shd w:fill="FFFFFF" w:val="clear"/>
        </w:rPr>
        <w:t xml:space="preserve">As discussed above, we cannot assure you that we are not and will not become a CFC. </w:t>
      </w:r>
      <w:r>
        <w:rPr>
          <w:rFonts w:ascii="Times New Roman;sans-serif" w:hAnsi="Times New Roman;sans-serif"/>
          <w:b w:val="false"/>
          <w:color w:val="000000"/>
          <w:sz w:val="20"/>
        </w:rPr>
        <w:t>If you are a U.S. person, we strongly urge you to consult your own tax advisor concerning the CFC rules.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Related Person Insurance Income</w:t>
      </w:r>
      <w:r>
        <w:rPr>
          <w:rFonts w:ascii="Times New Roman;sans-serif" w:hAnsi="Times New Roman;sans-serif"/>
          <w:b w:val="false"/>
          <w:color w:val="000000"/>
          <w:sz w:val="20"/>
        </w:rPr>
        <w:t xml:space="preserve">. Under proposed regulations, if (i) our gross income attributable to insurance or reinsurance policies pursuant to which the direct or indirect insureds are our direct or indirect U.S. shareholders or persons related to such U.S. shareholders equals or exceeds 20% of our gross insurance income in any taxable year; and (ii) direct or indirect insureds and persons related to such insureds own directly or indirectly 20% or more of the voting power or value of our shares (together, the “RPII Test”), a U.S. person who owns any of our shares directly or indirectly on the last day of such taxable year would most likely be required to include its allocable share of our related person insurance income for such taxable year in its income, even if no distributions are made. We do not believe that the 20% gross insurance income threshold has been, or will be, met. However, we cannot assure you that this will continue to be the case. Additionally, certain proposed regulations would expand the scope of related person insurance income to potentially include all of the insurance income any of our non-U.S. operating companies earn from reinsuring affiliates if such companies are majority owned (directly, indirectly or by application of certain constructive ownership rules) by U.S. persons. It is not certain whether any of these proposed regulations will be adopted in their proposed form or what changes or clarifications might ultimately be made thereto or whether any such changes, as well as any interpretation or application of the related person insurance income rules by the IRS, the courts, or otherwise, might have retroactive effect. Consequently, we cannot assure you that a person who is a direct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indirect U.S. shareholder will not be required to include amounts in its income in respect of related person insurance income in any taxable year.</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Dispositions of Our Shares</w:t>
      </w:r>
      <w:r>
        <w:rPr>
          <w:rFonts w:ascii="Times New Roman;sans-serif" w:hAnsi="Times New Roman;sans-serif"/>
          <w:b w:val="false"/>
          <w:color w:val="000000"/>
          <w:sz w:val="20"/>
        </w:rPr>
        <w:t>. If a U.S. shareholder is treated as disposing of shares in a CFC of which it is a U.S. 10% Shareholder, or of shares in a foreign insurance corporation that has related person insurance income and in which U.S. persons collectively own 25% or more of the voting power or value of the company’s shares, any gain from the disposition will generally be treated as a dividend to the extent of the U.S. shareholder’s portion of the corporation’s undistributed earnings and profits, as the case may be, that were accumulated during the period that the U.S. shareholder owned the shares. In addition, the shareholder will be required to comply with certain reporting requirements.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 Company, JRG Re and James River Group Holdings UK Limited may be subject to U.S. federal income taxation.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JRG Re are each incorporated under the laws of Bermuda and James River UK is incorporated under the laws of England and Wales. In general, a corporation organized under the laws of a foreign country or U.S. possession is subject to U.S. federal income tax on its net income only if it is considered as engaged in a U.S. trade or business. We believe that the activities of each of the Company’s non-U.S. holding companies and JRG Re, as contemplated, will not cause them to be treated as engaging in a U.S. trade or business and as such, will not be subject to current U.S. federal income taxation on their net income. However, there are no definitive standards provided by the Code, regulations or court decisions as to the specific activities that constitute being engaged in the conduct of a trade or business within the United States, and any such determination is essentially factual in nature and must be made annually. The IRS could assert that our non-U.S. holding companies or JRG Re (or both) are engaged in a trade or business in the United States or, under the applicable income tax treaty, are engaged in a trade or business in the United States through a permanent establishment, and thus are subject to current U.S. federal income taxation. If our non-U.S. holding companies or JRG Re were deemed to be engaged in a trade or business in the United States (or, under the applicable income tax treaty, were deemed to be so engaged through a permanent establishment), our non-U.S. holding companies or JRG Re, as applicable, would become subject to U.S. federal income tax on income “effectively connected” (or treated as effectively connected) with the U.S. trade or business and would become subject to the “branch profits” tax on earnings and profits that are both effectively connected with the U.S. trade or business and deemed repatriated out of the United States. Any such federal tax liability could materially adversely affect our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U.S. tax-exempt organizations who own our shares may recognize unrelated business taxable income.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U.S. tax-exempt organization may recognize unrelated business taxable income if a portion of any subpart F insurance income we may have is allocated to it. In general, subpart F insurance income will be allocated to a tax-exempt organization owning (or treated as owning) our shares if we are a CFC as discussed above and it is a U.S. 10% Shareholder or we earn related person insurance income and we satisfy the RPII Test. We cannot assure you that U.S. persons holding our shares (directly or indirectly) will not be allocated subpart F insurance income. U.S. tax-exempt organizations should consult their own tax advisors regarding the risk of recognizing unrelated business taxable income due to their ownership of our shares.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become subject to U.S. withholding and information reporting requirements under the Foreign Account Tax Compliance Act (“FATCA”) provisions.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FATCA provisions of the Code generally impose a 30% withholding tax regime with respect to (i) certain U.S. source income (including interest and dividends) (“withholdable payments”) and (ii) “passthru payments” (generally, withholdable payments and payments that are attributable to withholdable payments) made by foreign financial institutions (“FFIs”). Under proposed regulations promulgated by the U.S. Department of the Treasury, on which taxpayers may rely until final regulations are issued, withholdable payments do not include gross proceeds from the sale or other disposition of property that can produce U.S. source interest or dividends. As a general matter, FATCA was designed to require U.S. persons’ direct and indirect ownership of certain non-U.S. accounts and non-U.S. entities to be reported to the IRS. The application of the FATCA withholding rules were phased in beginning July 1, 2014, with withholding on foreign passthru payments made by FFIs taking effect after the date of publication of final regulations defining the term foreign passthru payment.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has entered into intergovernmental agreements between the United States and Bermuda and between the United States and the United Kingdom (the “IGAs”), which potentially modify the FATCA withholding regime described above with respect to us and our common shares. There can be no certainty as to whether the Company or JRG Re will be treated as a FFI under FATCA. We strongly urge you to consult your own tax advisor regarding the potential impact of FATCA, the IGAs and any non-U.S. legislation implementing FATCA.</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Changes in U.S. tax laws may be retroactive and could subject us and/or U.S. persons who own our shares to U.S. income taxation.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Legislative proposals or administrative or judicial developments could result in an increase in the amount of U.S. tax payable by us or by an owner of our shares or reduce the attractiveness of our products. Any such developments could materially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Tax laws and interpretations thereof, including with respect to whether a company is engaged in a U.S. trade or business, is a CFC, has related party insurance income, is a PFIC, or is subject to BEAT, are subject to change, possibly on a retroactive basis. There are currently only proposed regulations regarding the RPII Test. New regulations or pronouncements interpreting or clarifying such rules may be forthcoming from the IRS or the U.S. Department of the Treasury. We are not able to predict if, when or in what form such guidance will be provided and whether such guidance will have a retroactive effect.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If reinsurance premiums paid by our U.S. subsidiaries to our non-U.S. subsidiaries do not reflect arm’s-length terms, the IRS could seek to recharacterize the payments in a way that is unfavorable to us.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IRS is permitted to reallocate or recharacterize income, deductions or certain other items, and to make any other adjustment, to reflect the proper amount, source or character of the taxable income in respect of payments among related parties to reflect an arm’s-length transaction. In the past, we have had in place intercompany loans from our U.S. subsidiaries to our parent company and intercompany reinsurance agreements among consolidated entities. We believe the terms of these transactions were appropriate and reflected arm’s-length arrangements and are consistent with all applicable rules and regulations. However, if the U.S. Department of the Treasury or the IRS reviews our intercompany agreements and successfully asserts, under Section 482 or 845 of the Code, that the terms do not reflect arm’s-length transactions, we may owe additional tax.</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Reduced tax rates for qualified dividend income may not be available in the future.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dividends paid on our common shares should qualify as “qualified dividend income” as long as the common shares are listed on a national securities exchange and we are not a PFIC. Qualified dividend income received by non-corporate U.S. persons is generally eligible for long-term capital gain rates. While neither the Tax Act nor the IRA modified these rules,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non-U.K. companies may be subject to U.K. tax that may have a material adverse effect on our operating results.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operate in such a manner so that none of our companies other than our intermediate holding company incorporated in the United Kingdom, James River UK, should be resident in the U.K. for tax purposes or have a permanent establishment in the U.K. Accordingly, we expect that none of our companies other than James River UK should be subject to U.K. taxation. However, since applicable law and regulations do not conclusively define the activities that constitute conducting business in the U.K. through a permanent establishment, the U.K. HM Revenue &amp; Customs might contend successfully that one or more of our other companies is conducting business in the U.K. through a permanent establishment in the U.K., and therefore such entities could become subject to U.K. taxation.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become subject to taxes in Bermuda, which may have a material adverse effect on our results of operations and your investment.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is coordinating a global effort to reform certain aspects of the international tax system. This effort included the December 2021 release of model rules for a 15% global minimum tax regime. If these model rules are partially or fully implemented globally, we could be subject to additional taxes and costs for tax compliance.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response to this initiative, Bermuda has recently introduced the Corporate Income Tax Act 2023 ("CIT Act") which will be fully effective for tax years beginning on or after January 1, 2025. Entities subject to tax under the CIT Act are the Bermuda constituent entities of multi-national groups. A multi-national group is defined under the CIT Act as a group with entities in more than one jurisdiction with consolidated revenues of at least €750 million for two of the four previous fiscal years. If Bermuda constituent entities of a multi-national group are subject to tax under the CIT Act, such tax is charged at a rate of 15 per cent of the net income of such constituent entities (as determined in accordance with the CIT Act, including after adjusting for any relevant foreign tax credits applicable to the Bermuda constituent entities). No tax is chargeable under the CIT Act until tax years starting on or after January 1, 2025. Provided that the Company is not part of a multi-national group, it is not currently expected to be subject to tax under the CIT Act and, under current Bermuda law, there is no other income, corporate or profits tax or withholding tax, capital gains tax or capital transfer tax payable by the Company.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obtained from the Minister of Finance under The Exempted Undertaking Tax Protection Act of 1966, as amended, ("EUTP Act") as assurance that, in the event that Bermuda enacts legislation imposing tax computed on profits, income, any capital asset, gain or appreciation, or any tax in the nature of estate duty or inheritance, then the imposition of any such tax shall not be applicable to the Company or to any of its operations or its shares, debentures or other obligations, until March 31, 2035. The Company could be subject to taxes in Bermuda after that date. This assurance is subject to the proviso that it is not to be construed so as to prevent the application of any tax or duty to such persons as are ordinarily resident in Bermuda or to prevent the application of any tax payable in accordance with the provisions of the Land Tax Act 1967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otherwise payable in relation to any property leased to the Company. In the event the Company is subject to tax under the CIT Act, this would supersede the assurance received from the Minister of Finance under the EUTP Act.</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Shares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common shares has been, and may continue to be, volatile, and you could lose all or part of your investment.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Volatility in the market price of our common shares may prevent you from being able to sell your common shares at or above the price you paid. The market price for our common shares has, and may continue to, fluctuate significantly for various reasons, including, without limitation:</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our operating and financial performance and prospects;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our quarterly or annual earnings or earnings estimates, or those of other companies in our industry;</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failure to meet external expectations or management guidance;</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market reaction to adverse loss reserve development;</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market reaction to any strategic alternative transaction that we enter into, rumors regarding the same, or our determination to terminate the review of strategic alternatives without entering into a transaction;</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loss of one or more individually large clients, and its impact on our growth rate, profitability and financial condition;</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adverse regulatory or rating agency action;</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exposure to capital market risks related to changes in interest rates, realized investment losses, credit spreads, equity prices, foreign exchange rates and performance of insurance-linked investments;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our creditworthiness, financial condition, performance and prospects;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termination of payment of dividends on our common shares, or payment of a reduced amount of dividends;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actual or anticipated growth rates relative to our competitors;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perceptions of the investment opportunity associated with our common shares relative to other investment alternatives;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speculation by the investment community regarding our business;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future announcements concerning our business or our competitors’ businesses;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changes in accounting standards, policies, guidance, interpretations or principles;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market and industry perception of our success, or lack thereof, in pursuing our strategy;</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strategic actions by us or our competitors, such as acquisitions, dispositions, restructurings, significant contracts or joint ventures;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catastrophes that are perceived by investors as impacting the insurance and reinsurance market in general;</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changes in laws or government regulation, including tax or insurance laws and regulations;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potential characterization of us as a PFIC;</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general market, economic and political conditions;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changes in conditions or trends in our industry, geographies or customers;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arrival and departure of key personnel;</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number of common shares that are publicly traded;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 offering and issuance of common shares or other securities by us, sales of common shares by our directors or executive officers, or sales of a significant number of common shares issued upon conversion of the Series A Preferred Shares; and</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adverse resolution of litigation against us.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stock markets, including the NASDAQ Stock Market (the market on which our common shares are traded), have experienced price and volume fluctuations that have affected and continue to affect the market prices of equity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issued by many companies, including companies in our industry. In the past, some companies that have had volatile market prices for their securities have been subject to class action or derivative lawsuits. The filing of a lawsuit against us, regardless of the outcome, could have a negative effect on our business, as it could result in substantial legal costs and a diversion of management’s attention and resources. The Company had such a lawsuit filed against it following our May 2021 equity offering and another regarding the restatement of our financial statements in November 2023. The filing of these lawsuits against us, or any future filings of a lawsuit against us, regardless of the outcome, could have a negative effect on our business, as it could result in substantial legal costs and a diversion of management’s attention and resources. See “Item 3. Legal Proceedings” for more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factors described above, shareholders may not be able to resell their common shares at or above their purchase price or may not be able to resell them at all. These market and industry factors may materially reduce the market price of our common shares, regardless of our operating performance.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cannot assure you that our evaluation of strategic alternatives will result in any particular outcome, and the perceived uncertainties related to the Company could adversely affect our business and our shareholders.</w:t>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On November 10, 2023, we announced that our board of directors initiated an exploration of strategic alternatives for the Company, including consideration of a wide range of options including, among other things, a potential sale, merger, or other strategic transaction. We have not set a deadline or definitive timetable for the completion of the strategic review process, nor have we made any decisions relating to any strategic alternative at this time.</w:t>
      </w:r>
      <w:r>
        <w:rPr>
          <w:color w:val="000000"/>
        </w:rPr>
        <w:t xml:space="preserve"> </w:t>
      </w:r>
      <w:r>
        <w:rPr>
          <w:rFonts w:ascii="Times New Roman;sans-serif" w:hAnsi="Times New Roman;sans-serif"/>
          <w:b w:val="false"/>
          <w:color w:val="000000"/>
          <w:sz w:val="20"/>
        </w:rPr>
        <w:t>No assurance can be given as to the outcome of the process, including whether the process will result in any particular outcome. Any potential transaction may be dependent on a number of factors that may be beyond our control, for example, market conditions, industry trends or acceptable terms. The process of reviewing potential strategic alternatives may be time consuming, distracting and disruptive to our business operations. In addition, given that the exploration of strategic alternatives may eventually result in a potential sale, merger or other strategic transaction, any perceived uncertainty regarding our future operations or employment needs may limit our ability to retain or hire qualified personnel and may contribute to unplanned loss of highly skilled employees through attrition, and result in the loss of brokers, agents or customers with whom we do business.</w:t>
      </w:r>
      <w:r>
        <w:rPr>
          <w:color w:val="000000"/>
        </w:rPr>
        <w:t xml:space="preserve"> </w:t>
      </w:r>
      <w:r>
        <w:rPr>
          <w:rFonts w:ascii="Times New Roman;sans-serif" w:hAnsi="Times New Roman;sans-serif"/>
          <w:b w:val="false"/>
          <w:color w:val="000000"/>
          <w:sz w:val="20"/>
        </w:rPr>
        <w:t>We may ultimately determine that no transaction is in the best interest of our shareholders. We do not intend to comment further regarding the review of strategic alternatives until we determine disclosure is necessary or advisable. Accordingly, speculation regarding any developments associated with our review of strategic alternatives and any perceived uncertainties related to the Company or its business could cause the price of our shares to fluctuate significantly.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The sale of JRG Re is subject to conditions to closing over which we do not have control, and a</w:t>
      </w:r>
      <w:r>
        <w:rPr>
          <w:color w:val="000000"/>
        </w:rPr>
        <w:t xml:space="preserve"> </w:t>
      </w:r>
      <w:r>
        <w:rPr>
          <w:rFonts w:ascii="Times New Roman;sans-serif" w:hAnsi="Times New Roman;sans-serif"/>
          <w:b/>
          <w:i/>
          <w:color w:val="000000"/>
          <w:sz w:val="20"/>
        </w:rPr>
        <w:t>portion of the consideration is comprised of a pre-closing dividend that is subject to the availability of unencumbered assets at JRG 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The sale of JRG Re announced on November 8, 2023 (the “Transaction”) is subject to a number of closing conditions and there can be no assurance that these conditions will be satisfied on the timeline we expect or at all.</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Transaction may also be terminated in certain circumstances, including termination (A) by either the Company or the Buyer if the Transaction is not completed by June 3, 2024 (subject to one two-month extension in the event closing has not occurred solely because one or more required governmental approvals have not been obtained), or (B) by the Company if (i) all closing conditions have been met, (ii) the Company is ready, willing and able to consummate the closing, and (iii) the Buyer fails to complete the closing solely as a result of the failure to obtain debt financing or alternate financing that is sufficient to finance the consummation of the Transaction.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portion of the consideration pursuant to the Transaction is comprised of a $139 million dividend or return of capital or surplus by JRG Re to the Company prior to the closing date of the Transaction, which dividend or return of capital or surplus is subject to the availability of unencumbered assets at JRG Re on the closing date. A number of factors may impact the availability of unencumbered assets at JRG Re prior to the closing date, including collateral requirements of JRG Re’s cedents.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the Transaction is pending or if the Transaction is not completed, we may be subject to several risks including: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current trading price of our common stock may reflect a market assumption that the Transaction will be completed, and may decline if the Transaction is not completed;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incurred and expect to incur significant transaction costs in connection with the Transaction whether or not the Transaction is completed;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Under the definitive agreements for the Transaction, we are subject to certain restrictions on the conduct of JRG Re’s business prior to the closing date of the Transaction, which restrictions could adversely affect our ability to realize certain business strategies or take advantage of certain business opportunities;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negative perception of investors, vendors, trading partners, or employees if the Transaction is not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attention of our management may be directed toward the completion of the pending Transaction and related matters, and their focus may be diverted from our day-to-day business operations;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inability to cure the financial strength rating default under our credit agreements prior to the expiration of the waiver of such default provided by our lenders (see "</w:t>
      </w:r>
      <w:r>
        <w:rPr>
          <w:rFonts w:ascii="Times New Roman;sans-serif" w:hAnsi="Times New Roman;sans-serif"/>
          <w:b w:val="false"/>
          <w:i/>
          <w:color w:val="000000"/>
          <w:sz w:val="20"/>
        </w:rPr>
        <w:t>Our credit agreements contain financial and other covenants, the breach of any of which could result in accelerations of payment of amounts due under our credit facilities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risks could have a material adverse effect on our business, financial condition, results of operations and prospects.</w:t>
      </w:r>
    </w:p>
    <w:p>
      <w:pPr>
        <w:pStyle w:val="TextBody"/>
        <w:bidi w:val="0"/>
        <w:spacing w:before="0" w:after="0"/>
        <w:ind w:left="0" w:right="0" w:firstLine="36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Litigation and legal proceedings against us or our subsidiaries could have a material adverse effect on our business, financial condition and/or results of operations.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subsidiaries are or may be named as defendants in various legal actions,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handling of insurance claims. </w:t>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On July 9, 2021, a purported class action lawsuit was filed in the US District Court, Eastern District of Virginia on behalf of Employees’ Retirement Fund of the City of Fort Worth against the Company and certain of its present and former officers, alleging claims under Section 10(b) of the Securities Exchange Act of 1934. On December 7, 2023 we reached an agreement in principle to settle this purported securities class action lawsuit and on December 22, 2023 the parties submitted the stipulation of settlement to the Court for approval.</w:t>
      </w:r>
      <w:r>
        <w:rPr>
          <w:color w:val="000000"/>
        </w:rPr>
        <w:t xml:space="preserve"> </w:t>
      </w:r>
      <w:r>
        <w:rPr>
          <w:rFonts w:ascii="Times New Roman;sans-serif" w:hAnsi="Times New Roman;sans-serif"/>
          <w:b w:val="false"/>
          <w:color w:val="000000"/>
          <w:sz w:val="20"/>
        </w:rPr>
        <w:t>On January 26, 2024</w:t>
      </w:r>
      <w:r>
        <w:rPr>
          <w:color w:val="000000"/>
        </w:rPr>
        <w:t xml:space="preserve"> </w:t>
      </w:r>
      <w:r>
        <w:rPr>
          <w:rFonts w:ascii="Times New Roman;sans-serif" w:hAnsi="Times New Roman;sans-serif"/>
          <w:b w:val="false"/>
          <w:color w:val="000000"/>
          <w:sz w:val="20"/>
        </w:rPr>
        <w:t xml:space="preserve">the Court issued its preliminary approval order of the settlement and scheduled a final settlement hearing for May 24, 2024. A final, non-appealable closure of the litigation could take several months. See “Item 3. Legal Proceedings” for more information.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2023, a purported class action lawsuit was filed in the US District Court, Southern District of New York, on behalf of Paul Glantz against the Company and certain of its officers, asserting claims under Sections 10(b) and 20(a) of the Securities Exchange Act of 1934. Mr. Glantz alleges that he purchased James River common stock between August 7, 2023 and November 7, 2023, inclusive, that the Company failed to disclose that it lacked effective internal controls regarding the recognition of reinstatement premiums for reinsurance causing the Company to overstate its net income, and that, as a result, Plaintiff suffered unspecified damages. See “Item 3. Legal Proceedings” for more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outcomes of these matters and other presently pending matters, individually and in the aggregate, will not have a material adverse effect on our consolidated financial position. However, the outcomes of lawsuits cannot be predicted and, if determined adversely, could require us to pay significant damage amounts or to change aspects of our operations, which could have a material adverse effect on our financial results.</w:t>
      </w:r>
    </w:p>
    <w:p>
      <w:pPr>
        <w:pStyle w:val="TextBody"/>
        <w:bidi w:val="0"/>
        <w:spacing w:lineRule="auto" w:line="288" w:before="0" w:after="120"/>
        <w:jc w:val="left"/>
        <w:rPr/>
      </w:pPr>
      <w:r>
        <w:rPr>
          <w:rFonts w:ascii="Times New Roman;sans-serif" w:hAnsi="Times New Roman;sans-serif"/>
          <w:b/>
          <w:i/>
          <w:color w:val="000000"/>
          <w:sz w:val="20"/>
        </w:rPr>
        <w:t>In the future we may identify additional material weaknesses or otherwise fail to maintain an effective system of internal controls, which may result in material misstatements of our consolidated financial statements or cause us to fail to meet our periodic reporting obligations.</w:t>
      </w:r>
      <w:r>
        <w:rPr>
          <w:color w:val="000000"/>
        </w:rPr>
        <w:t xml:space="preserve"> </w:t>
      </w:r>
      <w:r>
        <w:rPr>
          <w:rFonts w:ascii="Times New Roman;sans-serif" w:hAnsi="Times New Roman;sans-serif"/>
          <w:b/>
          <w:i/>
          <w:color w:val="000000"/>
          <w:sz w:val="20"/>
        </w:rPr>
        <w:t xml:space="preserve">The occurrence of any such event may have a material adverse effect on our business and common share price.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previously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preparing our unaudited consolidated financial statements for the three and nine months ended September 30, 2023, the Company became aware that the unaudited consolidated financial statements for the six months ended June 30, 2023 contained material misstatements related to unrecorded reinstatement premium as more fully described in Note 1 to the condensed consolidated financial statements of the 10-Q/A filed with the SEC on November 14, 2023. Management of the Company concluded that because the controls to evaluate the accounting and disclosure of the reinstatement premium did not operate effectively, and resulted in the failure to detect the misstatement, the deficiencies were a material weakness in the Company's internal control over financial reporting.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internal controls did not detect the error related to the unrecorded reinstatement premium during the period ending June 30, 2023. This control deficiency resulted in the restatement of the Company's unaudited consolidated financial statements contained in its Quarterly Report on Form 10-Q for the quarter ended June 30, 2023 and if it was not remediated, could have resulted in a material misstatement to future annual or interim consolidated financial statements that would not be prevented or detected. Accordingly, management determined that this control deficiency constituted a material weakness.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this material weakness, we took actions designed to improve our internal control over financial reporting and remediate the control deficiencies that led to the material weakness, including (i) implementing additional review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val="false"/>
          <w:color w:val="000000"/>
          <w:sz w:val="20"/>
        </w:rPr>
        <w:t>within our accounting department, (ii) implementing additional training of accounting personnel, and (iii) enhancing our existing process and internal control documentation and financial statement preparation process, specifically including updates to accounting policies for reinstatement premium, to ensure completion of financial reporting and proper accounting in accordance with U.S. GAAP. As of the year ended December 31, 2023, we concluded that our remediation efforts have been successful and that the previously identified material weakness in internal control over financial reporting has been remediated. However, while the material weakness has been remediated, we continue to seek improvements to enhance our control environment and to strengthen our internal controls to provide reasonable assurance that our financial statements continue to be fairly stated in all material respects</w:t>
      </w:r>
      <w:r>
        <w:rPr>
          <w:rFonts w:ascii="Times New Roman;sans-serif" w:hAnsi="Times New Roman;sans-serif"/>
          <w:b/>
          <w:color w:val="000000"/>
          <w:sz w:val="20"/>
        </w:rPr>
        <w: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discover additional weaknesses in our system of internal financial and accounting controls and procedures, our consolidated financial statements may contain material misstatements, and we could be required to restate our financial results.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additional lawsuits that could be costly to resolve and distract management’s attention, limit our ability to access the capital markets or cause our stock to be delisted from The Nasdaq Global Select Market.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 holders of the Series A Convertible Preferred Shares are entitled to vote up to 9.9% of the aggregate voting power of our then-outstanding common shares on an as converted basis or of the outstanding voting securities of the Company, and have rights to approve certain actions, which may allow such holders to exercise significant influence over matters requiring shareholder approval. Additionally, GPC Partners may exercise influence over us through their ability to designate a nominee for election to our board of directors.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the Series A Preferred Shares are entitled to vote up to 9.9% of the aggregate voting power of the then-outstanding common shares on an as converted basis or of the outstanding voting securities of the Company with the holders of our common shares on all matters submitted for a vote of holders of common shares (voting together as one class). As a result, such holders may be able to exercise significant influence over all matters requiring shareholder approval.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Investment Agreement dated February 24, 2022 (the “Investment Agreement”) by and between the Company and GPC Partners Investments (Thames) LP (“GPC Partners”), an affiliate of Gallatin Point Capital LLC, GPC Partners has the right to designate one candidate for nomination for election to our board of directors for so long as GPC Partners and its Permitted Transferees (as defined in the Investment Agreement) continue to beneficially own Series A Preferred Shares and/or common shares issued or issuable upon conversion of such Series A Preferred Shares that represent in the aggregate at least 50% of the number of common shares beneficially owned by the Investors, on an as-converted basis, as of the issuance date of the Series A Preferred Shares. Notwithstanding the fact that all directors will be subject to fiduciary duties to us and to applicable law, the interests of the director designated by GPC Partners for nomination may differ from the interests of our security holders as a whole or of our other directors.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holders of the Series A Preferred Shares are entitled to a separate class vote with respect to amendments to the Company’s organizational documents that have an adverse effect on the Series A Preferred Shares, including authorizations or issuances by the Company of securities that are senior to or pari passu with the Series A Preferred Shares, increases or decreases in the number of authorized Series A Preferred Shares, or the issuance of any additional Series A Preferred Shares other than in payment of dividends on the outstanding Series A Preferred Shares.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the holders of the Series A Preferred Shares may have the ability to influence the outcome of certain matters affecting our governance and capitalization.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 conversion of the Series A Preferred Shares into common shares would dilute the ownership of common shareholders and could adversely affect the market price of our common shares.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of our Series A Preferred Shares into common shares or payment of dividends on the Series A Preferred Shares in common shares would dilute the ownership interest of existing holders of our common shares. Further, common shares issuable upon conversion of the Series A Preferred Shares, or as payment of dividends on the Series A Preferred Shares, may be sold by GPC Partners or its Permitted Transferees after the second anniversary of the Series A Preferred Shares issuance date. Any sale of common shares following conversion of the Series A Preferred Shares or payment of dividends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in common shares, would increase the number of common shares available for public trading, and may adversely affect prevailing market prices of our common shares.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 Series A Preferred Shares have rights, preferences and privileges that are not held by, and are preferential to the rights of, our common shareholders, which could adversely affect our liquidity and financial condition.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our Series A Preferred Shares have the right to receive a payment on account of the distribution of assets on any voluntary or involuntary liquidation, dissolution or winding up of the affairs of the Company before any payment may be made to holders of any other class or series of capital shares. In addition, dividends on the Series A Preferred Shares accrue and are cumulative at the initial rate of 7.0% of the $1,000 per share liquidation preference per annum, paid in cash, in-kind in common shares or in Series A Preferred Shares, at our election. On March 1, 2027 (the five-year anniversary of the issuance date of the Series A Preferred Shares), and each five-year anniversary thereafter, the dividend rate on the liquidation preference will reset to a rate equal to the five-year U.S. treasury rate (calculated as set forth in the Certificate of Designations designating the Series A Preferred Shares (the “Certificate of Designations”)) plus 5.2%.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the Series A Preferred Shares also have certain repurchase rights. Upon prior written notice of certain change of control events (a “Fundamental Change”), each holder of outstanding Series A Preferred Shares may, at its election, (i) effective as of immediately prior to the Fundamental Change, convert all or a portion of its Series A Preferred Shares into common shares, or (ii) require the Company to repurchase any or all of such holder’s Series A Preferred Shares in cash at a purchase price per Series A Preferred Share equal to the liquidation preference of such Series A Preferred Share plus accrued and unpaid dividends.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dividend and share repurchase obligations could impact our liquidity and reduce the amount of cash flows available for working capital, capital expenditures, growth opportunities, acquisitions and other general corporate purposes, as well as for the payment of dividends to our common shareholders. Our obligations to the holders of the Series A Preferred Shares could also limit our ability to obtain additional financing, which could have an adverse effect on our financial condition. The preferential rights could also result in divergent interests between the holders of the Series A Preferred Shares and common shareholders.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bye-laws permit non-employee members of our board of directors and their affiliates to compete with us, which may result in conflicts of interest.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bye-laws provide that members of our board of directors (other than those who are our officers, managers or employees) and their affiliates do not have any duty to (i) communicate or present to the Company any investment or business opportunity or prospective transaction or arrangement in which the Company may have any interest or expectancy or (ii) refrain from engaging, directly or indirectly, in the same business activities or similar business activities or lines of business in which we operate. Our bye-laws will not restrict our non-employee directors, or their affiliates from acquiring and holding interests in businesses that compete directly or indirectly with us. Our non-employee directors and their affiliates may also pursue acquisition opportunities that may be complementary to our business and, as a result, those acquisition opportunities may not be available to us. These potential conflicts of interest could have a material adverse effect on our business, financial condition, results of operations or prospects if we are unable to pursue attractive corporate opportunities because they are allocated by our non-employee directors to themselves or their affiliates instead of being presented to us.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 amount of dividends that we may pay to our common shareholders is subject to restrictions pursuant to the terms of the Series A Preferred Shares, and we cannot assure you that we will declare or pay dividends on our common shares in the future.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limits our ability to pay dividends to our shareholders. If we pay cash dividends of more than $0.05 per common share per quarter, without the consent of at least the majority of the Series A Preferred Shares then outstanding, we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also trigger a reduction of the conversion price applicable to the Series A Preferred Shares.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Additionally, the declaration, payment and amount of dividends is further subject to the discretion of our board of directors. Our board of directors may take into account a variety of factors when determining whether to declare any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in addition to those related to our Series A Preferred Shares, (5) the effect of a dividend or dividends upon our financial strength ratings and (6) any other factors that our board of directors deems relevant. </w:t>
      </w:r>
      <w:r>
        <w:rPr>
          <w:rFonts w:ascii="Times New Roman;sans-serif" w:hAnsi="Times New Roman;sans-serif"/>
          <w:b w:val="false"/>
          <w:color w:val="000000"/>
          <w:sz w:val="20"/>
          <w:shd w:fill="FFFFFF" w:val="clear"/>
        </w:rPr>
        <w:t xml:space="preserve">See also “Item 5. Market For Registrant’s Common Equity, Related Stockholder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val="false"/>
          <w:color w:val="000000"/>
          <w:sz w:val="20"/>
          <w:shd w:fill="FFFFFF" w:val="clear"/>
        </w:rPr>
        <w:t xml:space="preserve">Matters and Issuer Purchases Of Equity Securities - Dividends.” </w:t>
      </w:r>
      <w:r>
        <w:rPr>
          <w:rFonts w:ascii="Times New Roman;sans-serif" w:hAnsi="Times New Roman;sans-serif"/>
          <w:b w:val="false"/>
          <w:color w:val="000000"/>
          <w:sz w:val="20"/>
        </w:rPr>
        <w:t>We cannot assure you that we will continue to pay dividends in the future, or that the amount of any such dividend will not decline from prior dividends we have paid.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depend upon dividends and distributions from our subsidiaries, and we may be unable to distribute dividends to our shareholders to the extent we do not receive dividends from our subsidiaries.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that has no substantial operations of our own. Accordingly, we rely primarily on cash dividends or distributions from our operating subsidiaries to pay our operating expenses and any dividends that we may pay to shareholders. The payment of dividends by our insurance and reinsurance subsidiaries is limited under the laws and regulations of the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James River Insurance and James River Casualty,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North Carolina, the domiciliary state of Stonewood Insurance, respectively,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California, the domiciliary state of</w:t>
      </w:r>
      <w:r>
        <w:rPr>
          <w:color w:val="000000"/>
          <w:shd w:fill="FFFFFF" w:val="clear"/>
        </w:rPr>
        <w:t xml:space="preserve"> </w:t>
      </w:r>
      <w:r>
        <w:rPr>
          <w:rFonts w:ascii="Times New Roman;sans-serif" w:hAnsi="Times New Roman;sans-serif"/>
          <w:b w:val="false"/>
          <w:color w:val="000000"/>
          <w:sz w:val="20"/>
          <w:shd w:fill="FFFFFF" w:val="clear"/>
        </w:rPr>
        <w:t>Falls Lake Fire and Casualty Compan</w:t>
      </w:r>
      <w:r>
        <w:rPr>
          <w:rFonts w:ascii="Times New Roman;sans-serif" w:hAnsi="Times New Roman;sans-serif"/>
          <w:b w:val="false"/>
          <w:color w:val="000000"/>
          <w:sz w:val="20"/>
        </w:rPr>
        <w:t xml:space="preserve">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 </w:t>
      </w:r>
      <w:r>
        <w:rPr>
          <w:rFonts w:ascii="Times New Roman;sans-serif" w:hAnsi="Times New Roman;sans-serif"/>
          <w:b w:val="false"/>
          <w:color w:val="000000"/>
          <w:sz w:val="20"/>
          <w:shd w:fill="FFFFFF" w:val="clear"/>
        </w:rPr>
        <w:t>See “Item 1. Business — Regulation — U.S. Insurance Regulation — State Regulation”</w:t>
      </w:r>
      <w:r>
        <w:rPr>
          <w:color w:val="000000"/>
        </w:rPr>
        <w:t xml:space="preserve"> </w:t>
      </w:r>
      <w:r>
        <w:rPr>
          <w:rFonts w:ascii="Times New Roman;sans-serif" w:hAnsi="Times New Roman;sans-serif"/>
          <w:b w:val="false"/>
          <w:color w:val="000000"/>
          <w:sz w:val="20"/>
        </w:rPr>
        <w:t>for more information. In addition, dividends paid by our U.S. subsidiaries to our U.K. holding company are subject to a 5% withholding tax by the IRS. Under U.K. domestic law, no withholding tax is applied to dividends paid by U.K. tax resident companies.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JRG Re, which is domiciled in Bermuda, is registered as a Class 3B insurer under the Insurance Act. The Insurance Act, the conditions listed in the insurance license and the applicable approvals issued by the BMA provide that JRG Re is required to maintain a minimum statutory solvency margin of approximately $31.1 million as of December 31, 2023. See “Item 1. </w:t>
      </w:r>
      <w:r>
        <w:rPr>
          <w:rFonts w:ascii="Times New Roman;sans-serif" w:hAnsi="Times New Roman;sans-serif"/>
          <w:b w:val="false"/>
          <w:color w:val="000000"/>
          <w:sz w:val="20"/>
          <w:shd w:fill="FFFFFF" w:val="clear"/>
        </w:rPr>
        <w:t>Business — Regulation — Bermuda Insurance Regulation — Minimum Solvency Margin and Enhanced Capital Requirements”</w:t>
      </w:r>
      <w:r>
        <w:rPr>
          <w:color w:val="000000"/>
        </w:rPr>
        <w:t xml:space="preserve"> </w:t>
      </w:r>
      <w:r>
        <w:rPr>
          <w:rFonts w:ascii="Times New Roman;sans-serif" w:hAnsi="Times New Roman;sans-serif"/>
          <w:b w:val="false"/>
          <w:color w:val="000000"/>
          <w:sz w:val="20"/>
        </w:rPr>
        <w:t>for more information. A Class 3B insurer is prohibited from declaring or paying a dividend if it fails to meet, before or after declaration or payment of such dividend, its: (i) requirements under the Companies Act, (ii) minimum solvency margin, (iii) enhanced capital requirement or (iv) minimum liquidity ratio. If a Class 3B insurer fails to meet its minimum solvency margin or minimum liquidity ratio on the last day of any financial year, it is prohibited from declaring or paying any dividends during the next financial year without the approval of the BMA. In addition, JRG Re, as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 S</w:t>
      </w:r>
      <w:r>
        <w:rPr>
          <w:rFonts w:ascii="Times New Roman;sans-serif" w:hAnsi="Times New Roman;sans-serif"/>
          <w:b w:val="false"/>
          <w:color w:val="000000"/>
          <w:sz w:val="20"/>
          <w:shd w:fill="FFFFFF" w:val="clear"/>
        </w:rPr>
        <w:t>ee “Item 1. Business — Regulation — Bermuda Insurance Regulation — Restrictions on Dividends and Distributions” for more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inability of our subsidiaries to pay dividends or make distributions to us, including as a result of regulatory or other restrictions or capital needs, may prevent us from paying our expenses or paying dividends to our shareholders.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Dividends paid by our U.S. subsidiaries to James River UK may not be eligible for benefits under the U.S.-U.K. income tax treaty.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U.S. federal income tax law, dividends paid by a U.S. corporation to a non-U.S. shareholder are generally subject to a 30% withholding tax, unless reduced by treaty. The income tax treaty between the United Kingdom and the United States (the “U.K. Treaty”) reduces the rate of withholding tax on certain dividends to 5%. Were the IRS to contend successfully that James River UK is not eligible for benefits under the U.K. Treaty, any dividends paid by James River Group, Inc., our U.S. holding company, to James River UK would be subject to the 30% withholding tax. Such a result would substantially reduce the amount of dividends that our shareholder may receive.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continue to publish research or publish misleading or unfavorable research about our business, our common share price and trading volume could decline.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shares depends in part on the research and reports that securities or industry analysts publish about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Future sales of our common shares, or the possibility of such sales, may cause the trading price of our common shares to decline and could impair our ability to raise capital through subsequent equity offerings.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Future sales of substantial amounts of our common shares in the public market, or the perception that these sales could occur, could cause the market price of our common shares to decline and impair our ability to raise capital through the sale of additional shares.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we may issue additional common shares or other equity or debt securities convertible into common shares in connection with a financing, acquisition or employee arrangement or otherwise. Any of these issuances could result in substantial dilution to our existing shareholders and could cause the trading price of our common shares to decline.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bye-laws and provisions of Bermuda law may impede or discourage a change of control transaction, which could deprive our investors of the opportunity to receive a premium for their shares.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Our bye-laws</w:t>
      </w:r>
      <w:r>
        <w:rPr>
          <w:color w:val="000000"/>
        </w:rPr>
        <w:t xml:space="preserve"> </w:t>
      </w:r>
      <w:r>
        <w:rPr>
          <w:rFonts w:ascii="Times New Roman;sans-serif" w:hAnsi="Times New Roman;sans-serif"/>
          <w:b w:val="false"/>
          <w:color w:val="000000"/>
          <w:sz w:val="20"/>
        </w:rPr>
        <w:t>and provisions of Bermuda law to which we are subject contain provisions that could discourage, delay or prevent “change of control” transactions or changes in our board of directors and management that certain shareholders may view as beneficial or advantageous. These provisions include, among others: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our board of directors has the authority to issue preferred shares without shareholder approval, which could be used to dilute the ownership of a potential hostile acquirer;</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our shareholders may only remove directors for cause;</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there are advance notice requirements for shareholders with respect to director nominations and actions to be taken at annual meetings; and</w:t>
      </w:r>
    </w:p>
    <w:p>
      <w:pPr>
        <w:pStyle w:val="TextBody"/>
        <w:bidi w:val="0"/>
        <w:spacing w:lineRule="auto" w:line="288" w:before="0" w:after="120"/>
        <w:ind w:left="0" w:right="0" w:hanging="360"/>
        <w:jc w:val="left"/>
        <w:rPr/>
      </w:pPr>
      <w:r>
        <w:rPr>
          <w:color w:val="000000"/>
        </w:rPr>
        <w:t>•    </w:t>
      </w:r>
      <w:r>
        <w:rPr>
          <w:rFonts w:ascii="Times New Roman;sans-serif" w:hAnsi="Times New Roman;sans-serif"/>
          <w:b w:val="false"/>
          <w:color w:val="000000"/>
          <w:sz w:val="20"/>
        </w:rPr>
        <w:t xml:space="preserve">under Bermuda law, for so long as JRG Re is registered under the Insurance Act, the BMA may object to a person holding more than 10%, 20%, 33% or 50% of our common shares if it appears to the BMA that the person is not or is no longer fit and proper to be such a holder </w:t>
      </w:r>
      <w:r>
        <w:rPr>
          <w:rFonts w:ascii="Times New Roman;sans-serif" w:hAnsi="Times New Roman;sans-serif"/>
          <w:b w:val="false"/>
          <w:color w:val="000000"/>
          <w:sz w:val="20"/>
          <w:shd w:fill="FFFFFF" w:val="clear"/>
        </w:rPr>
        <w:t>(See “</w:t>
      </w:r>
      <w:r>
        <w:rPr>
          <w:rFonts w:ascii="Times New Roman;sans-serif" w:hAnsi="Times New Roman;sans-serif"/>
          <w:b w:val="false"/>
          <w:i/>
          <w:color w:val="000000"/>
          <w:sz w:val="20"/>
          <w:shd w:fill="FFFFFF" w:val="clear"/>
        </w:rPr>
        <w:t>There are regulatory limitations on the ownership and transfer of our common shares</w:t>
      </w:r>
      <w:r>
        <w:rPr>
          <w:rFonts w:ascii="Times New Roman;sans-serif" w:hAnsi="Times New Roman;sans-serif"/>
          <w:b w:val="false"/>
          <w:color w:val="000000"/>
          <w:sz w:val="20"/>
          <w:shd w:fill="FFFFFF" w:val="clear"/>
        </w:rPr>
        <w:t>.” risk factor herein)</w:t>
      </w:r>
      <w:r>
        <w:rPr>
          <w:rFonts w:ascii="Times New Roman;sans-serif" w:hAnsi="Times New Roman;sans-serif"/>
          <w:b w:val="false"/>
          <w:color w:val="000000"/>
          <w:sz w:val="20"/>
        </w:rPr>
        <w: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factors could impede a merger, takeover or other business combination, which could reduce the market value of our shares.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repurchase your common shares without your consent.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this option would result in such adverse consequences or treatment.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Bermuda law differs from the laws in effect in the United States and may afford less protection to holders of our shares.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organized under the laws of Bermuda. As a result, our corporate affairs are governed by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Class actions are not available under Bermuda law. The circumstances in which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minority shareholders or, for instance, where an act requires the approval of a greater percentage of the company’s shareholders than that which actually approved 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willful misconduct. In addition, the rights of holders of our common shares and the fiduciary responsibilities of our directors under Bermuda law are not as clearly established as under statutes or judicial precedent in existence in jurisdictions in the United States, particularly the State of Delaware. Therefore, holders of our common shares may have more difficulty protecting their interests than would shareholders of a corporation incorporated in a jurisdiction within the United States.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There are regulatory limitations on the ownership and transfer of our common shares.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such company are listed on an appointed stock exchange, which includes the NASDAQ Stock Market. This general permission will apply to our common shares, but would cease to apply if we were to cease to be listed on the NASDAQ Stock Market.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we received consent from the BMA to issue and transfer freely any of our shares, options, warrants, depository receipts, rights loan notes, debt instruments or other securities to and among persons who are either residents or non-residents of Bermuda for exchange control purposes.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requires that where the shares of the registered insurer, or the shares of its parent company, are traded on a recognized stock exchange, and a person becomes a 10%, 20%, 33% or 50% shareholder controller of the insurer, that person shall, within 45 days, notify the BMA in writing that he has become such a controller. In addition, a person who is a shareholder controller of a Class 3B insurer whose shares or the shares of its parent company (if any) are traded on a recognized stock exchange must serve on the BMA a notice in writing that he has reduced or disposed of his holding in the insurer where the proportion of voting rights in the insurer held by him will have reached or has fallen below 10%, 20%, 33% or 50% as the case may be, not later than 45 days after such disposal. This requirement will apply to us as long as our shares are listed on the NASDAQ Stock Market or another stock exchange recognized by the BMA. The BMA may, by written notice, object to a person holding 10%, 20%, 33% or 50% of our common shares if it appears to the BMA that the person is not fit and proper to be such a holder. The BMA may require the holder to reduce its shareholding in us and may direct, among other things, that the voting rights attaching to its shares shall not be exercisable. A person that does not comply with such a notice or direction from the BMA will be guilty of an offense.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JRG Re is also required to notify the BMA in writing in the event any person has become or has ceased to be a controller or an officer of it (an officer includes a director, chief executive or senior executive performing duties of underwriting, actuarial, risk management, compliance, internal audit, finance or investment matters).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Except in connection with the settlement of trades or transactions entered into through the facilities of the NASDAQ Stock Market, our board of directors may generally require any shareholder or any person proposing to acquire our common shares to provide the information required under our bye-laws. If any such shareholder or proposed acquiror does not provide such information, or if our board of directors has reason to believe that any certification or other information provided pursuant to any such request is inaccurate or incomplete, our board of directors may decline to register any transfer or to effect any issuance or purchase of our common shares to which such request is related.</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In addition, the insurance holding company laws and regulations of the states in which our insurance companies are domiciled generally require that, before a person can acquire direct or indirect control of an insurer domiciled in the state, and in some cases prior to divesting its control, prior written approval must be obtained from the insurer’s domiciliary state insurance regulator. </w:t>
      </w:r>
      <w:r>
        <w:rPr>
          <w:rFonts w:ascii="Times New Roman;sans-serif" w:hAnsi="Times New Roman;sans-serif"/>
          <w:b w:val="false"/>
          <w:color w:val="000000"/>
          <w:sz w:val="20"/>
          <w:shd w:fill="FFFFFF" w:val="clear"/>
        </w:rPr>
        <w:t>These laws</w:t>
      </w:r>
      <w:r>
        <w:rPr>
          <w:color w:val="000000"/>
        </w:rPr>
        <w:t xml:space="preserve"> </w:t>
      </w:r>
      <w:r>
        <w:rPr>
          <w:rFonts w:ascii="Times New Roman;sans-serif" w:hAnsi="Times New Roman;sans-serif"/>
          <w:b w:val="false"/>
          <w:color w:val="000000"/>
          <w:sz w:val="20"/>
        </w:rPr>
        <w:t>may discourage potential acquisition proposals and may delay, deter or prevent an investment in or a change of control involving us, or one or more of our regulated subsidiaries, including transactions that our management and some or all of shareholders might consider desirable.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the Company’s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and could be materially adversely affected if one or more of our employees causes a significant operational breakdown or failure, either as a result of human error, intentional sabotage or fraudulent manipulation of our operations or systems.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Any of these occurrences could diminish our ability to operate our business, or cause financial loss, potential liability to insureds, inability to secure insurance, reputational damage or regulatory intervention, which could materially adversely affect us.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contractual rights and copyright, trademark, patent and trade secret laws to establish and protect our intellectual property. Although we seek to protect our intellectual property rights, third parties may infringe or misappropriate intellectual property. We may have to litigate to enforce and protect intellectual property and to determine its scope, validity or enforceability, which could divert significant resources and prove unsuccessful.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by third parties for patent, trademark or copyright infringement or breach of usage rights. Any such claims and any resulting litigation could result in significant expense and liability. If third party providers or we are found to have infringed a third party intellectual property rights, either of us could be enjoined from providing certain products or services or from utilizing and benefiting from certain methods, processes, copyrights, trademarks, trade secrets or licenses. Alternatively, we could be required to enter into costly licensing arrangements with third parties or implement a costly work-around. Any of these scenarios could have a material effect on our business or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multiple proprietary operating systems as well as operating systems of third-party providers to issue policies, pay claims, run modeling functions and complete various internal processes. We may be subject to disruptions of such operating systems arising from events that are wholly or partially beyond our control, which may include, for example, electrical or telecommunications outages, natural or man-made disasters, such as earthquakes, hurricanes, floods or tornados, or events arising from criminal or terrorist acts. Such disruptions may give rise to losses in service to insureds and loss or liability to us. In addition, there is the risk that our controls and procedures as well as our business continuity, disaster recovery and data security systems prove to be inadequate. The computer systems and network systems we and others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data breaches, or ransomware attacks. Any such failure or security incident could affect our operations and could materially adversely affect our results of operations by requiring us to expend significant resources to correct the defect or incident, as well as by exposing us to litigation or losses not covered by insurance. Although we have disaster recovery plans and other safeguards in place, our business operations may be materially adversely affected by significant and widespread disruption to our physical infrastructure or operating systems and those of third-party service providers that support our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reinsureds’ or claimants’ confidential, proprietary and other information, or otherwise disrupt our or our insureds’, reinsureds’, claimants’ or other third parties’ business operations, which in turn may result in legal claims, regulatory scrutiny and liability, reputational damage, the incurrence of costs to eliminate or mitigate further exposure and the loss of customers. This risk may be heightened as a result of the current remote and hybrid work environment. Although to date we have not experienced any material losses relating to cyber-attacks or other information security breaches, there can be no assurance that we will not suffer such losses in the future. While we make efforts to maintain the security and integrity of our information technology networks and related systems, and we have implemented various measures and an incident response protocol to manage the risk of, or respond to, a security breach or disruption, there can be no assurance that our security efforts and measures will be effective or that attempted security breaches or disruptions would not be successful or damaging. In addition, our results of operations could be materially adversely affected if one of our business partners, such as brokers, general agents, third party claims administrators or vendors, experiences disruptions to their operating systems and/or a cybersecurity breach, as such disruption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or breach could reduce submission flow, policy issuance, claims settlement, and/or make us more vulnerable to a cybersecurity breach ourselves. Our risk and exposure to these matters remains heightened because of, among other things, the evolving nature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 significant additional resources to continue to modify or enhance our protective measures or to investigate and remediate any information security vulnerabilities.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regulatory fines, penalties or intervention, reputational damage, reimbursement or other compensation costs, and/or additional compliance costs, any of which could materially adversely affect our financial condition or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operating results have in the past varied from quarter to quarter and may not be indicative of our long-term prospects.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or severity of catastrophic or other insured events, fluctuating interest rates, claims exceeding our loss reserves, competition in our industry, deviations from expected renewal rates of our existing policies and contracts, adverse investment performance and the cost of reinsurance and retrocessional coverage.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we seek to underwrite products and make investments to achieve favorable returns on tangible equity over the long term. In addition, our opportunistic nature and focus on long-term growth in tangible equity may result in fluctuations in total premiums written from period to period as we concentrate on underwriting contracts that we believe will generate better long-term, rather than short-term, results. Accordingly, our short-term results of operations may not be indicative of our long-term prospects.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not be able to manage our growth or other changes effectively.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grow our excess and surplus and specialty admitted businesses, may attempt to enter new business lines, and may also face changes from market, legal or regulatory developments. Such growth, new business lines, and changes could require additional capital, systems development and skilled personnel. We cannot assure you that we will be able to meet our capital needs, expand and maintain our systems and our internal controls effectively, allocate our human resources optimally, identify and hire qualified employees or incorporate effectively the components of any businesses we may acquire in our effort to achieve growth. The failure to manage our growth and other changes effectively could have a material adverse effect on our business, financial condition and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Changes in accounting practices and future pronouncements may materially affect our reported financial results.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U.S. insurance subsidiaries are required to comply with statutory accounting principles (“SAP”). SAP and various components of SAP (such as actuarial reserving methodology) are subject to constant review by the NAIC and its task forces and committees, as well as state insurance departments, in an effort to address emerging issues and otherwise improve financial reporting. At any given point in time, various proposals are pending before committees and task forces of the NAIC, some of which, if enacted, could have negative effects on insurance industry participants. The NAIC continuously examines existing laws and regulations in the United States. We cannot predict whether or in what form such reforms will be enacted and, if so, whether the enacted reforms will positively or negatively affect us.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NAIC Accounting Practices and Procedures manual provides that state insurance departments may permit insurance companies domiciled in their jurisdiction to depart from SAP by granting them permitted accounting practices. We cannot predict whether or when the insurance departments of the states of domicile of our competitors may permit them to utilize advantageous accounting practices that depart from SAP, the use of which may not be permitted by the insurance departments of the states of domicile of our U.S. insurance subsidiaries. Further, we cannot assure that future changes to SAP or components of SAP or the grant of permitted accounting practices to our competitors will not have a negative impact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widely-recognized frameworks based on practices believed to be effective for managing cybersecurity risk, including the development of an organizational understanding of systems, assets, data and capabilities, and the development and implementation of safeguards and processes designed to ensure delivery of services and to detect, respond to and recover from cybersecurity events. Significant time and resources are devoted to the protection of the Company’s systems and data, including the staffing of an experienced internal cybersecurity team, the use of a variety of preventative, detective and recovery tools, and engagement with external service providers to bolster the Company’s cyber defense and response capabilities. Our Chief Information Officer (CIO) has over 30 years of information technology and cybersecurity experience and our Chief Information Security Officer (CISO) has more than 15 years of direct cybersecurity experience. In addition, the Company’s Internal Audit team includes members with information technology and cybersecurity expertise and training.</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In the last three fiscal years, o</w:t>
      </w:r>
      <w:r>
        <w:rPr>
          <w:rFonts w:ascii="Times New Roman;sans-serif" w:hAnsi="Times New Roman;sans-serif"/>
          <w:b w:val="false"/>
          <w:color w:val="000000"/>
          <w:sz w:val="20"/>
          <w:shd w:fill="FFFFFF" w:val="clear"/>
        </w:rPr>
        <w:t xml:space="preserve">ur business strategy, results of operations and financial condition have </w:t>
      </w:r>
      <w:r>
        <w:rPr>
          <w:rFonts w:ascii="Times New Roman;sans-serif" w:hAnsi="Times New Roman;sans-serif"/>
          <w:b w:val="false"/>
          <w:color w:val="000000"/>
          <w:sz w:val="20"/>
        </w:rPr>
        <w:t>not been materially affected by risks from cybersecurity threats, including as a result of previously</w:t>
      </w:r>
      <w:r>
        <w:rPr>
          <w:color w:val="000000"/>
          <w:shd w:fill="FFFFFF" w:val="clear"/>
        </w:rPr>
        <w:t xml:space="preserve"> </w:t>
      </w:r>
      <w:r>
        <w:rPr>
          <w:rFonts w:ascii="Times New Roman;sans-serif" w:hAnsi="Times New Roman;sans-serif"/>
          <w:b w:val="false"/>
          <w:color w:val="000000"/>
          <w:sz w:val="20"/>
        </w:rPr>
        <w:t>identified cybersecurity incidents, but we cannot provide assurance that they will not be materially affected in the future by such risks or any future material incidents. The Company maintains cyber liability insurance coverage to minimize any potential financial impacts from cybersecurity incidents that may occur.</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Board Oversight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provides oversight of the Company’s cybersecurity risks through its Audit Committee. Four of the eight members of the Board of Directors, and three of the four Audit Committee members, possess skills related to information technology and cybersecurity. The Audit Committee reviews the Internal Audit team’s cyber-related control audits to confirm that cyber risks are being appropriately managed and also reviews a periodic report produced by the CIO and CISO on the performance of the Company’s cybersecurity program. In addition, the CIO and CISO present a comprehensive cybersecurity update to the full Board of Directors on at least an annual basis.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Risk Identification &amp; Mitigation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Cyber risk is incorporated into the Company’s larger enterprise risk management practices, which include efforts to identify, assess, rank, treat, monitor and review risks. Cyber risks are assessed no less than annually by the CIO and CISO. Significant findings from these internal assessments are presented to management for incorporation into the enterprise risk management framework, and appropriate measures to mitigate and monitor the identified risks are developed and implemented. Strategic and emergent cyber-related efforts are shared with the wider information technology team and other stakeholders within the business for both informational and execution purposes.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and monitors third-party risks and closely tracks cyber threats such as ransomware and emergent web-based vulnerabilities. A variety of controls exist to minimize the impact of these risks and ensure each is managed within organizational tolerances, which controls are monitored by management for effectiveness. In addition, James River's Information Security Office conducts cybersecurity risk reviews on new and existing third-party vendors and business partners, which are presented to management so that either appropriate risk mitigation controls can be established with respect to such third-party or the Company can avoid engaging with such third-party if they are deemed to present an unacceptable level of risk.</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Independent cybersecurity testing is performed by outside parties on at least an annual basis to identify opportunities for cyber control strengthening in the face of applicable threats.</w:t>
      </w:r>
      <w:r>
        <w:rPr>
          <w:color w:val="000000"/>
        </w:rPr>
        <w:t xml:space="preserve"> </w:t>
      </w:r>
      <w:r>
        <w:rPr>
          <w:rFonts w:ascii="Times New Roman;sans-serif" w:hAnsi="Times New Roman;sans-serif"/>
          <w:b w:val="false"/>
          <w:color w:val="000000"/>
          <w:sz w:val="20"/>
        </w:rPr>
        <w:t>The results of these evaluations are reviewed and prioritized by the CIO and CISO based on their applicability and urgency to address gaps and drive continuous improvement.</w:t>
      </w:r>
      <w:r>
        <w:rPr>
          <w:color w:val="000000"/>
        </w:rPr>
        <w:t xml:space="preserve"> </w:t>
      </w:r>
      <w:r>
        <w:rPr>
          <w:rFonts w:ascii="Times New Roman;sans-serif" w:hAnsi="Times New Roman;sans-serif"/>
          <w:b w:val="false"/>
          <w:color w:val="000000"/>
          <w:sz w:val="20"/>
        </w:rPr>
        <w:t>These findings, along with resultant enhancement and remediation efforts, are communicated with the Company’s Board of Directors.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Training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Security Office conducts company-wide cybersecurity training, including through an annually required course of online training modules and a continuous email phishing test campaign. In addition, the CISO leads an annual cybersecurity tabletop exercise with company leadership to continually improve the organization’s preparedness for cyber incidents. These exercises consider real-world events that could impact the business and seek to fine-tune response activities in an effort to minimize future cybersecurity incident impacts. </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See Item 1A. Risk Factors - "</w:t>
      </w:r>
      <w:r>
        <w:rPr>
          <w:rFonts w:ascii="Times New Roman;sans-serif" w:hAnsi="Times New Roman;sans-serif"/>
          <w:b w:val="false"/>
          <w:i/>
          <w:color w:val="000000"/>
          <w:sz w:val="20"/>
        </w:rPr>
        <w:t xml:space="preserve">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 </w:t>
      </w:r>
      <w:r>
        <w:rPr>
          <w:rFonts w:ascii="Times New Roman;sans-serif" w:hAnsi="Times New Roman;sans-serif"/>
          <w:b w:val="false"/>
          <w:color w:val="000000"/>
          <w:sz w:val="20"/>
        </w:rPr>
        <w:t>for additional discussion.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lease office space in Bermuda, where our principal executive office is located and JRG Re is based. We also lease offices in (1) Chapel Hill, North Carolina, where our U.S. holding company, James River Group is based, (2) Raleigh, North Carolina, where we conduct business in our Specialty Admitted Insurance segment and (3) Richmond, Virginia; Scottsdale, Arizona; and Atlanta, Georgia for the conduct of business in our Excess and Surplus Lines segment. We believe that our facilities are adequate for our current needs and that suitable additional or substitute space will be available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including commercial matters and litigation regarding insurance claims which arise in the ordinary course of business, as well as two alleged class action lawsuits. In addition, the Company is involved from time to time in legal actions which seek extra-contractual damages, punitive damages or penalties, including claims alleging bad faith in the handling of insurance claims. We believe that the outcome of such matters, individually and in the aggregate, is not reasonably likely to have a material adverse effect on our consolidated financial position, results of operations or cash flows.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w:t>
      </w:r>
      <w:r>
        <w:rPr>
          <w:rFonts w:ascii="Times New Roman;sans-serif" w:hAnsi="Times New Roman;sans-serif"/>
          <w:b w:val="false"/>
          <w:color w:val="000000"/>
          <w:sz w:val="20"/>
          <w:shd w:fill="FFFFFF" w:val="clear"/>
        </w:rPr>
        <w:t>8</w:t>
      </w:r>
      <w:r>
        <w:rPr>
          <w:rFonts w:ascii="Times New Roman;sans-serif" w:hAnsi="Times New Roman;sans-serif"/>
          <w:b w:val="false"/>
          <w:color w:val="000000"/>
          <w:sz w:val="20"/>
        </w:rPr>
        <w:t xml:space="preserve">,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On August 28, 2023, the Court denied the Second MTD. The Second Amended Complaint asserts claims under Sections 10(b) and 20(a) of the Securities Exchange Act of 1934 on behalf of a putative class of persons and entities that purchased the Company’s stock between February 22, 2019 and October 25, 2021, alleges that Defendants failed to make appropriate disclosures concerning the adequacy of reserves for policies that covered Rasier LLC, a subsidiary of Uber Technologies, Inc., and seeks unspecified damages, costs, attorneys’ fees and such other relief as the court may deem proper. We engaged in mediation in the fourth quarter of 2023 and on December 7, 2023, in connection with the mediation, we reached an agreement in principle to settle the action. On December 22, 2023, the parties submitted the stipulation of settlement to the Court for approval. The settlement provides for a full release of all defendants in connection with the allegations made and a settlement payment to the class of $30 million, inclusive of all Plaintiffs’ attorneys fees and expenses and settlement costs, all of which will be paid by the Company’s insurance carriers. On January 26, 2024 the Court issued an order granting preliminary approval of the settlement and scheduled a final settlement hearing for May 24, 2024.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2023, a purported class action lawsuit was filed in the U.S. District Court, Southern District of New York, on behalf of Paul Glantz against James River Group Holdings, Ltd. and certain of its officers, asserting claims under Sections 10(b) and 20(a) of the Securities Exchange Act of 1934. Mr. Glantz alleges that he purchased James River common stock between August 7, 2023 and November 7, 2023, inclusive, that the Company failed to disclose that it lacked effective internal controls regarding the recognition of reinstatement premiums for reinsurance and as a result the Company overstated its net income, and that, as a result, Mr. Glantz suffered unspecified damages. On January 12, 2024, both Mr. Glantz and Madhav Ghimire, another individual shareholder, filed an application with the court for appointment as Lead Plaintiff, and on January 26, 2024 Mr. Glantz filed a notice of non-opposition to Mr. Ghimire's competing motion for appointment as Lead Plaintiff. The court's appointment of Lead Plaintiff is pending. We believe that the claims are without merit and intend to vigorously defend this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shares began trading on the NASDAQ Global Select Market under the symbol “JRVR” on December 12, 2014. Prior to that time, there was no public market for our common shares. As of February 26, 2024, there were 4 holders of record of our common shares. A substantially greater number of holders of common shares are “street name” or beneficial holders, whose shares of record are held by banks, brokers, and other financial institutions.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paid quarterly dividends of $0.05 per common share in 2023 and 2022, and $0.30 per common share from 2017 to the fourth quarter of 2021. On February 15, 2024, the Board of Directors declared a cash dividend of $0.05 per common share. The dividend is payable on March 29, 2024 to shareholders of record on March 11, 2024. As described below, the amount of dividends that we may pay on our common shares is restricted by the terms of our Series A Preferred Shares.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closed on the issuance and sale of 150,000 Series A Preferred Shares on March 1, 2022. Holders of the Series A Preferred Shares are entitled to a dividend at the initial rate of 7% of the $1,000 per share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accrue and are payable quarterly.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2022, cash dividends of $10.5 million and $8.8 million were declared, respectively, of which $2.6 million was payable at December 31 of both years. On February 15, 2024, the Board of Directors declared a quarterly dividend on the Series A Preferred Shares. The dividend of $2.6 million will be payable in cash on April 1, 2024 to shareholders of record on March 15, 2024.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setting forth the terms of the Series A Preferred Shares limits our ability to pay dividends to our common shareholders. If we pay cash dividends of more than $0.05 per common share per quarter, without the consent of at least the majority of the Series A Preferred Shares then outstanding, we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that has no substantial operations of our own, and we rely primarily on cash dividends or distributions from our subsidiaries to pay our operating expenses and dividends to shareholders. The payment of dividends by our insurance and reinsurance subsidiaries is limited under the laws and regulations of their respective domicile. These regulations stipulate the maximum amount of annual dividends or other distributions available to shareholders without prior approval of the relevant regulatory authorities. Additionally, dividends from our U.S. subsidiaries to our U.K. intermediate holding company are generally subject to a 5% withholding tax by the IRS. Under U.K. domestic law, no withholding tax is applied to dividends paid by U.K. tax resident companies. As a result of such regulations, or a change in applicable tax law, we may not be able to pay our operating expenses as they become due and our payment of future dividends to shareholders may be limited. See “Risk Factors — Risks Related to Ownership of Our Common Shares—We depend upon dividends and distributions from our subsidiaries, and we may be unable to distribute dividends to our shareholders to the extent we do not receive dividends from our subsidiaries,” and “—Dividends paid by our U.S. subsidiaries to James River UK may not be eligible for benefits under the U.S.-U.K. income tax treaty.”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declaration, payment and amount of future dividends is further subject to the discretion of our board of directors. Our board of directors will give consideration to various risks and uncertainties, including those discussed under the headings “Risk Factors” and “Management’s Discussion and Analysis of Financial Condition and Results of Operations” and elsewhere in this Annual Report when determining whether to declare and pay dividends, as well as the amount thereof. Our board of directors may take into account a variety of factors when determining whether to declare any future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in addition to those relating to our Series A Preferred Shares (5) the effect of a dividend or dividends upon our financial strength ratings and (6) any other factors that our board of directors deems relevant.</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graph below compares the cumulative 5-Year total shareholder return of our common shares relative to the cumulative total returns of the Russell 2000 index, the S&amp;P 500 Property and Casualty Insurance index, and a selected peer group of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companies that includes Amerisafe, Inc., Argo Group International Holdings, Ltd, Kinsale Capital Group, Inc., Markel Corporation, RLI Corp. and W. R. Berkley Corporation. We have elected to replace our selected peer group with the S&amp;P P&amp;C Index to be more consistent with the index used by many of our industry peers in preparing the performance graph in their Annual Report on Form 10-K.</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companies in the peer group are weighted by market capitalization. The calculation of cumulative total shareholder return assumes an initial investment of $100 and the reinvestment of all dividends, if any, for the period from December 31, 2018 through December 31, 2023. Such returns are based on historical results and are not intended to suggest future performance.</w:t>
      </w:r>
    </w:p>
    <w:p>
      <w:pPr>
        <w:pStyle w:val="TextBody"/>
        <w:bidi w:val="0"/>
        <w:spacing w:before="0" w:after="0"/>
        <w:jc w:val="center"/>
        <w:rPr/>
      </w:pPr>
      <w:r>
        <w:rPr/>
        <w:drawing>
          <wp:inline distT="0" distB="0" distL="0" distR="0">
            <wp:extent cx="6496050" cy="4772025"/>
            <wp:effectExtent l="0" t="0" r="0" b="0"/>
            <wp:docPr id="7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 descr=""/>
                    <pic:cNvPicPr>
                      <a:picLocks noChangeAspect="1" noChangeArrowheads="1"/>
                    </pic:cNvPicPr>
                  </pic:nvPicPr>
                  <pic:blipFill>
                    <a:blip r:embed="rId3"/>
                    <a:stretch>
                      <a:fillRect/>
                    </a:stretch>
                  </pic:blipFill>
                  <pic:spPr bwMode="auto">
                    <a:xfrm>
                      <a:off x="0" y="0"/>
                      <a:ext cx="6496050" cy="4772025"/>
                    </a:xfrm>
                    <a:prstGeom prst="rect">
                      <a:avLst/>
                    </a:prstGeom>
                  </pic:spPr>
                </pic:pic>
              </a:graphicData>
            </a:graphic>
          </wp:inline>
        </w:drawing>
      </w:r>
    </w:p>
    <w:p>
      <w:pPr>
        <w:pStyle w:val="TextBody"/>
        <w:bidi w:val="0"/>
        <w:spacing w:before="0" w:after="120"/>
        <w:jc w:val="center"/>
        <w:rPr/>
      </w:pPr>
      <w:r>
        <w:rPr/>
        <w:drawing>
          <wp:inline distT="0" distB="0" distL="0" distR="0">
            <wp:extent cx="2762250" cy="523875"/>
            <wp:effectExtent l="0" t="0" r="0" b="0"/>
            <wp:docPr id="7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 descr=""/>
                    <pic:cNvPicPr>
                      <a:picLocks noChangeAspect="1" noChangeArrowheads="1"/>
                    </pic:cNvPicPr>
                  </pic:nvPicPr>
                  <pic:blipFill>
                    <a:blip r:embed="rId4"/>
                    <a:stretch>
                      <a:fillRect/>
                    </a:stretch>
                  </pic:blipFill>
                  <pic:spPr bwMode="auto">
                    <a:xfrm>
                      <a:off x="0" y="0"/>
                      <a:ext cx="2762250" cy="5238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Copyright© 2024 Standard &amp; Poor's, a division of S&amp;P Global. All rights reserved.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Copyright© 2024 Russell Investment Group. All rights reserved.</w:t>
      </w:r>
    </w:p>
    <w:p>
      <w:pPr>
        <w:pStyle w:val="TextBody"/>
        <w:bidi w:val="0"/>
        <w:spacing w:before="0" w:after="0"/>
        <w:jc w:val="left"/>
        <w:rPr/>
      </w:pPr>
      <w:r>
        <w:rPr/>
      </w:r>
    </w:p>
    <w:tbl>
      <w:tblPr>
        <w:tblW w:w="9062" w:type="dxa"/>
        <w:jc w:val="left"/>
        <w:tblInd w:w="0" w:type="dxa"/>
        <w:tblLayout w:type="fixed"/>
        <w:tblCellMar>
          <w:top w:w="28" w:type="dxa"/>
          <w:left w:w="28" w:type="dxa"/>
          <w:bottom w:w="28" w:type="dxa"/>
          <w:right w:w="28" w:type="dxa"/>
        </w:tblCellMar>
      </w:tblPr>
      <w:tblGrid>
        <w:gridCol w:w="1087"/>
        <w:gridCol w:w="953"/>
        <w:gridCol w:w="959"/>
        <w:gridCol w:w="109"/>
        <w:gridCol w:w="109"/>
        <w:gridCol w:w="109"/>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223"/>
        <w:gridCol w:w="223"/>
        <w:gridCol w:w="230"/>
        <w:gridCol w:w="109"/>
        <w:gridCol w:w="109"/>
        <w:gridCol w:w="109"/>
        <w:gridCol w:w="223"/>
        <w:gridCol w:w="223"/>
        <w:gridCol w:w="230"/>
        <w:gridCol w:w="109"/>
        <w:gridCol w:w="109"/>
        <w:gridCol w:w="109"/>
        <w:gridCol w:w="210"/>
        <w:gridCol w:w="210"/>
        <w:gridCol w:w="301"/>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86.34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28.32</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160.85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Property &amp; Casualty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211.53</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Peer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188.64</w:t>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graph and related information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future filing under the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Act of 1933, as amended, or the Exchange Act, except to the extent that we specifically incorporate it by reference into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120"/>
        <w:ind w:left="0" w:right="0" w:firstLine="405"/>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contains forward-looking statements and involves numerous risks and uncertainties, including those described under the heading “Risk Factors.” Actual results may differ materially from those contained in any forward-looking statements. You should read this discussion and analysis together with our audited consolidated financial statements and related notes included elsewhere in this Form 10-K.</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is a Bermuda-based holding company. We own and operate a group of specialty insurance companies with the objective of generating compelling returns on tangible equity while limiting underwriting and investment volatility. We seek to accomplish this by earning profits from insurance underwriting and generating meaningful risk-adjusted investment returns, while managing our capital.</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approximately 71.7% of our gross written premiums and 85.8% of our net written premiums from continuing operations originated from the U.S. E&amp;S lines market, which we believe puts us among the top three publicly traded insurers as ranked by highest concentrations of E&amp;S risk. We also have a specialty admitted insurance business in the United States. We intend to concentrate substantially all of our underwriting in casualty insurance, and for the year ended December 31, 2023, 95.7% of our gross written premiums from continuing operations were derived from casualty insurance. We focus on writing business in specialty markets where our underwriters have particular expertise and where we have long-standing distribution relationships; maintaining a strong balance sheet with appropriate reserves; monitoring reinsurance recoverables carefully; managing our investment portfolio actively without taking undue risk; using technology to monitor trends in our business; responding rapidly to market opportunities and challenges; and actively managing our capital.</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report our continuing operations in three segments: Excess and Surplus Lines, Specialty Admitted Insurance, and Corporate and Other.</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offers E&amp;S commercial lines liability and property insurance in every U.S. state, the District of Columbia, Puerto Rico and the U.S. Virgin Islands through James River Insurance and its wholly-owned subsidiary, James River Casualty.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associated with the rate and form filing process. In 2023, the average account in this segment (excluding commercial auto policies) generated annual gross written premiums of approximately $26,000. The Excess and Surplus Lines segment distributes its products primarily through wholesale insurance brokers. Members of our management team have participated in this market for over three decades and have long-standing relationships with the wholesale agents who place E&amp;S lines accounts. The Excess and Surplus Lines segment produced 66.8% of our gross written premiums and 85.0% of our net written premiums for the year ended December 31,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Specialty Admitted Insurance segment focuses on niche classes within the standard insurance markets with a primary focus on fronting business, where we retain a minority share of the risk and seek to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MGAs. The Specialty Admitted Insurance segment produced 33.2% of our gross written premiums and 15.0% of our net written premiums for the year ended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Corporate and Other segment consists of the management and treasury activities of our holding companies, equity compensation for the group, and interest expense associated with our debt.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discontinued operations include JRG Re, which comprises the remaining operations of the former Casualty Reinsurance segment, and which, prior to the suspension of its underwriting activities in 2023, provided proportional and working layer casualty reinsurance to third parties and, through December 31, 2021, to our U.S.-based insurance subsidiaries. On November 8, 2023, the Company entered into a definitive agreement to sell JRG Re. The sale transaction is expected to close in the first quarter of 2024.</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the Company’s U.S.-domiciled insurance subsidiaries were previously parties to intercompany quota share reinsurance agreements that in periods prior to January 1, 2018 ceded 70% of their premiums and losses to JRG Re, and from January 1, 2018 through December 31, 2021, ceded 70% of their premiums and losses to Carolina Re Ltd., a former wholly-owned subsidiary of James River Group (“Carolina 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Carolina Re commuted the outstanding obligations ceded under the intercompany quota-share reinsurance agreements back to the Company’s U.S.-based insurance subsidiaries with effect from January 1, 2022. Carolina Re concluded all operations and was dissolved in December 2023. During 2023, JRG Re commuted the outstanding obligations ceded under the intercompany quota share reinsurance agreements back to the Company's U.S.-based insurance subsidiaries with effect from January 1, 2023.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A.M. Best Company (“A.M. Best”) financial strength rating for our group’s regulated U.S. insurance subsidiaries is “A-” (Excellent) with a negative outlook. This rating reflects A.M. Best’s evaluation of our U.S. insurance subsidiaries’ financial strength, operating 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subsidiaries allow our subsidiaries to actively pursue relationships with the agents and brokers identified in their marketing plans.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discuss certain key metrics, described below, which we believe provide useful information about our business and the operational factors underlying our financial performance.</w:t>
      </w:r>
    </w:p>
    <w:p>
      <w:pPr>
        <w:pStyle w:val="TextBody"/>
        <w:bidi w:val="0"/>
        <w:spacing w:lineRule="auto" w:line="288" w:before="0" w:after="120"/>
        <w:jc w:val="left"/>
        <w:rPr/>
      </w:pPr>
      <w:r>
        <w:rPr>
          <w:rFonts w:ascii="Times New Roman;sans-serif" w:hAnsi="Times New Roman;sans-serif"/>
          <w:b w:val="false"/>
          <w:i/>
          <w:color w:val="000000"/>
          <w:sz w:val="20"/>
        </w:rPr>
        <w:t>Underwriting profit</w:t>
      </w:r>
      <w:r>
        <w:rPr>
          <w:color w:val="000000"/>
        </w:rPr>
        <w:t xml:space="preserve"> </w:t>
      </w:r>
      <w:r>
        <w:rPr>
          <w:rFonts w:ascii="Times New Roman;sans-serif" w:hAnsi="Times New Roman;sans-serif"/>
          <w:b w:val="false"/>
          <w:color w:val="000000"/>
          <w:sz w:val="20"/>
        </w:rPr>
        <w:t xml:space="preserve">is a non-GAAP measure commonly used in the property and casualty insurance industry to evaluate underwriting performance. 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on business from continuing operations not subject to retroactive reinsurance accounting for a loss portfolio transfer (see </w:t>
      </w:r>
      <w:r>
        <w:rPr>
          <w:rFonts w:ascii="Times New Roman;sans-serif" w:hAnsi="Times New Roman;sans-serif"/>
          <w:b w:val="false"/>
          <w:i/>
          <w:color w:val="000000"/>
          <w:sz w:val="20"/>
        </w:rPr>
        <w:t xml:space="preserve">Loss Portfolio Transfer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i/>
          <w:color w:val="000000"/>
          <w:sz w:val="20"/>
        </w:rPr>
        <w:t xml:space="preserve">Strategic Actions </w:t>
      </w:r>
      <w:r>
        <w:rPr>
          <w:rFonts w:ascii="Times New Roman;sans-serif" w:hAnsi="Times New Roman;sans-serif"/>
          <w:b w:val="false"/>
          <w:color w:val="000000"/>
          <w:sz w:val="20"/>
        </w:rPr>
        <w:t>below)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before taxes and for additional information.</w:t>
      </w:r>
    </w:p>
    <w:p>
      <w:pPr>
        <w:pStyle w:val="TextBody"/>
        <w:bidi w:val="0"/>
        <w:spacing w:lineRule="auto" w:line="288" w:before="0" w:after="120"/>
        <w:jc w:val="left"/>
        <w:rPr/>
      </w:pPr>
      <w:r>
        <w:rPr>
          <w:rFonts w:ascii="Times New Roman;sans-serif" w:hAnsi="Times New Roman;sans-serif"/>
          <w:b w:val="false"/>
          <w:i/>
          <w:color w:val="000000"/>
          <w:sz w:val="20"/>
        </w:rPr>
        <w:t>Loss ratio</w:t>
      </w:r>
      <w:r>
        <w:rPr>
          <w:rFonts w:ascii="Times New Roman;sans-serif" w:hAnsi="Times New Roman;sans-serif"/>
          <w:b w:val="false"/>
          <w:color w:val="000000"/>
          <w:sz w:val="20"/>
        </w:rPr>
        <w:t>, expressed as a percentage, is the ratio of losses and loss adjustment expenses on business from continuing operations not subject to retroactive reinsurance accounting for a loss portfolio transfer to net earned premiums. Our definition of loss ratio may not be comparable to that of other companies. See “Underwriting Performance Ratios” for a reconciliation of underwriting ratios.</w:t>
      </w:r>
    </w:p>
    <w:p>
      <w:pPr>
        <w:pStyle w:val="TextBody"/>
        <w:bidi w:val="0"/>
        <w:spacing w:lineRule="auto" w:line="288" w:before="0" w:after="120"/>
        <w:jc w:val="left"/>
        <w:rPr/>
      </w:pPr>
      <w:r>
        <w:rPr>
          <w:rFonts w:ascii="Times New Roman;sans-serif" w:hAnsi="Times New Roman;sans-serif"/>
          <w:b w:val="false"/>
          <w:i/>
          <w:color w:val="000000"/>
          <w:sz w:val="20"/>
        </w:rPr>
        <w:t>Accident year loss ratio</w:t>
      </w:r>
      <w:r>
        <w:rPr>
          <w:rFonts w:ascii="Times New Roman;sans-serif" w:hAnsi="Times New Roman;sans-serif"/>
          <w:b w:val="false"/>
          <w:color w:val="000000"/>
          <w:sz w:val="20"/>
        </w:rPr>
        <w:t>, expressed as a percentage, is the ratio of losses and loss adjustment expenses for the current accident year (excluding development on prior accident year reserves) to net earned premiums for the current year (excluding net earned premium adjustments on reinstatement premiums associated with prior years).</w:t>
      </w:r>
    </w:p>
    <w:p>
      <w:pPr>
        <w:pStyle w:val="TextBody"/>
        <w:bidi w:val="0"/>
        <w:spacing w:lineRule="auto" w:line="288" w:before="0" w:after="120"/>
        <w:jc w:val="left"/>
        <w:rPr/>
      </w:pPr>
      <w:r>
        <w:rPr>
          <w:rFonts w:ascii="Times New Roman;sans-serif" w:hAnsi="Times New Roman;sans-serif"/>
          <w:b w:val="false"/>
          <w:i/>
          <w:color w:val="000000"/>
          <w:sz w:val="20"/>
        </w:rPr>
        <w:t>Expense ratio</w:t>
      </w:r>
      <w:r>
        <w:rPr>
          <w:rFonts w:ascii="Times New Roman;sans-serif" w:hAnsi="Times New Roman;sans-serif"/>
          <w:b w:val="false"/>
          <w:color w:val="000000"/>
          <w:sz w:val="20"/>
        </w:rPr>
        <w:t>, expressed as a percentage, is the ratio of other operating expenses net of gross fee income included in other income to net earned premiums.</w:t>
      </w:r>
    </w:p>
    <w:p>
      <w:pPr>
        <w:pStyle w:val="TextBody"/>
        <w:bidi w:val="0"/>
        <w:spacing w:lineRule="auto" w:line="288" w:before="0" w:after="120"/>
        <w:jc w:val="left"/>
        <w:rPr/>
      </w:pPr>
      <w:r>
        <w:rPr>
          <w:rFonts w:ascii="Times New Roman;sans-serif" w:hAnsi="Times New Roman;sans-serif"/>
          <w:b w:val="false"/>
          <w:i/>
          <w:color w:val="000000"/>
          <w:sz w:val="20"/>
        </w:rPr>
        <w:t>Combined ratio</w:t>
      </w:r>
      <w:r>
        <w:rPr>
          <w:color w:val="000000"/>
        </w:rPr>
        <w:t xml:space="preserve"> </w:t>
      </w:r>
      <w:r>
        <w:rPr>
          <w:rFonts w:ascii="Times New Roman;sans-serif" w:hAnsi="Times New Roman;sans-serif"/>
          <w:b w:val="false"/>
          <w:color w:val="000000"/>
          <w:sz w:val="20"/>
        </w:rPr>
        <w:t>is a measure of underwriting performance calculated as the sum of the loss ratio and the expense ratio. A combined ratio of less than 100% 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pStyle w:val="TextBody"/>
        <w:bidi w:val="0"/>
        <w:spacing w:lineRule="auto" w:line="288" w:before="0" w:after="120"/>
        <w:jc w:val="left"/>
        <w:rPr/>
      </w:pPr>
      <w:r>
        <w:rPr>
          <w:rFonts w:ascii="Times New Roman;sans-serif" w:hAnsi="Times New Roman;sans-serif"/>
          <w:b w:val="false"/>
          <w:i/>
          <w:color w:val="000000"/>
          <w:sz w:val="20"/>
        </w:rPr>
        <w:t>Adjusted net operating income</w:t>
      </w:r>
      <w:r>
        <w:rPr>
          <w:color w:val="000000"/>
        </w:rPr>
        <w:t xml:space="preserve"> </w:t>
      </w:r>
      <w:r>
        <w:rPr>
          <w:rFonts w:ascii="Times New Roman;sans-serif" w:hAnsi="Times New Roman;sans-serif"/>
          <w:b w:val="false"/>
          <w:color w:val="000000"/>
          <w:sz w:val="20"/>
        </w:rPr>
        <w:t xml:space="preserve">is an internal performance measure used in the management of our operations. We believe it gives our management and other 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for a loss portfolio transfer, c) net realized and unrealized gains (losses) on investments, d) certain non-operating expenses such as professional service fees related to a purported class action lawsuit, various strategic initiatives, and the filing of registration statements for the offering of securities, and e) severance costs associated with terminated employees. Adjusted net operating income is a non-GAAP measure and should not be viewed as a substitute for net income calculated in accordance with GAAP. Our definition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may not be comparable to that of other companies. See “Reconciliation of Non-GAAP Measures” for a reconciliation of income available to common shareholders to adjusted net operating income.</w:t>
      </w:r>
    </w:p>
    <w:p>
      <w:pPr>
        <w:pStyle w:val="TextBody"/>
        <w:bidi w:val="0"/>
        <w:spacing w:lineRule="auto" w:line="288" w:before="0" w:after="120"/>
        <w:jc w:val="left"/>
        <w:rPr/>
      </w:pPr>
      <w:r>
        <w:rPr>
          <w:rFonts w:ascii="Times New Roman;sans-serif" w:hAnsi="Times New Roman;sans-serif"/>
          <w:b w:val="false"/>
          <w:i/>
          <w:color w:val="000000"/>
          <w:sz w:val="20"/>
        </w:rPr>
        <w:t>Tangible equity</w:t>
      </w:r>
      <w:r>
        <w:rPr>
          <w:color w:val="000000"/>
        </w:rPr>
        <w:t xml:space="preserve"> </w:t>
      </w:r>
      <w:r>
        <w:rPr>
          <w:rFonts w:ascii="Times New Roman;sans-serif" w:hAnsi="Times New Roman;sans-serif"/>
          <w:b w:val="false"/>
          <w:color w:val="000000"/>
          <w:sz w:val="20"/>
        </w:rPr>
        <w:t>is defined as shareholders' equity plus mezzanine Series A Preferred Shares (as defined below) and the unrecognized deferred retroactive reinsurance gain on loss portfolio transfers less goodwill and intangible assets, net of 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pStyle w:val="TextBody"/>
        <w:bidi w:val="0"/>
        <w:spacing w:lineRule="auto" w:line="288" w:before="0" w:after="120"/>
        <w:jc w:val="left"/>
        <w:rPr/>
      </w:pPr>
      <w:r>
        <w:rPr>
          <w:rFonts w:ascii="Times New Roman;sans-serif" w:hAnsi="Times New Roman;sans-serif"/>
          <w:b w:val="false"/>
          <w:i/>
          <w:color w:val="000000"/>
          <w:sz w:val="20"/>
        </w:rPr>
        <w:t>Adjusted net operating return on tangible equity</w:t>
      </w:r>
      <w:r>
        <w:rPr>
          <w:color w:val="000000"/>
        </w:rPr>
        <w:t xml:space="preserve"> </w:t>
      </w:r>
      <w:r>
        <w:rPr>
          <w:rFonts w:ascii="Times New Roman;sans-serif" w:hAnsi="Times New Roman;sans-serif"/>
          <w:b w:val="false"/>
          <w:color w:val="000000"/>
          <w:sz w:val="20"/>
        </w:rPr>
        <w:t>is defined as annualized adjusted net operating income expressed as a percentage of the average quarterly tangible equity balances in the respective period.</w:t>
      </w:r>
    </w:p>
    <w:p>
      <w:pPr>
        <w:pStyle w:val="TextBody"/>
        <w:bidi w:val="0"/>
        <w:spacing w:lineRule="auto" w:line="288" w:before="0" w:after="120"/>
        <w:jc w:val="left"/>
        <w:rPr/>
      </w:pPr>
      <w:r>
        <w:rPr>
          <w:rFonts w:ascii="Times New Roman;sans-serif" w:hAnsi="Times New Roman;sans-serif"/>
          <w:b w:val="false"/>
          <w:i/>
          <w:color w:val="000000"/>
          <w:sz w:val="20"/>
        </w:rPr>
        <w:t>Tangible equity per share</w:t>
      </w:r>
      <w:r>
        <w:rPr>
          <w:color w:val="000000"/>
        </w:rPr>
        <w:t xml:space="preserve"> </w:t>
      </w:r>
      <w:r>
        <w:rPr>
          <w:rFonts w:ascii="Times New Roman;sans-serif" w:hAnsi="Times New Roman;sans-serif"/>
          <w:b w:val="false"/>
          <w:color w:val="000000"/>
          <w:sz w:val="20"/>
        </w:rPr>
        <w:t>represents tangible equity divided by the sum of total common shares outstanding plus the common shares resulting from an assumed conversion of the outstanding Series A Preferred Shares into common shares (at the current conversion price).</w:t>
      </w:r>
    </w:p>
    <w:p>
      <w:pPr>
        <w:pStyle w:val="TextBody"/>
        <w:bidi w:val="0"/>
        <w:spacing w:lineRule="auto" w:line="288" w:before="0" w:after="120"/>
        <w:jc w:val="left"/>
        <w:rPr/>
      </w:pPr>
      <w:r>
        <w:rPr>
          <w:rFonts w:ascii="Times New Roman;sans-serif" w:hAnsi="Times New Roman;sans-serif"/>
          <w:b w:val="false"/>
          <w:i/>
          <w:color w:val="000000"/>
          <w:sz w:val="20"/>
        </w:rPr>
        <w:t>Net retention</w:t>
      </w:r>
      <w:r>
        <w:rPr>
          <w:color w:val="000000"/>
        </w:rPr>
        <w:t xml:space="preserve"> </w:t>
      </w:r>
      <w:r>
        <w:rPr>
          <w:rFonts w:ascii="Times New Roman;sans-serif" w:hAnsi="Times New Roman;sans-serif"/>
          <w:b w:val="false"/>
          <w:color w:val="000000"/>
          <w:sz w:val="20"/>
        </w:rPr>
        <w:t>is defined as the ratio of net written premiums to gross written premiums.</w:t>
      </w:r>
    </w:p>
    <w:p>
      <w:pPr>
        <w:pStyle w:val="TextBody"/>
        <w:bidi w:val="0"/>
        <w:spacing w:lineRule="auto" w:line="288" w:before="0" w:after="120"/>
        <w:jc w:val="left"/>
        <w:rPr/>
      </w:pPr>
      <w:r>
        <w:rPr>
          <w:rFonts w:ascii="Times New Roman;sans-serif" w:hAnsi="Times New Roman;sans-serif"/>
          <w:b w:val="false"/>
          <w:i/>
          <w:color w:val="000000"/>
          <w:sz w:val="20"/>
        </w:rPr>
        <w:t>Gross investment yield</w:t>
      </w:r>
      <w:r>
        <w:rPr>
          <w:color w:val="000000"/>
        </w:rPr>
        <w:t xml:space="preserve"> </w:t>
      </w:r>
      <w:r>
        <w:rPr>
          <w:rFonts w:ascii="Times New Roman;sans-serif" w:hAnsi="Times New Roman;sans-serif"/>
          <w:b w:val="false"/>
          <w:color w:val="000000"/>
          <w:sz w:val="20"/>
        </w:rPr>
        <w:t>is annualized investment income before any deductions for fees and expenses, expressed as a percentage of the average beginning and ending carrying values of those investments during the period.</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Unless specified otherwise, all references to our defined metrics above in this </w:t>
      </w:r>
      <w:r>
        <w:rPr>
          <w:rFonts w:ascii="Times New Roman;sans-serif" w:hAnsi="Times New Roman;sans-serif"/>
          <w:b w:val="false"/>
          <w:i/>
          <w:color w:val="000000"/>
          <w:sz w:val="20"/>
        </w:rPr>
        <w:t xml:space="preserve">Management’s Discussion and Analysis of Financial Condition and Results of Operations </w:t>
      </w:r>
      <w:r>
        <w:rPr>
          <w:rFonts w:ascii="Times New Roman;sans-serif" w:hAnsi="Times New Roman;sans-serif"/>
          <w:b w:val="false"/>
          <w:color w:val="000000"/>
          <w:sz w:val="20"/>
        </w:rPr>
        <w:t>are for our business from continuing operations that is not subject to retroactive reinsurance accounting for a loss portfolio transfer. Management believes that the 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revenues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the Notes to Consolidated Financial Statements included in this Form 10-K.</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Reserve for Losses and Loss Adjustment Expenses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reserve for losses and loss adjustment expenses represents our estimated ultimate cost of all reported and unreported losses and loss adjustment expenses incurred and unpaid at the balance sheet date. We do not discount this reserve. We estimate the reserve using individual case-basis valuations of reported claims and statistical analysis. We believe that the use of judgment is necessary to arrive at a best estimate for the reserve for losses and loss adjustment expenses given the long-tailed nature of the business generally written by the Company and the limited operating experience of the fronting and program business in the Specialty Admitted Insurance segment and the commercial auto business in the Excess and Surplus Lines segment. In applying this judgment, we may establish reserves that differ from our internal actuaries’ estimate. We seek to establish reserves that will ultimately prove to be adequate.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Our Excess and Surplus Lines and Specialty Admitted Insurance segments generally are notified of losses by our insureds or their brokers. Based on the information provided, we establish case reserves by estimating the ultimate losses from the claim, including administrative costs associated with the ultimate settlement of the claim. Our claims department personnel use their knowledge of the specific claim along with internal and external experts, including underwriters and legal counsel, to estimate the expected ultimate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also use statistical analysis to estimate the cost of losses and loss adjustment expenses that have been incurred but not reported to us. Those estimates are based on our historical information, industry information and estimates of future trends that may affect the frequency of claims and changes in the average cost of claims (severity) that may arise in the future.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gross reserve for losses and loss adjustment expenses at December 31, 2023 was $2,606.1 million. Of this amount, 66.9% relates to IBNR. The Company’s gross reserve for losses and loss adjustment expenses by segment are summarized as follows:</w:t>
      </w:r>
    </w:p>
    <w:tbl>
      <w:tblPr>
        <w:tblW w:w="8531" w:type="dxa"/>
        <w:jc w:val="left"/>
        <w:tblInd w:w="0" w:type="dxa"/>
        <w:tblLayout w:type="fixed"/>
        <w:tblCellMar>
          <w:top w:w="28" w:type="dxa"/>
          <w:left w:w="28" w:type="dxa"/>
          <w:bottom w:w="28" w:type="dxa"/>
          <w:right w:w="28" w:type="dxa"/>
        </w:tblCellMar>
      </w:tblPr>
      <w:tblGrid>
        <w:gridCol w:w="911"/>
        <w:gridCol w:w="801"/>
        <w:gridCol w:w="808"/>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55"/>
        <w:gridCol w:w="256"/>
        <w:gridCol w:w="4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Reserves at December 31, 2023</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 %</w:t>
              <w:br/>
              <w:t>of Total</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reserve for losses and loss adjustment expenses prior to the $660,000 allowance for credit losses on reinsurance recoverables at December 31, 2023 was $1,247.0 million. Of this amount, 72.0% relates to IBNR. The Company’s net reserve for losses and loss adjustment expenses by segment are summarized as follows:</w:t>
      </w:r>
    </w:p>
    <w:tbl>
      <w:tblPr>
        <w:tblW w:w="8381" w:type="dxa"/>
        <w:jc w:val="left"/>
        <w:tblInd w:w="0" w:type="dxa"/>
        <w:tblLayout w:type="fixed"/>
        <w:tblCellMar>
          <w:top w:w="28" w:type="dxa"/>
          <w:left w:w="28" w:type="dxa"/>
          <w:bottom w:w="28" w:type="dxa"/>
          <w:right w:w="28" w:type="dxa"/>
        </w:tblCellMar>
      </w:tblPr>
      <w:tblGrid>
        <w:gridCol w:w="911"/>
        <w:gridCol w:w="801"/>
        <w:gridCol w:w="808"/>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55"/>
        <w:gridCol w:w="256"/>
        <w:gridCol w:w="4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Reserves at December 31, 2023</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 %</w:t>
              <w:br/>
              <w:t>of Total</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Our Reserve Committee consists of our Chief Executive Officer, Chief Financial Officer, Chief Accounting Officer, and Chief Actuary. Additionally, the presidents, chief financial officers and segment actuaries of each of our insurance segments participate in the Reserve Committee meetings for their respective segments. The Reserve Committee meets quarterly to review the actuarial recommendations made by each segment actuary and use their best judgment to determine the best estimate to be recorded for the reserve for losses and loss adjustment expenses on our balance sheet.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engage an independent internationally recognized actuarial consulting firm to review our reserves for losses and loss adjustment expenses in the third and fourth quarters of each year. This independent actuarial consulting firm prepares its own estimate of our reserve for losses and loss adjustment expenses, and we compare their estimate to the reserve for losses and loss adjustment expenses reviewed and approved by the Reserve Committee in order to corroborate the adequacy of our reserves.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estimating the reserve for losses and loss adjustment expenses requires a high degree of judgment and is subject to a number of variables. In establishing the quarterly actuarial recommendation for the reserve for losses and loss adjustment expenses, our actuaries estimate an initial expected ultimate loss ratio for each of our product lines by accident year. Input from our underwriting and claims departments, including premium pricing assumptions and historical experience, are considered by our internal actuaries in estimating the initial expected loss ratios. Our actuaries generally utilize five primary actuarial methods in their estimation process for the reserve for losses and loss adjustment expenses. These primary methods are supplemented by additional actuarial methods as the Chief Actuary considers appropriate. For example, these supplemental methods can include frequency and severity methods that use claim count data to estimate ultimate losses and loss adjustment expenses. These claims frequency and severity methods may be appropriate for some lines of business and inappropriate for others. The Chief Actuary uses professional judgment to determine when additional methods should be used to supplement the five primary methods. The five primary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five primary actuarial methods that we use in our reserve estimation process are:</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Expected Loss Method</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The Expected Loss method multiplies earned premiums by an initial expected loss ratio. In our Excess and Surplus Lines segment and for our Workers’ Compensation book in the Specialty Admitted Insurance segment, the initial expected loss ratio is estimated based on adjusting book of business prior year experience to current cost and rate level.</w:t>
      </w:r>
      <w:r>
        <w:rPr>
          <w:color w:val="000000"/>
        </w:rPr>
        <w:t xml:space="preserve"> </w:t>
      </w:r>
      <w:r>
        <w:rPr>
          <w:rFonts w:ascii="Times New Roman;sans-serif" w:hAnsi="Times New Roman;sans-serif"/>
          <w:b w:val="false"/>
          <w:color w:val="000000"/>
          <w:sz w:val="20"/>
        </w:rPr>
        <w:t xml:space="preserve">In our Programs business within the Specialty Admitted Insurance segment, the expected loss ratio is based on the actuarial pricing of the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val="false"/>
          <w:color w:val="000000"/>
          <w:sz w:val="20"/>
        </w:rPr>
        <w:t>account.</w:t>
      </w:r>
      <w:r>
        <w:rPr>
          <w:color w:val="000000"/>
        </w:rPr>
        <w:t xml:space="preserve"> </w:t>
      </w:r>
      <w:r>
        <w:rPr>
          <w:rFonts w:ascii="Times New Roman;sans-serif" w:hAnsi="Times New Roman;sans-serif"/>
          <w:b w:val="false"/>
          <w:color w:val="000000"/>
          <w:sz w:val="20"/>
        </w:rPr>
        <w:t xml:space="preserve">Alternatively, when company experience lacks historical depth, initial expected loss ratios can be determined using loss ratios implied by industry loss costs for the class or reported industry loss ratios.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Incurred Loss Development Method</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The Incurred Loss Development method uses historical loss reporting patterns by accident year to estimate future loss reporting patterns. In this method, our actuaries review historical loss reporting patterns to develop incurred loss development factors that are applied to current reported losses to calculate</w:t>
      </w:r>
      <w:r>
        <w:rPr>
          <w:color w:val="000000"/>
        </w:rPr>
        <w:t xml:space="preserve"> </w:t>
      </w:r>
      <w:r>
        <w:rPr>
          <w:rFonts w:ascii="Times New Roman;sans-serif" w:hAnsi="Times New Roman;sans-serif"/>
          <w:b w:val="false"/>
          <w:color w:val="000000"/>
          <w:sz w:val="20"/>
        </w:rPr>
        <w:t>ultimate losses.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Paid Loss Development Method</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Paid Loss Development method is similar to the Incurred Loss Development method, but it uses historical loss payment patterns to estimate future loss payment patterns. In this method, our actuaries apply historical loss payment patterns to develop paid loss development factors that are applied to current paid losses to calculate expected ultimate losses.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Bornhuetter-Ferguson Incurred Loss Development Method</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The Bornhuetter-Ferguson Incurred Loss Development method divides the projection of ultimate losses into the portion that has already been reported and the portion that has yet to be reported. The portion that has yet to be reported is estimated as the product of premiums earned for the accident year, the initial expected ultimate loss ratio and an estimate of the percentage of ultimate losses that are unreported at the valuation date.</w:t>
      </w:r>
      <w:r>
        <w:rPr>
          <w:color w:val="000000"/>
        </w:rPr>
        <w:t xml:space="preserve"> </w:t>
      </w:r>
      <w:r>
        <w:rPr>
          <w:rFonts w:ascii="Times New Roman;sans-serif" w:hAnsi="Times New Roman;sans-serif"/>
          <w:b w:val="false"/>
          <w:color w:val="000000"/>
          <w:sz w:val="20"/>
        </w:rPr>
        <w:t>This technique is particularly valuable when there is a low volume of business being reviewed and reported losses lack historical depth.</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Bornhuetter-Ferguson Paid Loss Development Method</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The Bornhuetter-Ferguson Paid Loss Development method is similar to the Bornhuetter-Ferguson Incurred Loss Development method, except this method divides the projection of ultimate losses into the portion that has already been paid and the portion that has yet to be paid. The portion that has yet to be paid is estimated as the product of premiums earned for the accident year, the initial expected ultimate loss ratio and an estimate of the percentage of ultimate losses that are unpaid at the valuation date. This approach assumes that the paid experience has no effect on the subsequent paid loss emergence of the business.</w:t>
      </w:r>
      <w:r>
        <w:rPr>
          <w:color w:val="000000"/>
        </w:rPr>
        <w:t xml:space="preserve"> </w:t>
      </w:r>
      <w:r>
        <w:rPr>
          <w:rFonts w:ascii="Times New Roman;sans-serif" w:hAnsi="Times New Roman;sans-serif"/>
          <w:b w:val="false"/>
          <w:color w:val="000000"/>
          <w:sz w:val="20"/>
        </w:rPr>
        <w:t>Again, this technique is particularly valuable when there is a low volume of business being reviewed and paid losses lack historical depth.</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Different reserving methods are appropriate in different situations, and our actuaries use their judgment and experience to determine the weighting of the methods detailed above to use for each accident year and each line of business. For example, the current accident year has very little incurred and paid loss development data on which to base reserve projections. As a result, we rely heavily on the Expected Loss Method in estimating reserves for the current accident year. The Company generally sets the initial expected loss ratio for the current accident year consistent with the internal actuaries’ pricing assumptions adjusted upward where warranted based on management's judgment in order to produce the best estimate. We believe that this is a reasonable and appropriate reserving assumption for the current accident year since our pricing assumptions are actuarially driven and since we expect to make an acceptable return on the new business that we write.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is available for our oldest accident years, so more weight is given to the Incurred Loss Development method and the Paid Loss Development method than the Expected Loss Method. The Bornhuetter-Ferguson Incurred Loss Development and Paid Loss Development methods blend features of the Expected Loss Method and the Incurred and Paid Loss Development methods. The Bornhuetter-Ferguson methods are typically used for the more recent prior accident years.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applying these methods to develop an estimate of the reserve for losses and loss adjustment expenses, our actuaries use judgment to determine three key parameters for each accident year and line of business: the initial expected loss ratios, the incurred and paid loss development factors and the weighting of the actuarial methods to be used for each accident year and line of business. Judgment is also required to make actuarial adjustments, if needed, for changes in claims processing and case reserving that could cause current reported loss and paid loss development patterns to deviate from historical patterns. For the Excess and Surplus Lines segment, the segment actuary performs a study on each of these parameters at least annually and makes recommendations for the initial expected loss ratios, the incurred and paid loss development factors and the weighting of the actuarial methods by accident year and line of business. Members of the Reserve Committee review and approve the parameter review actuarial recommendations, and absent any developments requiring an earlier review, these approved parameters are generally used in the reserve estimation process for the next four quarters at which time a new parameter study is performed. For the Specialty Admitted Insurance segment, expected loss ratios, loss development factors, and loss cost trends are reviewed and updated at least annually.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quantifies the impact of extreme reserve deviations from our expected value at December 31, 2023. The total carried net reserve for losses and loss adjustment expenses for our continuing operations is displayed alongside 5th, 50th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and 95th percentiles of likely ultimate net reserve outcomes. The estimates of these percentiles are a result of a reserve variability analysis which is part of our internal capital modeling efforts using a simulation approach.</w:t>
      </w:r>
    </w:p>
    <w:tbl>
      <w:tblPr>
        <w:tblW w:w="10205" w:type="dxa"/>
        <w:jc w:val="left"/>
        <w:tblInd w:w="0" w:type="dxa"/>
        <w:tblLayout w:type="fixed"/>
        <w:tblCellMar>
          <w:top w:w="28" w:type="dxa"/>
          <w:left w:w="28" w:type="dxa"/>
          <w:bottom w:w="28" w:type="dxa"/>
          <w:right w:w="28" w:type="dxa"/>
        </w:tblCellMar>
      </w:tblPr>
      <w:tblGrid>
        <w:gridCol w:w="1325"/>
        <w:gridCol w:w="1163"/>
        <w:gridCol w:w="1178"/>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Sensitivity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5th Pct.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50th Pct.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95th Pct.</w:t>
            </w:r>
          </w:p>
        </w:tc>
      </w:tr>
      <w:tr>
        <w:trPr/>
        <w:tc>
          <w:tcPr>
            <w:tcW w:w="3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recording the net reserve for losses and loss adjustment expenses at the highest value from the sensitivity analysis above would be to increase losses and loss adjustment expenses incurred by $129.7 million, reduce after-tax net income by $102.4 million, reduce shareholders’ equity by $102.4 million and reduce shareholders’ tangible equity by $102.4 million, in each case at or for the year ended December 31,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recording the net reserve for losses and loss adjustment expenses at the lowest value from the sensitivity analysis above would be to reduce losses and loss adjustment expenses incurred by $113.1 million, increase after-tax net income by $89.4 million, increase shareholders’ equity by $89.4 million, and increase tangible equity by $89.4 million, in each case at or for the year ended December 31, 2023. Such changes in the net reserve for losses and loss adjustment expenses would not have an immediate impact on our liquidity, but would affect cash flow and investment income in future periods as the incremental or reduced amount of losses are paid and investment assets adjusted to reflect the level of paid claims.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Loss reserve estimates are subject to a high degree of variability due to the inherent uncertainty of ultimate claims settlement values. In recording our best estimate of our reserve for losses and loss adjustment expenses, our Reserve Committee may select an amount that is different from the actuarial recommendation submitted after considering other qualitative factors and our knowledge and expectations of trends and other business developments that impact our best estimate. There is inherent variation associated with our reserve estimates and the possibility that there are unforeseen or incorrectly valued liabilities in the actuarial recommendations exists. We believe that the insurance that we write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 As a casualty insurer, losses on our policies often take a number of years to develop, making it difficult to estimate the ultimate losses associated with this business. Judicial and regulatory bodies have frequently interpreted insurance contracts in a manner that expands coverage beyond that which was contemplated at the time that the policy was issued. In addition, many of our policies are issued on an occurrence basis, and insureds suffering a loss frequently seek coverage beyond the policies’ original intent.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Our reserves are driven by a number of important assumptions,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also assume that we will not experience significant losses from mass torts and that we will not incur losses from future mass torts not known to us today. While it is not possible to predict the impact of changes in the litigation environment, if new mass torts or expanded legal theories of liability emerge, our cost of claims may differ substantially from our reserves.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IBNR reserve estimates are inherently less precise than case reserve estimates. A 5% change in net IBNR reserves at December 31, 2023 would equate to a $44.9 million change in the reserve for losses and loss adjustment expenses at such date, a $35.5 million change in after-tax net income, a 6.6% change in shareholders’ equity and a 7.3% change in tangible equity, in each case at or for the year ended December 31,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included in our financial statements. We regularly review our estimates and adjust them as necessary as experience develops or as new information becomes known to us. Such adjustments are included in current operations.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the amount of prior accident year development to recognize each year, we consider actual loss emergence (reported and paid) versus expected loss emergence, as well as our internal actuaries’ indications and the prior year development indicated in the actuarial analysis prepared by our independent third-party actuary. We look at these different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points with the goal of disclosing prior accident year development that is representative of loss emergence on prior accident years during the year, while also recording the Company’s best estimate of the aggregate reserve for losses and loss adjustment expenses on the Company’s Consolidated Balance Sheet. At a high level, actual loss emergence on prior accident years in excess of actuarial expectations implies adverse development, while actual loss emergence less than expected emergence implies favorable development.</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We experienced $31.6 million of net adverse development in 2023 on the reserve for losses and loss adjustment expenses held at December 31, 2022 (excluding adverse prior year development on the commercial auto loss portfolio transfer subject to retroactive reinsurance accounting - see </w:t>
      </w:r>
      <w:r>
        <w:rPr>
          <w:rFonts w:ascii="Times New Roman;sans-serif" w:hAnsi="Times New Roman;sans-serif"/>
          <w:b w:val="false"/>
          <w:i/>
          <w:color w:val="000000"/>
          <w:sz w:val="20"/>
        </w:rPr>
        <w:t xml:space="preserve">Loss Portfolio Transfers and Impact of Retroactive Reinsurance </w:t>
      </w:r>
      <w:r>
        <w:rPr>
          <w:rFonts w:ascii="Times New Roman;sans-serif" w:hAnsi="Times New Roman;sans-serif"/>
          <w:b w:val="false"/>
          <w:color w:val="000000"/>
          <w:sz w:val="20"/>
        </w:rPr>
        <w:t>below). This net adverse reserve development included $32.6 million of net adverse development in the Excess and Surplus Lines segment, with adverse development in accident years 2020 and prior exceeding favorable development on accident years 2022 and 2021, and $972,000 of net favorable development in the Specialty Admitted Insurance segment.</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We experienced $4.4 million of net favorable development in 2022 on the reserve for losses and loss adjustment expenses held at December 31, 2021 (excluding adverse prior year development on the commercial auto loss portfolio transfer subject to retroactive reinsurance accounting - see </w:t>
      </w:r>
      <w:r>
        <w:rPr>
          <w:rFonts w:ascii="Times New Roman;sans-serif" w:hAnsi="Times New Roman;sans-serif"/>
          <w:b w:val="false"/>
          <w:i/>
          <w:color w:val="000000"/>
          <w:sz w:val="20"/>
        </w:rPr>
        <w:t xml:space="preserve">Loss Portfolio Transfers and Impact of Retroactive Reinsurance </w:t>
      </w:r>
      <w:r>
        <w:rPr>
          <w:rFonts w:ascii="Times New Roman;sans-serif" w:hAnsi="Times New Roman;sans-serif"/>
          <w:b w:val="false"/>
          <w:color w:val="000000"/>
          <w:sz w:val="20"/>
        </w:rPr>
        <w:t>below). This net favorable reserve development included $210,000 of net favorable development in the Excess and Surplus Lines segment and $4.2 million of net favorable development in the Specialty Admitted Insurance segment.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Investment Valuation and Impairment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carry fixed maturity securities classified as “available-for-sale” at fair value, and unrealized gains and losses on such securities, net of any deferred taxes, are reported as a separate component of accumulated other comprehensive income (loss). Equity securities (except those accounted for under the equity method of accounting or those that result in consolidation of the investee) are measured at fair value with changes in fair value recognized in net income. Certain restricted cash equivalents invested in funds with floating net asset values are measured at fair value with changes in fair value recognized in net income. At December 31, 2023, we do not have any securities classified as “held-to-maturity” or “trading.”</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its available-for-sale fixed maturities to determine whether any unrealized losses exist that are due to credit-related factors. An allowance for credit losses is established for any credit-related impairments, limited to the amount by which fair value is below amortized cost. Changes in the allowance for credit losses are recognized in earnings and included in net realized and unrealized gains (losses) on investments. Unrealized losses that are not credit-related continue to be recognized in other comprehensive income.</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December 31, 2023, 2022, or 2021. </w:t>
      </w:r>
      <w:r>
        <w:rPr>
          <w:rFonts w:ascii="Times New Roman;sans-serif" w:hAnsi="Times New Roman;sans-serif"/>
          <w:b w:val="false"/>
          <w:color w:val="231F20"/>
          <w:sz w:val="20"/>
        </w:rPr>
        <w:t>Management does not intend to sell the securities in an unrealized loss position, and it is not “more likely than not” that the Company will be required to sell these securities before a recovery in their value to their amortized cost basis occurs.</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The Company elected the fair value option to account for bank loan participations. Under the fair value option, bank loan participations are measured at fair value, and changes in unrealized gains and losses in bank loan participations are reported in our Consolidated Statements of (Loss) Income and Comprehensive Loss as net realized and unrealized gains (losses) on investments. </w:t>
      </w:r>
      <w:r>
        <w:rPr>
          <w:rFonts w:ascii="Times New Roman;sans-serif" w:hAnsi="Times New Roman;sans-serif"/>
          <w:b w:val="false"/>
          <w:color w:val="231F20"/>
          <w:sz w:val="20"/>
        </w:rPr>
        <w:t xml:space="preserve">Losses due to credit-related impairments on bank loan participations are determined based upon consultations and advice from the Company's specialized investment manager and consideration of any adverse situations that could affect the borrower's ability to repay, the estimated value of underlying collateral, and other relevant factors. </w:t>
      </w:r>
      <w:r>
        <w:rPr>
          <w:rFonts w:ascii="Times New Roman;sans-serif" w:hAnsi="Times New Roman;sans-serif"/>
          <w:b w:val="false"/>
          <w:color w:val="000000"/>
          <w:sz w:val="20"/>
        </w:rPr>
        <w:t xml:space="preserve">For the years ended December 31, 2023 and 2022, management concluded that $946,000 and $592,000 of the unrealized losses were due to credit-related impairments, respectively. Management concluded that none of the unrealized losses were due to credit-related impairments for the year ended </w:t>
      </w:r>
      <w:r>
        <w:rPr>
          <w:rFonts w:ascii="Times New Roman;sans-serif" w:hAnsi="Times New Roman;sans-serif"/>
          <w:b w:val="false"/>
          <w:color w:val="231F20"/>
          <w:sz w:val="20"/>
        </w:rPr>
        <w:t xml:space="preserve">December 31, 2021. </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Fair values are measured in accordance with ASC 820, </w:t>
      </w:r>
      <w:r>
        <w:rPr>
          <w:rFonts w:ascii="Times New Roman;sans-serif" w:hAnsi="Times New Roman;sans-serif"/>
          <w:b w:val="false"/>
          <w:i/>
          <w:color w:val="000000"/>
          <w:sz w:val="20"/>
        </w:rPr>
        <w:t>Fair Value Measurements.</w:t>
      </w:r>
      <w:r>
        <w:rPr>
          <w:color w:val="000000"/>
        </w:rPr>
        <w:t> </w:t>
      </w:r>
      <w:r>
        <w:rPr>
          <w:rFonts w:ascii="Times New Roman;sans-serif" w:hAnsi="Times New Roman;sans-serif"/>
          <w:b w:val="false"/>
          <w:color w:val="000000"/>
          <w:sz w:val="20"/>
        </w:rPr>
        <w:t>The guidance establishes a framework for measuring fair value and a three-level hierarchy based upon the quality of inputs used to measure fair value. The three levels of the fair value hierarchy are: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The fair values of fixed maturity securities and equity securities have been determined using fair value prices provided by our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cash and cash equivalents, restricted cash equivalents (excluding those invested in funds with floating net asset values), and short-term investments approximate their carrying values due to their short-term maturity.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the determination of the fair value for bank loan participations and certain high yield bonds, the Company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Company determines that only one external pricing source is appropriate or if only one external price is available, the investment is generally recorded based on such price.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for which external sources are not available or are determined by an investment manager not to be representative of fair value are recorded at fair value as determined by the investment manager. In determining the fair value of such investments, the investment manager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bank loan participations for which external sources were unavailable to determine fair value at December 31, 2023 or 2022.</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review fair value prices provided by our outside investment accounting service provider or our investment managers for reasonableness by comparing the fair values provided to those provided by our investment custodian. We conduct corroborative price testing comparing prices utilized for each security to those from an alternate reputable pricing service. We also review and monitor changes in fair values and unrealized gains and losses. We obtain an understanding of the methods, models, and inputs used by our investment managers and independent pricing services, and controls are in place to validate that prices provided represent fair values. Our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accounting services provider and investment managers that obtain fair values from independent pricing services.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120"/>
        <w:ind w:left="0" w:right="0" w:firstLine="405"/>
        <w:jc w:val="left"/>
        <w:rPr/>
      </w:pPr>
      <w:r>
        <w:rPr>
          <w:rFonts w:ascii="Times New Roman;sans-serif" w:hAnsi="Times New Roman;sans-serif"/>
          <w:b w:val="false"/>
          <w:color w:val="000000"/>
          <w:sz w:val="20"/>
          <w:shd w:fill="FFFFFF" w:val="clear"/>
        </w:rPr>
        <w:t xml:space="preserve">No accounting standards were adopted during the year ended </w:t>
      </w:r>
      <w:r>
        <w:rPr>
          <w:rFonts w:ascii="Times New Roman;sans-serif" w:hAnsi="Times New Roman;sans-serif"/>
          <w:b w:val="false"/>
          <w:color w:val="000000"/>
          <w:sz w:val="20"/>
        </w:rPr>
        <w:t xml:space="preserve">December 31, 2023 that had a material impact on our financial statements. </w:t>
      </w:r>
      <w:r>
        <w:rPr>
          <w:rFonts w:ascii="Times New Roman;sans-serif" w:hAnsi="Times New Roman;sans-serif"/>
          <w:b w:val="false"/>
          <w:color w:val="000000"/>
          <w:sz w:val="20"/>
          <w:shd w:fill="FFFFFF" w:val="clear"/>
        </w:rPr>
        <w:t xml:space="preserve">There are no prospective accounting standards which are expected to have a material impact on our financial statements subsequent to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Recent Strategic Actions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James River Group Holdings, Ltd.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10, 2023, the Company announced that its board of directors has initiated an exploration of strategic alternatives.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Sale of JRG 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common shares of JRG Re (the “Transaction”). JRG Re comprises the remaining operations of the former Casualty Reinsurance segment, and the Transaction, which is expected to close in the first quarter of 2024, will result in the Company’s disposition of its casualty reinsurance business and related assets.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consideration to the Company for the sale of JRG Re includes (A) $277 million (the “Purchase Price”), which is comprised of (i) $138 million payable by the Buyer to the Company on the closing date in cash, subject to final closing adjustments based on changes in JRG Re’s adjusted net worth between March 31, 2023 and the closing date, and (ii) a $139 million dividend or return of capital or surplus by JRG Re to the Company prior to the closing date, which dividend or return of capital or surplus is subject to the availability of unencumbered assets on the closing date, and (B) $2.5 million to be paid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Buyer to the Company in the event that certain conditions outlined in the Stock Purchase Agreement are met on the date that is nine months following the closing date. The Purchase Price is subject to adjustment based on changes in JRG Re’s adjusted net worth between March 31, 2023 and the closing date.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determined that the sale of JRG Re meets the criteria to be classified as held for sale and that the sale represents a strategic shift that will have a major effect on our operations. Accordingly, the results of JRG Re's operations have been presented as discontinued operations, and the assets and liabilities of JRG Re have been classified as held for sale and segregated for all periods presented in the Annual Report on Form 10-K.</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we recorded an estimated loss on sale of $80.4 million to write down the carrying value of JRG Re to its estimated fair value based upon the estimated sales price of the transaction less costs to sell and other adjustments in accordance with the Stock Purchase Agreement.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Actions to Reduce Workers' Compensation Book</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the Company non-renewed its large California workers' compensation program in the Specialty Admitted Insurance segment. This action was taken due to persistent rate pressure and tighter reinsurance capacity. Gross written premiums for the program were $96.5 million, $110.9 million, and $124.1 million for the years ended December 31, 2023, 2022, and 2021, respectively.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25, 2023, the Company announced that certain of its subsidiaries entered into an agreement to sell the renewal rights to the Individual Risk Workers’ Compensation (“IRWC”) business in the Specialty Admitted Insurance segment. The transaction includes the full operations of the business, including underwriting, loss control and claims, and transfer of the employees supporting the business. The transaction, which closed on September 29, 2023, was aligned with our strategy to focus our resources on core businesses where we have meaningful scale. Gross written premiums for IRWC were $45.5 million, $53.0 million, and $57.4 million for the years ended December 31, 2023, 2022, and 2021, respectively. Upon closing of the transaction, the Company recognized a $2.2 million gain on sale included in other income for the year ended December 31, 2023 representing the minimum guaranteed consideration to be received in the transaction. The Company also recognized an impairment charge of $2.5 million related to the trademark intangible asset associated with the IRWC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Year Ended December 31, 2023 Compared to Year Ended December 31, 2022</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for the years ended December 31, 2023 and 2022:</w:t>
      </w:r>
    </w:p>
    <w:tbl>
      <w:tblPr>
        <w:tblW w:w="10205" w:type="dxa"/>
        <w:jc w:val="left"/>
        <w:tblInd w:w="0" w:type="dxa"/>
        <w:tblLayout w:type="fixed"/>
        <w:tblCellMar>
          <w:top w:w="28" w:type="dxa"/>
          <w:left w:w="28" w:type="dxa"/>
          <w:bottom w:w="28" w:type="dxa"/>
          <w:right w:w="28" w:type="dxa"/>
        </w:tblCellMar>
      </w:tblPr>
      <w:tblGrid>
        <w:gridCol w:w="2010"/>
        <w:gridCol w:w="1742"/>
        <w:gridCol w:w="1756"/>
        <w:gridCol w:w="211"/>
        <w:gridCol w:w="976"/>
        <w:gridCol w:w="271"/>
        <w:gridCol w:w="109"/>
        <w:gridCol w:w="109"/>
        <w:gridCol w:w="109"/>
        <w:gridCol w:w="211"/>
        <w:gridCol w:w="976"/>
        <w:gridCol w:w="271"/>
        <w:gridCol w:w="109"/>
        <w:gridCol w:w="109"/>
        <w:gridCol w:w="109"/>
        <w:gridCol w:w="288"/>
        <w:gridCol w:w="291"/>
        <w:gridCol w:w="548"/>
      </w:tblGrid>
      <w:tr>
        <w:trPr/>
        <w:tc>
          <w:tcPr>
            <w:tcW w:w="2010"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5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6.9 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retention</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693,901 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665,446 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4.3 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708,005 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629,734 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12.4 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16.5 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26.6 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color w:val="000000"/>
                <w:sz w:val="16"/>
              </w:rPr>
              <w:t>(1), (2)</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(56.3)</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(68.3)</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94.6 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77.5 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63.2 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on continuing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39.6 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75.6 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20.0 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net operating income </w:t>
            </w:r>
            <w:r>
              <w:rPr>
                <w:rFonts w:ascii="Times New Roman;sans-serif" w:hAnsi="Times New Roman;sans-serif"/>
                <w:b w:val="false"/>
                <w:color w:val="000000"/>
                <w:sz w:val="16"/>
              </w:rPr>
              <w:t>(1)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Accident year loss ratio ex-cat </w:t>
            </w:r>
            <w:r>
              <w:rPr>
                <w:rFonts w:ascii="Times New Roman;sans-serif" w:hAnsi="Times New Roman;sans-serif"/>
                <w:b w:val="false"/>
                <w:color w:val="000000"/>
                <w:sz w:val="16"/>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Underwriting profit and adjusted net operating income are non-GAAP measures. See “Reconciliation of Non-GAAP Measures.”</w:t>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    Underwriting results include gross fee income of $24.2 million and $23.6 million for the years ended December 31, 2023 and 2022, respectively.</w:t>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(3)    Accident year loss ratio excluding $5.0 million of net catastrophe losses related to Hurricane Ian in the year ended December 31, 2022.</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Company produced net income from continuing operations of $61.2 million for the</w:t>
      </w:r>
      <w:r>
        <w:rPr>
          <w:color w:val="000000"/>
        </w:rPr>
        <w:t xml:space="preserve"> </w:t>
      </w:r>
      <w:r>
        <w:rPr>
          <w:rFonts w:ascii="Times New Roman;sans-serif" w:hAnsi="Times New Roman;sans-serif"/>
          <w:b w:val="false"/>
          <w:color w:val="000000"/>
          <w:sz w:val="20"/>
        </w:rPr>
        <w:t>year ended December 31, 2023, an increase of 75.6% over the prior year. Adjusted net operating income was $50.3 million for the</w:t>
      </w:r>
      <w:r>
        <w:rPr>
          <w:color w:val="000000"/>
        </w:rPr>
        <w:t xml:space="preserve"> </w:t>
      </w:r>
      <w:r>
        <w:rPr>
          <w:rFonts w:ascii="Times New Roman;sans-serif" w:hAnsi="Times New Roman;sans-serif"/>
          <w:b w:val="false"/>
          <w:color w:val="000000"/>
          <w:sz w:val="20"/>
        </w:rPr>
        <w:t>year ended December 31, 2023 compared to $51.7 million for the year ended December 31, 2022.</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Underwriting profits were $24.5 million and $56.0 million (combined ratios of 96.5% and 91.1%) for the</w:t>
      </w:r>
      <w:r>
        <w:rPr>
          <w:color w:val="000000"/>
        </w:rPr>
        <w:t xml:space="preserve"> </w:t>
      </w:r>
      <w:r>
        <w:rPr>
          <w:rFonts w:ascii="Times New Roman;sans-serif" w:hAnsi="Times New Roman;sans-serif"/>
          <w:b w:val="false"/>
          <w:color w:val="000000"/>
          <w:sz w:val="20"/>
        </w:rPr>
        <w:t>years ended December 31, 2023 and 2022, respectively. Underwriting results for the current year were negatively impacted by $16.4 million of reinstatement premium in the Excess and Surplus Lines segment. The reinstatement premium, triggered by claims on the 2020 and 2021 years of an excess of loss reinsurance treaty, reduced net written and net earned premiums, and underwriting profit. The reinstatement premium resulted in a 2.1 percentage point increase in our combined ratio for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earned premiums grew by $78.3 million or 12.4% reflecting growth in both operating segments. Net earned premiums for the Excess and Surplus Lines segment grew by $54.0 million or 9.7% driven primarily by growth in our larger underwriting divisions, in particular Excess Casualty, General Casualty, and Manufacturers and Contractors. Segment renewal rate increases continue to be strong and broad based across underwriting divisions (+10.0% over the prior year). Net earned premiums for the Specialty Admitted Insurance segment increased by $24.3 million or 32.8% due to higher retentions of individual risk workers compensation business following the termination of a quota share treaty effective January 1, 2023 and the growth in fronting with the mix of business and changes in reinsurance coverages contributing to higher retentions and higher earned premium.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loss ratio was 69.9% in the current year compared to 67.5% in the prior year. The impact of the reinstatement premium was a 1.5 percentage point increase in our loss ratio for the current year. Net reserve development on prior accident years was $31.6 million or 4.5 percentage points adverse for the year ended December 31, 2023 and included $32.6 million of net adverse development from the Excess and Surplus Lines segment, with adverse development in accident years 2020 and prior exceeding favorable development on accident years 2022 and 2021, and $972,000 of net favorable development from the Specialty Admitted Insurance segment. For the year ended December 31, 2022, net reserve development on prior accident years was $4.4 million or 0.7 percentage points favorable including $210,000 of net favorable reserve development from the Excess and Surplus Lines segment and $4.2 million of net favorable development from the Specialty Admitted Insurance segment. Current accident year losses for the year ended December 31, 2022 include $5.0 million or 0.8 percentage points of net catastrophe losses related to Hurricane Ian in our Excess Property book within the Excess and Surplus Lines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expense ratio increased from 23.6% to 26.6% with the reinstatement premium impact on net earned premium in the current year contributing 0.6 percentage points of the increase. Other contributors include lower reinsurance cessions that resulted in lower ceding commissions in the aggregate and higher net commissions and higher general and administrative expenses due to higher compensation, bad debts, and taxes, licenses and fees.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Investment income grew by $40.9 million or 94.6% over the prior year primarily driven by higher yields on fixed maturities, bank loans, and cash equivalents. The higher yields reflect the rise in interest rates in the current year. Net realized and unrealized gains and losses on investments include the impact of market volatility in the respective periods on the fair values of equity securities and bank loan participations (see </w:t>
      </w:r>
      <w:r>
        <w:rPr>
          <w:rFonts w:ascii="Times New Roman;sans-serif" w:hAnsi="Times New Roman;sans-serif"/>
          <w:b w:val="false"/>
          <w:i/>
          <w:color w:val="000000"/>
          <w:sz w:val="20"/>
        </w:rPr>
        <w:t>Investing Results</w:t>
      </w:r>
      <w:r>
        <w:rPr>
          <w:color w:val="000000"/>
        </w:rPr>
        <w:t xml:space="preserve"> </w:t>
      </w:r>
      <w:r>
        <w:rPr>
          <w:rFonts w:ascii="Times New Roman;sans-serif" w:hAnsi="Times New Roman;sans-serif"/>
          <w:b w:val="false"/>
          <w:color w:val="000000"/>
          <w:sz w:val="20"/>
        </w:rPr>
        <w:t>below). Interest expense was $10.8 million higher in the current year largely driven by higher interest rates on our variable rate senior and trust preferred debt. The applicable rates on our debt reset periodically and are structured as SOFR plus a margin or spread. Our average rate of interest increased from 4.3% in the prior year to 7.5% in the current year.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above, on September 29, 2023, the Company completed the sale of the renewal rights to the IRWC business in the Specialty Admitted Insurance segment. Upon closing of the transaction, the Company recognized a $2.2 million gain on sale included in other income in the current year representing the minimum guaranteed consideration to be received in the transaction. The Company also recognized an impairment charge of $2.5 million related to the trademark intangible asset associated with the IRWC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definitive agreement on November 8, 2023 to sell JRG Re. The sale is expected to close in the first quarter of 2024 and discontinued operations includes the operating results of JRG Re for the respective periods as well as certain transaction-related expenses in the current year. The current year transaction-related expenses include $53.2 million of losses recognized on JRG Re's fixed maturity investments as the Company no longer has the intent or ability to hold securities in an unrealized loss position until a recovery of their fair value could occur, $1.4 million of professional services and other costs to sell, and an $80.4 million loss on the held-for sale classification of JRG Re's net assets adjusting them down to the anticipated closing price in the transaction. Excluding the transaction-related expenses, JRG Re's operating results were a loss of $33.9 million compared to a $3.9 million loss in the prior year. The operating results include net adverse development of $35.5 million on treaties not subject to the Casualty Re LPT for the year ended December 31, 2023 compared to $13.4 million of net adverse development in the prior year.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decreased 2.7% from the prior year due to lower underwriting results and higher interest expense, partially offset by higher investment income. Tangible equity and tangible equity per share decreased by 3.1% and 4.2%, respectively, in the current year mainly due to the loss from discontinued operations, partially offset by the positive results from continuing operations and unrealized gains on fixed maturities in other comprehensive income. Our 9.6% adjusted net operating return on tangible equity for the year ended December 31, 2023 compares to a 10.0% return in the prior year.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Loss Portfolio Transfers and Impact of Retroactive Reinsurance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two loss portfolio transfers, which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on the subject risks as long as any additional losses are within the limit of the loss portfolio transfer and the counterparty performs under the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w:t>
      </w:r>
      <w:r>
        <w:rPr>
          <w:color w:val="000000"/>
        </w:rPr>
        <w:t xml:space="preserve"> </w:t>
      </w:r>
      <w:r>
        <w:rPr>
          <w:rFonts w:ascii="Times New Roman;sans-serif" w:hAnsi="Times New Roman;sans-serif"/>
          <w:b w:val="false"/>
          <w:color w:val="000000"/>
          <w:sz w:val="20"/>
        </w:rPr>
        <w:t>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 entered into a loss portfolio transfer retrocession agreement (the “Casualty Re LPT”) with Fortitude Reinsurance Company Ltd. (“FRL”) under which FRL reinsures the majority of JRG Re's reserves.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was adjusted for claims paid from October 1, 2021 to the Retrocession Closing Date. JRG Re incurred $6.8 million of net adverse reserve development in the three months ended March 31, 2022 associated with the Casualty Re LPT. The Funds Withheld Account balance was $137.8 million and $213.6 million at December 31, 2023 and December 31, 2022, respectively. Funds Withheld Account crediting fees of $3.6 million and $3.7 million are included in the loss from discontinued operations in our Consolidated Statements of (Loss) Income and Comprehensive Loss for the years ended December 31, 2023 and 2022, respectively.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and the Casualty Re LPT. For the year ended December 31, 2023, due to adverse paid and reported loss trends on the business subject to the loss portfolio transfers, the Company recognized adverse prior year development of $117.3 million on the reserves subject to the Commercial Auto LPT ($64.4 million) and Casualty Re LPT ($52.9 million), resulting in corresponding additional amounts ceded under the respective loss portfolio transfers. For the year ended December 31, 2022, the Company recognized adverse prior year development of $46.7 million on the reserves subject to the Commercial Auto LPT and $6.1 million on the reserves subject to the Casualty Re LPT. Both loss portfolio transfers are in gain positions as the cumulative amounts ceded under the loss portfolio transfers exceed the consideration paid, requiring the application of retroactive reinsurance accounting.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retroactive reinsurance accounting, gains are deferred and recognized in earnings in proportion to actual paid recoveries under the loss portfolio transfers using the recovery method. Over the life of the contracts, we would expect no economic impact to the Company as long as any additional losses are within the limit of the loss portfolio transfer and the counterparty performs under the contract. In periods where the Company recognizes a change in the estimate of the reserves subject to the loss portfolio transfers that increases or decreases the amounts ceded under the loss portfolio transfers,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on the Consolidated Statements of (Loss) Income and Comprehensive Loss.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Retroactive reinsurance benefits totaling $83.5 million including $59.4 million for the Commercial Auto LPT and $24.0 million for the Casualty Re LPT were recorded in losses and loss adjustment expenses for the year ended December 31, 2023 using the recovery method, resulting in a net impact of $33.8 million within our net losses and loss adjustment expenses for the year ended December 31, 2023. For the year ended December 31, 2022, retroactive reinsurance benefits of $31.0 million and $1.7 million were recorded in losses and loss adjustment expenses for the Commercial Auto LPT and Casualty Re LPT, respectively, resulting in a net impact of $20.1 million within our net losses and loss adjustment expenses. As of December 31, 2023, the cumulative amounts ceded under the loss portfolio transfers was $850.2 million ($456.2 million under the Commercial Auto LPT and $393.9 million under the Casualty Re LPT). The total deferred retroactive reinsurance gain of $53.9 million at December 31, 2023 under the loss portfolio transfers includes $20.7 million related to the Commercial Auto LPT separately presented on the Company's Consolidated Balance Sheets, and $33.2 million related to the Casualty Re LPT which is included within the assets held-for sale of JRG Re on the Company's Consolidated Balance Sheets. At December 31, 2023, the Company has $6.1 million of aggregate limit remaining under the Casualty Re LPT.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Premiums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premiums are earned ratably over the terms of our insurance policies, generally twelve months. The following table summarizes the change in premium volume by component and business segment:</w:t>
      </w:r>
    </w:p>
    <w:tbl>
      <w:tblPr>
        <w:tblW w:w="6821" w:type="dxa"/>
        <w:jc w:val="left"/>
        <w:tblInd w:w="0" w:type="dxa"/>
        <w:tblLayout w:type="fixed"/>
        <w:tblCellMar>
          <w:top w:w="28" w:type="dxa"/>
          <w:left w:w="28" w:type="dxa"/>
          <w:bottom w:w="28" w:type="dxa"/>
          <w:right w:w="28" w:type="dxa"/>
        </w:tblCellMar>
      </w:tblPr>
      <w:tblGrid>
        <w:gridCol w:w="913"/>
        <w:gridCol w:w="800"/>
        <w:gridCol w:w="807"/>
        <w:gridCol w:w="211"/>
        <w:gridCol w:w="976"/>
        <w:gridCol w:w="109"/>
        <w:gridCol w:w="109"/>
        <w:gridCol w:w="109"/>
        <w:gridCol w:w="109"/>
        <w:gridCol w:w="211"/>
        <w:gridCol w:w="976"/>
        <w:gridCol w:w="109"/>
        <w:gridCol w:w="109"/>
        <w:gridCol w:w="109"/>
        <w:gridCol w:w="109"/>
        <w:gridCol w:w="255"/>
        <w:gridCol w:w="256"/>
        <w:gridCol w:w="544"/>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36.6 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 for the Excess and Surplus Lines segment (which represents 66.8% of our consolidated gross written premiums from continuing operations in 2023) increased 9.4% from the prior year. The growth was driven by our Core E&amp;S lines, as we continue to de-emphasize commercial auto. Total policy submissions for Core E&amp;S lines (excluding commercial auto) increased 10.3% from the prior year in 2023 largely due to a 10.9% increase in new business submissions as the segment focused on growing new business with smaller account sizes. Renewal rates for the Excess and Surplus Lines segment were up 10.0% compared to 2022. The change in gross written premiums was notable in several divisions as shown below:</w:t>
      </w:r>
    </w:p>
    <w:tbl>
      <w:tblPr>
        <w:tblW w:w="8245" w:type="dxa"/>
        <w:jc w:val="center"/>
        <w:tblInd w:w="0" w:type="dxa"/>
        <w:tblLayout w:type="fixed"/>
        <w:tblCellMar>
          <w:top w:w="28" w:type="dxa"/>
          <w:left w:w="28" w:type="dxa"/>
          <w:bottom w:w="28" w:type="dxa"/>
          <w:right w:w="28" w:type="dxa"/>
        </w:tblCellMar>
      </w:tblPr>
      <w:tblGrid>
        <w:gridCol w:w="1453"/>
        <w:gridCol w:w="1282"/>
        <w:gridCol w:w="1285"/>
        <w:gridCol w:w="211"/>
        <w:gridCol w:w="976"/>
        <w:gridCol w:w="109"/>
        <w:gridCol w:w="109"/>
        <w:gridCol w:w="109"/>
        <w:gridCol w:w="109"/>
        <w:gridCol w:w="211"/>
        <w:gridCol w:w="826"/>
        <w:gridCol w:w="109"/>
        <w:gridCol w:w="109"/>
        <w:gridCol w:w="109"/>
        <w:gridCol w:w="109"/>
        <w:gridCol w:w="291"/>
        <w:gridCol w:w="294"/>
        <w:gridCol w:w="544"/>
      </w:tblGrid>
      <w:tr>
        <w:trPr/>
        <w:tc>
          <w:tcPr>
            <w:tcW w:w="145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&amp; Contractors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Core E&amp;S divisions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Core E&amp;S divisions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gross written premium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gross written premiums for the Specialty Admitted Insurance segment (which represents 33.2% of our 2023 consolidated gross written premiums) are as follows:</w:t>
      </w:r>
    </w:p>
    <w:tbl>
      <w:tblPr>
        <w:tblW w:w="8081" w:type="dxa"/>
        <w:jc w:val="left"/>
        <w:tblInd w:w="0" w:type="dxa"/>
        <w:tblLayout w:type="fixed"/>
        <w:tblCellMar>
          <w:top w:w="28" w:type="dxa"/>
          <w:left w:w="28" w:type="dxa"/>
          <w:bottom w:w="28" w:type="dxa"/>
          <w:right w:w="28" w:type="dxa"/>
        </w:tblCellMar>
      </w:tblPr>
      <w:tblGrid>
        <w:gridCol w:w="1448"/>
        <w:gridCol w:w="1276"/>
        <w:gridCol w:w="1281"/>
        <w:gridCol w:w="211"/>
        <w:gridCol w:w="826"/>
        <w:gridCol w:w="109"/>
        <w:gridCol w:w="109"/>
        <w:gridCol w:w="109"/>
        <w:gridCol w:w="109"/>
        <w:gridCol w:w="211"/>
        <w:gridCol w:w="826"/>
        <w:gridCol w:w="109"/>
        <w:gridCol w:w="109"/>
        <w:gridCol w:w="109"/>
        <w:gridCol w:w="109"/>
        <w:gridCol w:w="293"/>
        <w:gridCol w:w="293"/>
        <w:gridCol w:w="544"/>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Fronting and program premium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risk workers’ compensation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gross written premium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fronting written premium increased 4.2% over the prior year driven primarily by the continued expansion of existing fronting relationships. Our largest fronting relationship represented $163.1 million or 32.5% of segment gross written premium in 2023 compared to $120.9 million or 24.7%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non-renewed its large California workers' compensation program in the Specialty Admitted Insurance segment, which represented $96.5 million and $110.9 million of gross written premiums for the years ended December 31, 2023 and 2022, respectively. This action was taken due to persistent rate pressure and tighter reinsurance capacity. On September 29, 2023, the Company completed the sale of the renewal rights to the IRWC business in the Specialty Admitted Insurance segment. The transaction is aligned with our strategy to focus our resources on core businesses where we have meaningful scale.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Retention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ratio of net written premiums to gross written premiums is referred to as our net premium retention. Our net premium retention by segment is as follows:</w:t>
      </w:r>
    </w:p>
    <w:tbl>
      <w:tblPr>
        <w:tblW w:w="4920" w:type="dxa"/>
        <w:jc w:val="left"/>
        <w:tblInd w:w="0" w:type="dxa"/>
        <w:tblLayout w:type="fixed"/>
        <w:tblCellMar>
          <w:top w:w="28" w:type="dxa"/>
          <w:left w:w="28" w:type="dxa"/>
          <w:bottom w:w="28" w:type="dxa"/>
          <w:right w:w="28" w:type="dxa"/>
        </w:tblCellMar>
      </w:tblPr>
      <w:tblGrid>
        <w:gridCol w:w="911"/>
        <w:gridCol w:w="801"/>
        <w:gridCol w:w="808"/>
        <w:gridCol w:w="255"/>
        <w:gridCol w:w="256"/>
        <w:gridCol w:w="409"/>
        <w:gridCol w:w="164"/>
        <w:gridCol w:w="164"/>
        <w:gridCol w:w="164"/>
        <w:gridCol w:w="255"/>
        <w:gridCol w:w="256"/>
        <w:gridCol w:w="477"/>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premium retention for the Excess and Surplus Lines segment decreased in 2023 driven by $16.4 million of reinstatement premium, which reduced the 2023 net retention ratio by 1.7%, and the renewal of a quota share treaty, effective July 1, 2023, that increased premium cessions across all underwriting divisions other than Excess Casualty and resulted in lower retentions for the segment.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premium retention for the Specialty Admitted Insurance segment increased in 2023 primarily due to the termination of an individual risk workers' compensation quota share treaty effective January 1, 2023. The net retention on the workers’ compensation business was 76.0% and 29.8% for the years ended December 31, 2023 and 2022, respectively. The net retention on the segment’s fronting business, which reflects the mix of business and changes in reinsurance coverage as treaties renew, was 15.3% and 13.9% for the years ended December 31, 2023 and 2022, respectively.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combined ratios by segment:</w:t>
      </w:r>
    </w:p>
    <w:tbl>
      <w:tblPr>
        <w:tblW w:w="4920" w:type="dxa"/>
        <w:jc w:val="left"/>
        <w:tblInd w:w="0" w:type="dxa"/>
        <w:tblLayout w:type="fixed"/>
        <w:tblCellMar>
          <w:top w:w="28" w:type="dxa"/>
          <w:left w:w="28" w:type="dxa"/>
          <w:bottom w:w="28" w:type="dxa"/>
          <w:right w:w="28" w:type="dxa"/>
        </w:tblCellMar>
      </w:tblPr>
      <w:tblGrid>
        <w:gridCol w:w="911"/>
        <w:gridCol w:w="801"/>
        <w:gridCol w:w="808"/>
        <w:gridCol w:w="255"/>
        <w:gridCol w:w="256"/>
        <w:gridCol w:w="409"/>
        <w:gridCol w:w="164"/>
        <w:gridCol w:w="164"/>
        <w:gridCol w:w="164"/>
        <w:gridCol w:w="255"/>
        <w:gridCol w:w="256"/>
        <w:gridCol w:w="477"/>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Excess and Surplus Lines Segment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Results for the Excess and Surplus Lines segment are as follows:</w:t>
      </w:r>
    </w:p>
    <w:tbl>
      <w:tblPr>
        <w:tblW w:w="7639" w:type="dxa"/>
        <w:jc w:val="left"/>
        <w:tblInd w:w="0" w:type="dxa"/>
        <w:tblLayout w:type="fixed"/>
        <w:tblCellMar>
          <w:top w:w="28" w:type="dxa"/>
          <w:left w:w="28" w:type="dxa"/>
          <w:bottom w:w="28" w:type="dxa"/>
          <w:right w:w="28" w:type="dxa"/>
        </w:tblCellMar>
      </w:tblPr>
      <w:tblGrid>
        <w:gridCol w:w="1120"/>
        <w:gridCol w:w="981"/>
        <w:gridCol w:w="989"/>
        <w:gridCol w:w="211"/>
        <w:gridCol w:w="976"/>
        <w:gridCol w:w="271"/>
        <w:gridCol w:w="109"/>
        <w:gridCol w:w="109"/>
        <w:gridCol w:w="109"/>
        <w:gridCol w:w="211"/>
        <w:gridCol w:w="826"/>
        <w:gridCol w:w="271"/>
        <w:gridCol w:w="109"/>
        <w:gridCol w:w="109"/>
        <w:gridCol w:w="109"/>
        <w:gridCol w:w="291"/>
        <w:gridCol w:w="294"/>
        <w:gridCol w:w="54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589,551 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609,566 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555,597 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(34.6)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Accident year loss ratio ex-cat </w:t>
            </w:r>
            <w:r>
              <w:rPr>
                <w:rFonts w:ascii="Times New Roman;sans-serif" w:hAnsi="Times New Roman;sans-serif"/>
                <w:b w:val="false"/>
                <w:i/>
                <w:color w:val="000000"/>
                <w:sz w:val="16"/>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before="0" w:after="120"/>
        <w:jc w:val="left"/>
        <w:rPr/>
      </w:pPr>
      <w:r>
        <w:rPr/>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Underwriting Profit is a non-GAAP Measure. See “Reconciliation of Non-GAAP Measures.”</w:t>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    Accident year loss ratio excluding $5.0 million of net catastrophe losses related to Hurricane Ian in the year ended December 31,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produced underwriting profits of $54.3 million and $83.1 million (combined ratios of 91.1% and 85.1%) for the years ended December 31, 2023 and 2022, respectively. Underwriting results for the year ended December 31, 2023 include $16.4 million of reinstatement premium. The reinstatement premium, triggered by claims on the 2020 and 2021 years of an excess of loss reinsurance treaty, reduced net written and net earned premiums, and underwriting profit for the current year. Segment underwriting ratios were also impacted by the reinstatement premium, attributing to a 2.4 percentage point increase in the segment combined ratio for the year ended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Excluding the reinstatement premium, net earned premiums increased by $70.4 million or 12.7% for the year ended December 31, 2023 due to growth in our larger underwriting divisions and broad based renewal rate increases of 10.0% compared to the prior year.</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 loss ratio of 68.9% for the year ended December 31, 2023 includes $32.6 million or 5.3 percentage points of net adverse reserve development (excluding adverse prior year development on the legacy Rasier business and the impact of retroactive reinsurance - see </w:t>
      </w:r>
      <w:r>
        <w:rPr>
          <w:rFonts w:ascii="Times New Roman;sans-serif" w:hAnsi="Times New Roman;sans-serif"/>
          <w:b w:val="false"/>
          <w:i/>
          <w:color w:val="000000"/>
          <w:sz w:val="20"/>
        </w:rPr>
        <w:t xml:space="preserve">Commercial Auto Loss Portfolio Transfer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i/>
          <w:color w:val="000000"/>
          <w:sz w:val="20"/>
        </w:rPr>
        <w:t>Strategic Actions</w:t>
      </w:r>
      <w:r>
        <w:rPr>
          <w:rFonts w:ascii="Times New Roman;sans-serif" w:hAnsi="Times New Roman;sans-serif"/>
          <w:b w:val="false"/>
          <w:color w:val="000000"/>
          <w:sz w:val="20"/>
        </w:rPr>
        <w:t>) in our loss estimates for prior accident years, with adverse development in accident years 2020 and prior exceeding favorable development on accident years 2022 and 2021. The $16.4 million of reinstatement premium, which reduced net earned premiums in 2023, resulted in a 1.8 percentage point increase in our loss ratio for the year ended December 31, 2023. The loss ratio of 65.9% for the year ended December 31, 2022 included $210,000 of net favorable reserve development in our loss estimates for prior accident years, including $9.1 million of net favorable development in Core E&amp;S lines and $8.9 million of net adverse reserve development on our commercial auto business. The 2022 loss ratio includes 0.9 percentage points related to $5.0 million of catastrophe losses for Hurricane Ian in the prior year.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higher current year expense ratio was partially due to the $16.4 million of reinstatement premium, which reduced net earned premiums and contributed 0.6 percentage points of the expense ratio increase relative to the prior year. The expense ratios also increased over the prior year due to the mix of business and reinsurance changes which resulted in higher net commissions expense, as well as higher compensation costs and bad debt expenses.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Specialty Admitted Insurance Segment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Results for the Specialty Admitted Insurance segment are as follows:</w:t>
      </w:r>
    </w:p>
    <w:tbl>
      <w:tblPr>
        <w:tblW w:w="7415" w:type="dxa"/>
        <w:jc w:val="left"/>
        <w:tblInd w:w="0" w:type="dxa"/>
        <w:tblLayout w:type="fixed"/>
        <w:tblCellMar>
          <w:top w:w="28" w:type="dxa"/>
          <w:left w:w="28" w:type="dxa"/>
          <w:bottom w:w="28" w:type="dxa"/>
          <w:right w:w="28" w:type="dxa"/>
        </w:tblCellMar>
      </w:tblPr>
      <w:tblGrid>
        <w:gridCol w:w="1120"/>
        <w:gridCol w:w="981"/>
        <w:gridCol w:w="989"/>
        <w:gridCol w:w="211"/>
        <w:gridCol w:w="826"/>
        <w:gridCol w:w="271"/>
        <w:gridCol w:w="109"/>
        <w:gridCol w:w="109"/>
        <w:gridCol w:w="109"/>
        <w:gridCol w:w="211"/>
        <w:gridCol w:w="826"/>
        <w:gridCol w:w="271"/>
        <w:gridCol w:w="109"/>
        <w:gridCol w:w="109"/>
        <w:gridCol w:w="109"/>
        <w:gridCol w:w="255"/>
        <w:gridCol w:w="256"/>
        <w:gridCol w:w="54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104,350 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76,390 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36.6 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28.3 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69.4 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Underwriting profit</w:t>
            </w:r>
            <w:r>
              <w:rPr>
                <w:rFonts w:ascii="Times New Roman;sans-serif" w:hAnsi="Times New Roman;sans-serif"/>
                <w:b w:val="false"/>
                <w:color w:val="000000"/>
                <w:sz w:val="13"/>
              </w:rPr>
              <w:t>(1), (2)</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CCEEFF"/>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w:t>
            </w:r>
          </w:p>
        </w:tc>
        <w:tc>
          <w:tcPr>
            <w:tcW w:w="544" w:type="dxa"/>
            <w:tcBorders>
              <w:top w:val="single" w:sz="8" w:space="0" w:color="CCEEFF"/>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Underwriting Profit is a non-GAAP Measure. See “Reconciliation of Non-GAAP Measures.”</w:t>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    Underwriting profit includes fee income of $24.2 million and $23.6 million for the years ended December 31, 2023 and 2022, respectively.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Specialty Admitted Insurance segment generated underwriting profits of $4.1 million and $4.2 million (combined ratios of 95.9% and 94.3%) for the years ended December 31, 2023 and 2022, respectively. Net earned premiums increased by $24.3 million or 32.8% due to higher retentions of individual risk workers compensation business following the termination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treaty effective January 1, 2023 and the growth in fronting with the mix of business and changes in reinsurance coverages contributing to higher retentions and higher earned premium. The growth in fronting business produced a 2.5% increase in segment fee income.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loss ratio improvement in the current year primarily reflects changes in the mix of business and improved loss trends which helped to produce a lower current accident year loss ratio, partially offset by lower net favorable development in our loss estimates for prior accident years. Net favorable development in our loss estimates for prior accident years was $972,000 and $4.2 million (1.0 and 5.6 percentage points) for the years ended December 31, 2023 and 2022, respectively. The favorable development in both 2023 and 2022 reflects the fact that actual loss emergence of the workers’ compensation book for prior accident years has been better than expected.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segment expense ratio increased over the prior year driven by higher net commission expense due to the January 1, 2023 termination of the individual risk workers' compensation quota share treaty as well as higher taxes, licenses, and fees in the current year due to adjustments to tax and assessment accruals in the prior year.</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Corporate and Other Segment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for the Corporate and Other segment include personnel costs associated with the Bermuda and U.S. holding companies, professional fees, and various other corporate expenses that were not reimbursed by our subsidiaries, including costs associated with our internal quota share, rating agencies and strategic initiatives. The expenses are included in our calculation of consolidated underwriting profit, and in our consolidated expense ratio and combined ratio.</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of the Corporate and Other segment were $33.9 million and $31.3 million for the years ended December 31, 2023 and 2022, respectively. The higher current year expenses as compared to the prior year were largely driven by higher compensation expenses due to the hiring of additional employees and included share-based compensation ($9.1 million and $8.1 million for the years ended December 31, 2023 and 2022, respectively), as well as higher audit fees.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Investing Results</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Net investment income was $84.0 million for the year ended December 31, 2023 compared to $43.2 million in the prior year. The Company's private investments generated income of $5.0 million and $3.4 million for the years ended</w:t>
      </w:r>
      <w:r>
        <w:rPr>
          <w:color w:val="000000"/>
        </w:rPr>
        <w:t xml:space="preserve"> </w:t>
      </w:r>
      <w:r>
        <w:rPr>
          <w:rFonts w:ascii="Times New Roman;sans-serif" w:hAnsi="Times New Roman;sans-serif"/>
          <w:b w:val="false"/>
          <w:color w:val="000000"/>
          <w:sz w:val="20"/>
        </w:rPr>
        <w:t>December 31, 2023 and 2022, respectively. Excluding private investments, our net investment income for the year ended December 31, 2023 increased 98.6% over the prior year principally due to higher yields on fixed maturities, bank loan participations, short-term investments, and cash and cash equivalents.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Major categories of the Company’s net investment income are summarized as follows:</w:t>
      </w:r>
    </w:p>
    <w:tbl>
      <w:tblPr>
        <w:tblW w:w="8934" w:type="dxa"/>
        <w:jc w:val="left"/>
        <w:tblInd w:w="0" w:type="dxa"/>
        <w:tblLayout w:type="fixed"/>
        <w:tblCellMar>
          <w:top w:w="28" w:type="dxa"/>
          <w:left w:w="28" w:type="dxa"/>
          <w:bottom w:w="28" w:type="dxa"/>
          <w:right w:w="28" w:type="dxa"/>
        </w:tblCellMar>
      </w:tblPr>
      <w:tblGrid>
        <w:gridCol w:w="2348"/>
        <w:gridCol w:w="2064"/>
        <w:gridCol w:w="2068"/>
        <w:gridCol w:w="211"/>
        <w:gridCol w:w="721"/>
        <w:gridCol w:w="109"/>
        <w:gridCol w:w="109"/>
        <w:gridCol w:w="109"/>
        <w:gridCol w:w="109"/>
        <w:gridCol w:w="211"/>
        <w:gridCol w:w="721"/>
        <w:gridCol w:w="154"/>
      </w:tblGrid>
      <w:tr>
        <w:trPr/>
        <w:tc>
          <w:tcPr>
            <w:tcW w:w="234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Renewable energy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private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equivalents, and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investment returns:</w:t>
      </w:r>
    </w:p>
    <w:tbl>
      <w:tblPr>
        <w:tblW w:w="5445" w:type="dxa"/>
        <w:jc w:val="left"/>
        <w:tblInd w:w="0" w:type="dxa"/>
        <w:tblLayout w:type="fixed"/>
        <w:tblCellMar>
          <w:top w:w="28" w:type="dxa"/>
          <w:left w:w="28" w:type="dxa"/>
          <w:bottom w:w="28" w:type="dxa"/>
          <w:right w:w="28" w:type="dxa"/>
        </w:tblCellMar>
      </w:tblPr>
      <w:tblGrid>
        <w:gridCol w:w="1179"/>
        <w:gridCol w:w="1035"/>
        <w:gridCol w:w="1041"/>
        <w:gridCol w:w="203"/>
        <w:gridCol w:w="203"/>
        <w:gridCol w:w="409"/>
        <w:gridCol w:w="164"/>
        <w:gridCol w:w="164"/>
        <w:gridCol w:w="164"/>
        <w:gridCol w:w="203"/>
        <w:gridCol w:w="203"/>
        <w:gridCol w:w="477"/>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Annualized gross investment yield on:</w:t>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cash and invested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fixed maturity securities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Of our total cash and invested assets of $1,980.1 million at December 31, 2023 (excluding restricted cash equivalents and cash and invested assets of JRG Re included in assets held for sale), $274.3 million represents the cash and cash equivalents portion of the portfolio. The majority of the portfolio, or $1,324.5 million, is comprised of fixed maturity securities that are classified as available-for-sale and carried at fair value with unrealized gains and losses on these securities reported, net of applicable taxes, as a separate component of accumulated comprehensive income or loss. The fair values of our fixed maturity securities were negatively impacted in 2022 by a heightened inflationary environment and rate actions of the Federal Reserve, which led to higher interest rates and lower fair values of our fixed maturity securities. Unrealized losses on fixed maturities recognized in other comprehensive (loss) income in 2022 resulted in a $193.0 million reduction in accumulated other comprehensive (loss) income in the year ended December 31, 2022. During 2023, the fair values of our fixed maturity securities recovered some of the unrealized losses with signs of inflation easing and optimism about future Federal Reserve interest rate cuts. The $99.3 million reduction in accumulated other comprehensive loss in the year ended December 31, 2023 reflects the increase in fair values of our fixed maturity securities as well as $53.2 million of losses recognized on JRG Re's fixed maturities. The Company entered into a definitive agreement on November 8, 2023 to sell JRG Re. The sale is expected to close in the first quarter of 2024 and the Company no longer has the intent or ability to hold securities in an unrealized loss position until a recovery of their fair value could occur.</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Also included in our investments are $156.2 million of bank loan participations, $119.9 million of equity securities, $72.1 million of short-term investments, and $33.1 million of other invested assets.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sans-serif" w:hAnsi="Times New Roman;sans-serif"/>
          <w:b w:val="false"/>
          <w:color w:val="231F20"/>
          <w:sz w:val="20"/>
        </w:rPr>
        <w:t>Bank loan participations are measured at fair value pursuant to the Company's election of the fair value option, and changes in unrealized gains and losses in bank loan participations are reported in our income statement as net realized and unrealized gains (losses) on investments.</w:t>
      </w:r>
      <w:r>
        <w:rPr>
          <w:color w:val="000000"/>
        </w:rPr>
        <w:t xml:space="preserve"> </w:t>
      </w:r>
      <w:r>
        <w:rPr>
          <w:rFonts w:ascii="Times New Roman;sans-serif" w:hAnsi="Times New Roman;sans-serif"/>
          <w:b w:val="false"/>
          <w:color w:val="000000"/>
          <w:sz w:val="20"/>
        </w:rPr>
        <w:t>At December 31, 2023 and 2022, the fair value of these securities was $156.2 million and $54.3 million, respectively.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selectively in private debt and equity opportunities. These investments comprise the Company’s other invested assets and are primarily focused in renewable energy, limited partnerships, and notes receivable for structured private specialty credit. Equity interests in various renewable energy LLCs generated investment income of $2.9 million and $3.8 million for the years ended December 31, 2023 and 2022, respectively. The Company’s former Non-Executive Chairman has invested in certain of these LLCs. During the fourth quarter of 2022, the underlying projects in two of our LLCs were sold at the manager's discretion. We received proceeds of $3.6 million and $20.2 million from these sales during the years ended December 31, 2023 and 2022. We could receive additional contingent payments in the future according to terms of the transaction. The remaining investments had a carrying value of $8.4 million at December 31,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for renewable energy projects had investment income of $244,000 and $607,000 for the years ended December 31, 2023 and 2022, respectively. During 2023, the Company received principal repayments of $1.3 million on the notes receivable. These investments had a carrying value of $1.4 million at December 31, 2023. 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Investment income from these partnerships was $1.6 million in 2023 compared to losses of $1.3 million in 2022. Together, these limited partnerships had a carrying value of $12.6 million at December 31, 2023. Income from the Company’s investments in renewable energy LLCs and limited partnerships is recognized under the equity method of accounting. At December 31, 2023, the Company held $10.8 million in two notes receivable for structured private credit. Previously, the Company held $4.5 million of subordinated notes issued by a bank holding company that matured on August 12, 2023. The Company’s former Non-Executive Chairman was previously the Lead Independent Director of the bank holding company and an investor in the bank holding company. Interest income from both notes was $340,000 and $343,000 for the years ended December 31, 2023 and 2022, respectively.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recognized net realized and unrealized investment gains of $10.4 million, including $339,000 of net realized investment losses on the sale of fixed maturity securities, $3.5 million of net realized investment losses on the sale of bank loans securities, $1.5 million of net realized investment gains on the sale of equity securities, $9.0 million of gains for the change in fair value of bank loans, and $3.7 million of gains for the change in fair value of equity securities.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Company recognized net realized and unrealized investment losses of $15.7 million, including $1.2 million of net realized investment gains on the sale of fixed maturity securities, $365,000 of net realized investment losses on the sale of bank loans, $563,000 of net realized investment gains on the sale of equity securities, $5.4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million of losses for the change in fair value of bank loans, and $11.7 million of losses for the change in fair value of equity securities.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its outside investment managers, the Company performs quarterly reviews of all securities within its investment portfolio to determine whether any impairment has occurred.</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concluded that none of the fixed maturity securities with an unrealized loss at December 31, 2023 or 2022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available-for-sale fixed maturity securities had net unrealized losses of $80.7 million representing 5.7% of the amortized cost of the portfolio. Additionally, at December 31, 2023, 99.9% of our fixed maturity security portfolio was rated “BBB-” or better (“investment grade”) by Standard &amp; Poor’s or had an equivalent rating from another nationally recognized statistical rating organization. The average duration of our invested assets and cash, excluding restricted cash, was 3.6 years at December 31,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fixed maturity securities were as follows:</w:t>
      </w:r>
    </w:p>
    <w:tbl>
      <w:tblPr>
        <w:tblW w:w="10205" w:type="dxa"/>
        <w:jc w:val="left"/>
        <w:tblInd w:w="0" w:type="dxa"/>
        <w:tblLayout w:type="fixed"/>
        <w:tblCellMar>
          <w:top w:w="28" w:type="dxa"/>
          <w:left w:w="28" w:type="dxa"/>
          <w:bottom w:w="28" w:type="dxa"/>
          <w:right w:w="28" w:type="dxa"/>
        </w:tblCellMar>
      </w:tblPr>
      <w:tblGrid>
        <w:gridCol w:w="1015"/>
        <w:gridCol w:w="522"/>
        <w:gridCol w:w="524"/>
        <w:gridCol w:w="196"/>
        <w:gridCol w:w="871"/>
        <w:gridCol w:w="109"/>
        <w:gridCol w:w="109"/>
        <w:gridCol w:w="109"/>
        <w:gridCol w:w="109"/>
        <w:gridCol w:w="196"/>
        <w:gridCol w:w="871"/>
        <w:gridCol w:w="109"/>
        <w:gridCol w:w="109"/>
        <w:gridCol w:w="109"/>
        <w:gridCol w:w="109"/>
        <w:gridCol w:w="278"/>
        <w:gridCol w:w="278"/>
        <w:gridCol w:w="321"/>
        <w:gridCol w:w="109"/>
        <w:gridCol w:w="109"/>
        <w:gridCol w:w="109"/>
        <w:gridCol w:w="196"/>
        <w:gridCol w:w="871"/>
        <w:gridCol w:w="109"/>
        <w:gridCol w:w="109"/>
        <w:gridCol w:w="109"/>
        <w:gridCol w:w="109"/>
        <w:gridCol w:w="196"/>
        <w:gridCol w:w="871"/>
        <w:gridCol w:w="109"/>
        <w:gridCol w:w="109"/>
        <w:gridCol w:w="109"/>
        <w:gridCol w:w="109"/>
        <w:gridCol w:w="278"/>
        <w:gridCol w:w="278"/>
        <w:gridCol w:w="372"/>
      </w:tblGrid>
      <w:tr>
        <w:trPr/>
        <w:tc>
          <w:tcPr>
            <w:tcW w:w="101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 available-for-sale: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municipal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mortgage-backed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24.0 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23.4 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38.2 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35.9 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mortgage and asset-backed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16.8 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and obligations guaranteed by the U.S. government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 available-for-sale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100.0 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100.0 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composition of the Company’s portfolio of fixed maturity securities by rating as of December 31, 2023:</w:t>
      </w:r>
    </w:p>
    <w:tbl>
      <w:tblPr>
        <w:tblW w:w="6490" w:type="dxa"/>
        <w:jc w:val="left"/>
        <w:tblInd w:w="0" w:type="dxa"/>
        <w:tblLayout w:type="fixed"/>
        <w:tblCellMar>
          <w:top w:w="28" w:type="dxa"/>
          <w:left w:w="28" w:type="dxa"/>
          <w:bottom w:w="28" w:type="dxa"/>
          <w:right w:w="28" w:type="dxa"/>
        </w:tblCellMar>
      </w:tblPr>
      <w:tblGrid>
        <w:gridCol w:w="1242"/>
        <w:gridCol w:w="1094"/>
        <w:gridCol w:w="1098"/>
        <w:gridCol w:w="109"/>
        <w:gridCol w:w="109"/>
        <w:gridCol w:w="109"/>
        <w:gridCol w:w="211"/>
        <w:gridCol w:w="976"/>
        <w:gridCol w:w="109"/>
        <w:gridCol w:w="109"/>
        <w:gridCol w:w="109"/>
        <w:gridCol w:w="109"/>
        <w:gridCol w:w="278"/>
        <w:gridCol w:w="278"/>
        <w:gridCol w:w="550"/>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Standard &amp; Poor’s or Equivalent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BBB and unrated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portfolio of available-for-sale fixed maturity securities contained corporate fixed maturity securities with a fair value of $505.7 million. A summary of these securities by industry segment is shown below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tbl>
      <w:tblPr>
        <w:tblW w:w="5061" w:type="dxa"/>
        <w:jc w:val="left"/>
        <w:tblInd w:w="0" w:type="dxa"/>
        <w:tblLayout w:type="fixed"/>
        <w:tblCellMar>
          <w:top w:w="28" w:type="dxa"/>
          <w:left w:w="28" w:type="dxa"/>
          <w:bottom w:w="28" w:type="dxa"/>
          <w:right w:w="28" w:type="dxa"/>
        </w:tblCellMar>
      </w:tblPr>
      <w:tblGrid>
        <w:gridCol w:w="752"/>
        <w:gridCol w:w="662"/>
        <w:gridCol w:w="670"/>
        <w:gridCol w:w="109"/>
        <w:gridCol w:w="109"/>
        <w:gridCol w:w="109"/>
        <w:gridCol w:w="211"/>
        <w:gridCol w:w="826"/>
        <w:gridCol w:w="109"/>
        <w:gridCol w:w="109"/>
        <w:gridCol w:w="109"/>
        <w:gridCol w:w="109"/>
        <w:gridCol w:w="307"/>
        <w:gridCol w:w="309"/>
        <w:gridCol w:w="561"/>
      </w:tblGrid>
      <w:tr>
        <w:trPr/>
        <w:tc>
          <w:tcPr>
            <w:tcW w:w="75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Industry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Discretionary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Staples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Corporate available-for-sale fixed maturity securities include publicly traded securities and privately placed bonds as shown below as of December 31, 2023:</w:t>
      </w:r>
    </w:p>
    <w:tbl>
      <w:tblPr>
        <w:tblW w:w="4416" w:type="dxa"/>
        <w:jc w:val="left"/>
        <w:tblInd w:w="0" w:type="dxa"/>
        <w:tblLayout w:type="fixed"/>
        <w:tblCellMar>
          <w:top w:w="28" w:type="dxa"/>
          <w:left w:w="28" w:type="dxa"/>
          <w:bottom w:w="28" w:type="dxa"/>
          <w:right w:w="28" w:type="dxa"/>
        </w:tblCellMar>
      </w:tblPr>
      <w:tblGrid>
        <w:gridCol w:w="520"/>
        <w:gridCol w:w="458"/>
        <w:gridCol w:w="461"/>
        <w:gridCol w:w="109"/>
        <w:gridCol w:w="109"/>
        <w:gridCol w:w="109"/>
        <w:gridCol w:w="211"/>
        <w:gridCol w:w="826"/>
        <w:gridCol w:w="109"/>
        <w:gridCol w:w="109"/>
        <w:gridCol w:w="109"/>
        <w:gridCol w:w="109"/>
        <w:gridCol w:w="307"/>
        <w:gridCol w:w="309"/>
        <w:gridCol w:w="56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Public/Private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Publicly traded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placed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investments in fixed maturity securities summarized by contractual maturity are as follows:</w:t>
      </w:r>
    </w:p>
    <w:tbl>
      <w:tblPr>
        <w:tblW w:w="7768" w:type="dxa"/>
        <w:jc w:val="left"/>
        <w:tblInd w:w="0" w:type="dxa"/>
        <w:tblLayout w:type="fixed"/>
        <w:tblCellMar>
          <w:top w:w="28" w:type="dxa"/>
          <w:left w:w="28" w:type="dxa"/>
          <w:bottom w:w="28" w:type="dxa"/>
          <w:right w:w="28" w:type="dxa"/>
        </w:tblCellMar>
      </w:tblPr>
      <w:tblGrid>
        <w:gridCol w:w="1210"/>
        <w:gridCol w:w="1060"/>
        <w:gridCol w:w="1075"/>
        <w:gridCol w:w="211"/>
        <w:gridCol w:w="976"/>
        <w:gridCol w:w="109"/>
        <w:gridCol w:w="109"/>
        <w:gridCol w:w="109"/>
        <w:gridCol w:w="109"/>
        <w:gridCol w:w="211"/>
        <w:gridCol w:w="976"/>
        <w:gridCol w:w="109"/>
        <w:gridCol w:w="109"/>
        <w:gridCol w:w="109"/>
        <w:gridCol w:w="109"/>
        <w:gridCol w:w="307"/>
        <w:gridCol w:w="309"/>
        <w:gridCol w:w="561"/>
      </w:tblGrid>
      <w:tr>
        <w:trPr/>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25.8 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18.4 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11.9 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59.2 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24.0 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Other income and expense items netted to income of $424,000 and expense of $244,000 for the years ended December 31, 2023 and 2022, respectively. I</w:t>
      </w:r>
      <w:r>
        <w:rPr>
          <w:rFonts w:ascii="Times New Roman;sans-serif" w:hAnsi="Times New Roman;sans-serif"/>
          <w:b w:val="false"/>
          <w:color w:val="231F20"/>
          <w:sz w:val="20"/>
        </w:rPr>
        <w:t xml:space="preserve">ncluded in 2023 are </w:t>
      </w:r>
      <w:r>
        <w:rPr>
          <w:rFonts w:ascii="Times New Roman;sans-serif" w:hAnsi="Times New Roman;sans-serif"/>
          <w:b w:val="false"/>
          <w:color w:val="000000"/>
          <w:sz w:val="20"/>
        </w:rPr>
        <w:t xml:space="preserve">a $2.2 million gain on the sale of the renewal rights to the IRWC business in the Specialty Admitted Insurance segment, $1.3 million of broker incentive rebates in the Excess and Surplus Lines segment, and $693,000 of income related to interest income from trust preferred securities and distributions from a joint venture interest, partially offset by non-operating expenses of $3.8 million in the current year primarily consisting of legal fees related to a purported class action lawsuit and legal and other professional fees and other expenses related to various strategic initiatives including the sale of renewal rights to the IRWC business in the Specialty Admitted Insurance segment. For 2022, the expense of $244,000 included non-operating expenses of $797,000 primarily consisting of legal fees related to a purported class action lawsuit and $553,000 of income primarily related to interest income from trust preferred securities and distributions from a joint venture interest.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$24.6 million and $13.9 million for the years ended December 31, 2023 and 2022, respectively. The increase reflects the impact of rising interest rates on our variable rate senior and trust preferred debt. See “—Liquidity and Capital Resources—Sources and Uses of Funds” for information regarding our senior debt facilities and trust preferred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Amortization of Intangibles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$363,000 of amortization of intangibles in each of the years ended December 31, 2023 and 2022.</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Goodwill and Impairment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test goodwill and other intangible assets in each operating segment for impairment at least annually. The fair value of the reporting units is determined by weighting the results of a discounted cash flow analysis and a valuation derived from a market-based approach. Intangible assets are valued using various methodologies. The projection of future cash flows is dependent upon assumptions on the future levels of income as well as business trends, prospects and market and economic conditions.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perform this assessment to determine whether there has been any impairment in the value of goodwill or intangible assets by comparing its fair value to the net carrying value of the reporting units. If the carrying value exceeds its estimated fair value, an impairment loss is recognized and the asset is written down accordingly.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2023, the Company completed the sale of the renewal rights to the IRWC business in the Specialty Admitted Insurance segment. Upon closing of the transaction, the Company recognized an impairment charge of $2.5 million related to the trademark intangible asset associated with the IRWC business.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completed its impairment tests and fair value analysis for goodwill and other intangible assets during the fourth quarter of 2023 and 2022. No impairment was present for the years ended December 31, 2023 or 2022 except for the $2.5 million related to the trademark intangible asset as mentioned above.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reported by country and the respective tax rates imposed by each tax jurisdiction. For the years ended December 31, 2023 and 2022, our effective tax rate was 29.6% and 34.6%, respectively. The Company does not receive a U.S. tax deduction for losses in Bermuda. Bermuda had losses in both years because of Bermuda holding company expenses.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deferred tax asset of $16.6 million at December 31, 2023 associated with unrealized losses in the Company’s available-for-sale fixed maturity securities portfolio. The unrealized losses are attributable to rising market interest rates and other economic factors rather than credit-related factors of the issuers. The Company does not intend to sell available-for-sale debt securities in an unrealized loss position, and it is not “more likely than not” that the Company will be required to sell these securities before a recovery in their fair value to their amortized cost basis occurs. The Company’s hold to recovery assertion related to investments in an unrealized loss position is considered a tax planning strategy. Both the cash generated by the Company from operating activities and the unused capacity on the Company’s unsecured revolving credit facilities reduce the likelihood of having to sell debt securities in an unrealized loss position. As a result, the Company has concluded that no valuation allowance is required for the deferred tax asset associated with unrealized losses on its investments at December 31, 2023.</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2022 Compared to Year Ended December 31,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our results for the year ended December 31, 2022 as compared to year ended December 31, 2021, please refer to our 2021 Form 10-K filed with the SEC on March 1, 2022.</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Sources and Uses of Funds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Our sources of funds consist primarily of premiums written, investment income, reinsurance recoveries, proceeds from sales and redemptions of investments, borrowings on our credit facilities, and the issuance of common shares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total cash flows including both continuing and discontinued operations, consistent with the presentation in our Consolidated Statements of Cash Flows:</w:t>
      </w:r>
    </w:p>
    <w:tbl>
      <w:tblPr>
        <w:tblW w:w="9596" w:type="dxa"/>
        <w:jc w:val="left"/>
        <w:tblInd w:w="0" w:type="dxa"/>
        <w:tblLayout w:type="fixed"/>
        <w:tblCellMar>
          <w:top w:w="28" w:type="dxa"/>
          <w:left w:w="28" w:type="dxa"/>
          <w:bottom w:w="28" w:type="dxa"/>
          <w:right w:w="28" w:type="dxa"/>
        </w:tblCellMar>
      </w:tblPr>
      <w:tblGrid>
        <w:gridCol w:w="1950"/>
        <w:gridCol w:w="1712"/>
        <w:gridCol w:w="1722"/>
        <w:gridCol w:w="211"/>
        <w:gridCol w:w="826"/>
        <w:gridCol w:w="109"/>
        <w:gridCol w:w="109"/>
        <w:gridCol w:w="109"/>
        <w:gridCol w:w="109"/>
        <w:gridCol w:w="211"/>
        <w:gridCol w:w="826"/>
        <w:gridCol w:w="109"/>
        <w:gridCol w:w="109"/>
        <w:gridCol w:w="109"/>
        <w:gridCol w:w="109"/>
        <w:gridCol w:w="211"/>
        <w:gridCol w:w="901"/>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provided by (used 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 (excluding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excluding restricted cash equivalents of $118.7 million and $221.5 million for the years ended December 31, 2023 and 2022, respectively, was driven by the growth in our U.S. segments and the collection of premiums receivable at a quicker rate than payments of loss and loss adjustment expenses. The cash provided by operating activities declined in 2023 relative to the prior year due to the suspension of underwriting activities of JRG Re in 2023. Cash used in operating activities excluding restricted cash equivalents of $155.6 million for the year ended December 31, 2021 primarily reflects the outflow of funds to effect the Commercial Auto LPT in the third quarter of that year. Cash provided by (used in) operating activities from continuing operations excluding restricted cash equivalents was $234.6 million, $246.6 million, and $(134.4) million for the years ended December 31, 2023, 2022, and 2021, respectively, compared to cash used in operating activities of discontinued operations of $115.9 million, $25.1 million, and $21.2 million in the respective years. Because JRG Re is currently in run off, we believe that its sale, expected to be completed in the first quarter of 2024, will increase our future cash flows from operations relative to 2023. Proceeds from the sale of JRG Re will support additional growth in our U.S. continuing operations.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2023, cash provided by investing activities of $16.7 million was driven by the suspension of underwriting activities of JRG Re and the withdrawal of invested assets in that company to fund claims and operating expenses. Cash used in investing activities for 2022 of $328.2 million reflects our efforts to enhance the yield in our investment portfolio by investing available cash and cash equivalents into higher yielding investments. Cash provided by investing activities of $35.8 million for the year ended December 31, 2021 was primarily due to the investments sold and funds withdrawn from our investment portfolio to effect the Commercial Auto LPT in the third quarter of that year. Cash and cash equivalents (excluding restricted cash equivalents) comprised 13.9%, 7.3%, and 8.2% of total cash and invested assets at December 31, 2023, 2022, and 2021, respectively. Cash (used in) provided by investing activities from continuing operations was $(98.4) million, $(336.7) million, and $8.1 million for the years ended December 31, 2023, 2022, and 2021, respectively, compared to cash provided by investing activities of discontinued operations of $115.1 million, $8.5 million, and $27.7 million in the respective years. Because JRG Re is currently in run off, we believe that its sale, expected to be completed in the first quarter of 2024, will increase our future cash flows from operations relative to 2023 which will lead to higher amounts invested and more cash used in investing activities. Proceeds from the sale of JRG Re supporting additional growth in our U.S. continuing operations are expected to be invested and will increase the invested assets of our continuing operations.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provided by financing activities above relate entirely to continuing operations for all years. Cash used in financing activities of $21.1 million for the year ended December 31, 2023 includes $7.7 million of dividends paid to common shareholders, $10.5 million of dividends paid on the Series A Preferred Shares, $1.1 million of paid issuance costs related to the amendment of the 2013 Facility in July, 2023, and $1.7 million of payroll taxes withheld and remitted on net settlement of RSUs. Cash provided by financing activities of $89.7 million for the year ended December 31, 2022 includes $144.9 million of net proceeds (after expenses) from the issuance and sale of 150,000 Series A Preferred Shares on March 1, 2022. The proceeds were used for general corporate purposes and to repay $40.0 million of loans outstanding on the 2017 Facility (as defined below) on March 28, 2022. Financing activities for the year ended December 31, 2022 also include $7.8 million of dividends paid to common shareholders, $6.1 million of dividends paid on the Series A Preferred Shares, and $1.3 million of payroll taxes withheld and remitted on net settlement of RSUs. Cash provided by financing activities of $147.7 million for the year ended December 31, 2021 includes $192.1 million of net proceeds (before expenses) from the May 10, 2021 public offering of common shares which was used for general corporate purposes, $43.2 million of dividends paid to common shareholders, $3.1 million of payroll taxes withheld and remitted on net settlement of RSUs, and $1.9 million of proceeds from the issuance of common shares resulting from share option exercises.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permitted under the agreements establishing the Indemnity Trust and the LPT Trust, we have withdrawn collateral from the Indemnity Trust and the LPT Trust to fund the Loss Fund Trust as required under the Administrative Services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val="false"/>
          <w:color w:val="000000"/>
          <w:sz w:val="20"/>
        </w:rPr>
        <w:t xml:space="preserve">Amounts on deposit in the Loss Fund Trust are included in restricted cash equivalents on the Company's consolidated balance sheet. See </w:t>
      </w:r>
      <w:r>
        <w:rPr>
          <w:rFonts w:ascii="Times New Roman;sans-serif" w:hAnsi="Times New Roman;sans-serif"/>
          <w:b w:val="false"/>
          <w:i/>
          <w:color w:val="000000"/>
          <w:sz w:val="20"/>
        </w:rPr>
        <w:t xml:space="preserve">Amounts Recoverable from an Indemnifying Party and Reinsurer on Legacy Commercial Auto Book </w:t>
      </w:r>
      <w:r>
        <w:rPr>
          <w:rFonts w:ascii="Times New Roman;sans-serif" w:hAnsi="Times New Roman;sans-serif"/>
          <w:b w:val="false"/>
          <w:color w:val="000000"/>
          <w:sz w:val="20"/>
        </w:rPr>
        <w:t>below.</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“Regulation—U.S. Insurance Regulation—State Regulation” for additional information. The maximum amount of dividends available to the U.S. holding company from our U.S. insurance subsidiaries during 2023 without regulatory approval is $107.1 million.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See Item 1- “Regulation- Bermuda Insurance Regulation- Restrictions on Dividends and Distributions” for additional information. Based on that calculation, the maximum amount of dividends available to us from JRG Re without regulatory approval in 2023 is calculated to be approximately $90.3 million. However, any dividend payment is contingent upon continued compliance with Bermuda regulatory requirements, including but not limited to the enhanced solvency requirement calculations.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Series A Preferred Shares are entitled to a dividend at the initial rate of 7% of the $1,000 liquidation preference per share (the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accrue and are payable quarterly. For the years ended December 31, 2023 and 2022, cash dividends of $10.5 million and $8.8 million were declared, respectively, of which $2.6 million was payable at December 31 of both years.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Bermuda holding company had $2.0 million of cash and cash equivalent assets. Our U.S. holding company had $15.2 million of cash and invested assets at December 31, 2023, comprised of cash and cash equivalents of $13.8 million and other invested assets of $1.4 million, which are not subject to regulatory restrictions. Additionally, our U.K. intermediate holding company had no invested assets and cash of less than $10,000 at December 31, 2023.</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$315.0 million senior revolving credit facility (as amended or amended and restated, the “2013 Facility”). The 2013 Facility is comprised of the following at December 31, 2023:</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 $102.5 million secured revolving facility utilized by JRG Re to issue letters of credit for the benefit of third-party reinsureds. This portion of our credit facility is secured by our investment securities. At December 31, 2023, the Company had $42.7 million of letters of credit issued under the secured facility.</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 $212.5 million unsecured revolving facility to meet the working capital needs of the Company. All unpaid principal on the revolver is due at maturity. Interest accrues quarterly and is payable in arrears, currently at 1-month SOFR (the Company, per the terms of the credit agreement, can elect between one, three, or six month interest periods) plus a 0.1% SOFR index adjustment and a SOFR margin which is currently 1.75% and is subject to change according to terms in the credit agreement. At December 31, 2023 and 2022, the Company had a drawn balance of $185.8 million outstanding on the unsecured revolver.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2013 Facility has been amended from time to time since its inception in 2013.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July 7, 2023, the Company entered into a Third Amended and Restated Credit Agreement for its $315.0 million senior revolving credit facility which, among other things, extended the maturity date of such facility until July 7, 2026 and increased the applicable interest rate and letter of credit fees.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2013 Facility contains certain financial and other covenants (including minimum net worth, maximum ratio of total adjusted debt outstanding to total capitalization, and financial strength ratings) with which the Company was in compliance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val="false"/>
          <w:color w:val="000000"/>
          <w:sz w:val="20"/>
        </w:rPr>
        <w:t>December 31, 2023, with the exception of a default of the financial strength rating covenant due to the downgrade of JRG Re by A.M. Best on December 20, 2023 from “A-” (Excellent) to “B++” (good). The financial strength rating covenant requires that each of our regulated insurance subsidiaries maintain an A.M. Best rating not lower than “A-</w:t>
      </w:r>
      <w:r>
        <w:rPr>
          <w:color w:val="000000"/>
        </w:rPr>
        <w:t xml:space="preserve">” </w:t>
      </w:r>
      <w:r>
        <w:rPr>
          <w:rFonts w:ascii="Times New Roman;sans-serif" w:hAnsi="Times New Roman;sans-serif"/>
          <w:b w:val="false"/>
          <w:color w:val="000000"/>
          <w:sz w:val="20"/>
        </w:rPr>
        <w:t>(Excellent). Our lenders have waived this default through March 1, 2025, and in any event, we expect it to be cured upon the closing of the sale of JRG Re, at which time we expect JRG Re to be removed as a borrower under the 2013 Facility.</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December 31, 2023, with the exception of a default of the financial strength rating covenant due to the downgrade of JRG Re by A.M. Best on December 20, 2023 from “A-” (Excellent) to “B++” (good).</w:t>
      </w:r>
      <w:r>
        <w:rPr>
          <w:color w:val="000000"/>
        </w:rPr>
        <w:t xml:space="preserve"> </w:t>
      </w:r>
      <w:r>
        <w:rPr>
          <w:rFonts w:ascii="Times New Roman;sans-serif" w:hAnsi="Times New Roman;sans-serif"/>
          <w:b w:val="false"/>
          <w:color w:val="000000"/>
          <w:sz w:val="20"/>
        </w:rPr>
        <w:t>The financial strength rating covenant requires that each of our regulated insurance subsidiaries maintain an A.M. Best rating not lower than “A-</w:t>
      </w:r>
      <w:r>
        <w:rPr>
          <w:color w:val="000000"/>
        </w:rPr>
        <w:t xml:space="preserve">” </w:t>
      </w:r>
      <w:r>
        <w:rPr>
          <w:rFonts w:ascii="Times New Roman;sans-serif" w:hAnsi="Times New Roman;sans-serif"/>
          <w:b w:val="false"/>
          <w:color w:val="000000"/>
          <w:sz w:val="20"/>
        </w:rPr>
        <w:t>(Excellent).</w:t>
      </w:r>
      <w:r>
        <w:rPr>
          <w:color w:val="000000"/>
        </w:rPr>
        <w:t xml:space="preserve"> </w:t>
      </w:r>
      <w:r>
        <w:rPr>
          <w:rFonts w:ascii="Times New Roman;sans-serif" w:hAnsi="Times New Roman;sans-serif"/>
          <w:b w:val="false"/>
          <w:color w:val="000000"/>
          <w:sz w:val="20"/>
        </w:rPr>
        <w:t>Our lenders have waived this default through March 1, 2025, and in any event, we expect it to be cured upon the closing of the sale of JRG Re, at which time we expect JRG Re to be removed as a borrower under the 2017 Facility. The loans and letters of credit made or issued under the revolving line of credit of the 2017 Facility may be used to finance the borrowers' general corporate purposes. The 2017 Facility has been amended from time to time since its inception in 2017, including on November 8, 2019 when the Company entered into a First Amendment to Credit Agreement which, among other things, lowered the applicable interest rate and modified certain negative covenants to be less restrictive. Interest accrues and is payable in arrears at variable rates which are subject to change according to terms in the credit agreement. At December 31, 2023, unsecured loans of $21.5 million and secured letters of credit totaling $25.5 million were outstanding on the 2017 Facility. During the three months ended March 31, 2022, the Company repaid $40.0 million of loans that were outstanding under the 2017 Facility.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to have reduced borrowing needs following the expected disposition of JRG Re (See “Recent Strategic Actions—Sale of JRG Re” above), and therefore expects to reduce the size of its 2013 Facility and its 2017 Facility in connection with the removal of JRG Re as a borrower thereunder as referenced above.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On May 26, 2004, we issued $15.0 million of senior debt due April 29, 2034. The senior debt is not redeemable by the holder or subject to sinking fund requirements. Interest accrues quarterly and is payable in arrears at a floating rate per annum equal to the 3-month SOFR and 3.85% margin plus a spread adjustment of 0.26%. This senior debt is redeemable at par prior to its stated maturity at our option in whole or in part. The terms of the senior debt contain certain covenants, with which we are in compliance at December 31, 2023, and which, among other things, restrict our ability to assume senior indebtedness secured by our U.S. holding company's common stock or its subsidiaries' capital stock or to issue shares of its subsidiaries' capital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nature and terms of the junior subordinated debt and trust preferred securities outstanding at December 31, 2023 (including the Company’s repurchase of a portion of these trust preferred securities):</w:t>
      </w:r>
    </w:p>
    <w:tbl>
      <w:tblPr>
        <w:tblW w:w="10205" w:type="dxa"/>
        <w:jc w:val="left"/>
        <w:tblInd w:w="0" w:type="dxa"/>
        <w:tblLayout w:type="fixed"/>
        <w:tblCellMar>
          <w:top w:w="28" w:type="dxa"/>
          <w:left w:w="28" w:type="dxa"/>
          <w:bottom w:w="28" w:type="dxa"/>
          <w:right w:w="28" w:type="dxa"/>
        </w:tblCellMar>
      </w:tblPr>
      <w:tblGrid>
        <w:gridCol w:w="1180"/>
        <w:gridCol w:w="889"/>
        <w:gridCol w:w="902"/>
        <w:gridCol w:w="364"/>
        <w:gridCol w:w="364"/>
        <w:gridCol w:w="339"/>
        <w:gridCol w:w="109"/>
        <w:gridCol w:w="109"/>
        <w:gridCol w:w="109"/>
        <w:gridCol w:w="494"/>
        <w:gridCol w:w="416"/>
        <w:gridCol w:w="367"/>
        <w:gridCol w:w="109"/>
        <w:gridCol w:w="109"/>
        <w:gridCol w:w="109"/>
        <w:gridCol w:w="364"/>
        <w:gridCol w:w="364"/>
        <w:gridCol w:w="339"/>
        <w:gridCol w:w="109"/>
        <w:gridCol w:w="109"/>
        <w:gridCol w:w="109"/>
        <w:gridCol w:w="494"/>
        <w:gridCol w:w="416"/>
        <w:gridCol w:w="367"/>
        <w:gridCol w:w="109"/>
        <w:gridCol w:w="109"/>
        <w:gridCol w:w="109"/>
        <w:gridCol w:w="398"/>
        <w:gridCol w:w="350"/>
        <w:gridCol w:w="490"/>
      </w:tblGrid>
      <w:tr>
        <w:trPr/>
        <w:tc>
          <w:tcPr>
            <w:tcW w:w="11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Franklin</w:t>
              <w:br/>
              <w:t>Holdings II</w:t>
              <w:br/>
              <w:t>(Bermuda)</w:t>
              <w:br/>
              <w:t>Capital</w:t>
              <w:br/>
              <w:t>Trust I</w:t>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 date</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26,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11,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10, 2008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trust preferred securities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$30,000</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junior subordinated debt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$30,928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Carrying amount of junior subordinated debt net of repurchases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Maturity date of junior subordinated debt, unless accelerated earlier</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24,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15, 2038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common stock</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per annum</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4.3%</w:t>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All of the junior subordinated debt is currently redeemable at 100.0% of the unpaid principal amount at our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junior subordinated debt contains certain covenants with which we are in compliance as of December 31, 2023.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December 31, 2022, the Company's leverage ratio was 26.0% and 22.9%, respectively. The leverage ratio is defined in our senior credit agreements as the ratio of adjusted consolidated debt to total capital. Adjusted consolidated debt treats trust preferred securities as equity capital up to 15% of total capital. Total capital is defined as total debt plus tangible equity excluding accumulated other comprehensive income. The maximum leverage ratio permitted by the agreements is 35.0%.</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Ceded Reinsurance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 Company also utilizes facultative reinsurance to reduce the amount of exposure it retains on individual accounts according to its guidelines for accepting risk across various industry segments, locations and types of exposure. For the years ended December 31, 2023, 2022, and 2021 our net premium retention was 46.0%, 47.1% and 44.2%, respectively.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Excess and Surplus Lines segment’s ceded reinsurance in place as of December 31, 2023:</w:t>
      </w:r>
    </w:p>
    <w:tbl>
      <w:tblPr>
        <w:tblW w:w="5170" w:type="dxa"/>
        <w:jc w:val="left"/>
        <w:tblInd w:w="0" w:type="dxa"/>
        <w:tblLayout w:type="fixed"/>
        <w:tblCellMar>
          <w:top w:w="28" w:type="dxa"/>
          <w:left w:w="28" w:type="dxa"/>
          <w:bottom w:w="28" w:type="dxa"/>
          <w:right w:w="28" w:type="dxa"/>
        </w:tblCellMar>
      </w:tblPr>
      <w:tblGrid>
        <w:gridCol w:w="596"/>
        <w:gridCol w:w="525"/>
        <w:gridCol w:w="528"/>
        <w:gridCol w:w="109"/>
        <w:gridCol w:w="109"/>
        <w:gridCol w:w="109"/>
        <w:gridCol w:w="933"/>
        <w:gridCol w:w="933"/>
        <w:gridCol w:w="1328"/>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 Retention</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$3.2 million per occurrence.</w:t>
            </w:r>
            <w:r>
              <w:rPr>
                <w:rFonts w:ascii="Times New Roman;sans-serif" w:hAnsi="Times New Roman;sans-serif"/>
                <w:b w:val="false"/>
                <w:color w:val="000000"/>
                <w:sz w:val="13"/>
              </w:rPr>
              <w:t>(1)</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Primary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$1.38 million per occurrence.</w:t>
            </w:r>
            <w:r>
              <w:rPr>
                <w:rFonts w:ascii="Times New Roman;sans-serif" w:hAnsi="Times New Roman;sans-serif"/>
                <w:b w:val="false"/>
                <w:color w:val="000000"/>
                <w:sz w:val="13"/>
              </w:rPr>
              <w:t>(2)</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$1.98 million per occurrence.</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$5.0 million per risk.</w:t>
            </w:r>
            <w:r>
              <w:rPr>
                <w:rFonts w:ascii="Times New Roman;sans-serif" w:hAnsi="Times New Roman;sans-serif"/>
                <w:b w:val="false"/>
                <w:color w:val="000000"/>
                <w:sz w:val="13"/>
              </w:rPr>
              <w:t>(3)</w:t>
            </w:r>
          </w:p>
        </w:tc>
      </w:tr>
    </w:tbl>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Excluding Excess Casualty.</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    Total exposure to any one claim is generally $690,000.</w:t>
      </w:r>
    </w:p>
    <w:p>
      <w:pPr>
        <w:pStyle w:val="TextBody"/>
        <w:bidi w:val="0"/>
        <w:spacing w:lineRule="auto" w:line="288" w:before="0" w:after="18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(3)    The property catastrophe reinsurance treaty has a limit of $20.0 million per event with one reinstatement.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we write a small book of excess property insurance, but we do not write primary property insurance. The Excess and Surplus Lines segment has a specific proportional quota share treaty in effect to cover property risks. The proportional quota share treaty along with facultative reinsurance helps ensure that our net retained limit per risk will be $5.0 million or less.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Also in our Excess and Surplus Lines segment, a specialty casualty treaty providing $9.0 million in excess of $2.0 million coverage is subject to reinstatement premiums for treaty years spanning July 1, 2017 through July 1, 2022.</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Based upon the modeling of our Excess and Surplus Lines and Specialty Admitted segments, it would take an event greater than the 1 in 1,000 year PML to exhaust our $20.0 million property catastrophe reinsurance. In the event of a catastrophe loss exhausting our $20.0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The Commercial Auto LPT with Aleka reinsures substantially all of the Excess and Surplus Lines segment’s legacy portfolio of commercial auto policies previously issued to Rasier. See “</w:t>
      </w:r>
      <w:r>
        <w:rPr>
          <w:rFonts w:ascii="Times New Roman;sans-serif" w:hAnsi="Times New Roman;sans-serif"/>
          <w:b w:val="false"/>
          <w:i/>
          <w:color w:val="000000"/>
          <w:sz w:val="20"/>
        </w:rPr>
        <w:t>Amounts Recoverable from an Indemnifying Party and Reinsurer on the Legacy Commercial Auto Book</w:t>
      </w:r>
      <w:r>
        <w:rPr>
          <w:color w:val="000000"/>
        </w:rPr>
        <w:t xml:space="preserve">” </w:t>
      </w:r>
      <w:r>
        <w:rPr>
          <w:rFonts w:ascii="Times New Roman;sans-serif" w:hAnsi="Times New Roman;sans-serif"/>
          <w:b w:val="false"/>
          <w:color w:val="000000"/>
          <w:sz w:val="20"/>
        </w:rPr>
        <w:t>below for further information on this reinsurance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Specialty Admitted Insurance segment’s ceded reinsurance in place as of December 31, 2023:</w:t>
      </w:r>
    </w:p>
    <w:tbl>
      <w:tblPr>
        <w:tblW w:w="10205" w:type="dxa"/>
        <w:jc w:val="left"/>
        <w:tblInd w:w="0" w:type="dxa"/>
        <w:tblLayout w:type="fixed"/>
        <w:tblCellMar>
          <w:top w:w="28" w:type="dxa"/>
          <w:left w:w="28" w:type="dxa"/>
          <w:bottom w:w="28" w:type="dxa"/>
          <w:right w:w="28" w:type="dxa"/>
        </w:tblCellMar>
      </w:tblPr>
      <w:tblGrid>
        <w:gridCol w:w="1034"/>
        <w:gridCol w:w="685"/>
        <w:gridCol w:w="619"/>
        <w:gridCol w:w="109"/>
        <w:gridCol w:w="109"/>
        <w:gridCol w:w="109"/>
        <w:gridCol w:w="2265"/>
        <w:gridCol w:w="2164"/>
        <w:gridCol w:w="3111"/>
      </w:tblGrid>
      <w:tr>
        <w:trPr/>
        <w:tc>
          <w:tcPr>
            <w:tcW w:w="10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Coverage</w:t>
            </w:r>
          </w:p>
        </w:tc>
      </w:tr>
      <w:tr>
        <w:trPr/>
        <w:tc>
          <w:tcPr>
            <w:tcW w:w="2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of loss coverage for $29.5 million in excess of $500,000.</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50%-90% of limits up to $1.5 million liability and $7.5 million physical damage per occurrence.</w:t>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Liability &amp; Professional Liability –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61.3%-100% of limits up to $2.0 million per occurrence.</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Umbrella and Excess Casualty -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at least 85% of limits up to $10.0 million per occurrence, and 82% of excess of loss coverage for $5.0 million in excess of $10.0 million.</w:t>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within Package -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$40.0 million per risk.</w:t>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$58.9 million per occurrence.</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80% of limits up to $25 million liability, $5.0 million hull, and $5.0 million spares per occurrence, each aircraft; and excess of loss coverage for up to $8.7M excess of $300,000 of our 20% share of the quota share each occurrence.</w:t>
            </w:r>
          </w:p>
        </w:tc>
      </w:tr>
    </w:tbl>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$20.0 million in excess of $5.0 million per occurrence to manage its property exposure to an approximate 1 in 1,000 year PML.</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the aggregate, we believe our pre-tax group-wide PML from a 1 in 1,000 year property catastrophe event would not exceed 2.5% of shareholders’ equity, inclusive of reinstatement premiums payable.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 entered into the Casualty Re LPT with FRL to reinsure the majority of the segment risk, which closed on March 31, 2022. Under the terms of the transaction,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also had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covered $10.0 million in excess of a $2.0 million retention for loss occurrences within the treaty term. This coverage was put into runoff effective July 1, 2022.</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2020, we purchased an additional $10.0 million in claims made coverage for excess policy limits and extra contractual obligations exposures above the clash and contingency treaty for the period 2014 to present. This treaty had one reinstatement and expired on December 31, 2022.</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December 31, 2023, the allowance for credit losses on reinsurance recoverables was $660,000.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reinsurance recoverables on unpaid losses of $1,358.5 million (net of a $660,000 allowance for credit losses) and reinsurance recoverables on paid losses of $158.0 million, and all material recoverable amounts were from companies with A.M. Best ratings of “A" (Excellent) or better, or are collateralized by the reinsurer for our benefit through letters of credit or funds on deposit in trust accounts.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most significant reinsurers by amount of reinsurance recoverables and the amount of reinsurance recoverables pertaining to each such reinsurer as well as its A.M. Best rating as of December 31, 2023:</w:t>
      </w:r>
    </w:p>
    <w:tbl>
      <w:tblPr>
        <w:tblW w:w="7958" w:type="dxa"/>
        <w:jc w:val="left"/>
        <w:tblInd w:w="0" w:type="dxa"/>
        <w:tblLayout w:type="fixed"/>
        <w:tblCellMar>
          <w:top w:w="28" w:type="dxa"/>
          <w:left w:w="28" w:type="dxa"/>
          <w:bottom w:w="28" w:type="dxa"/>
          <w:right w:w="28" w:type="dxa"/>
        </w:tblCellMar>
      </w:tblPr>
      <w:tblGrid>
        <w:gridCol w:w="1540"/>
        <w:gridCol w:w="1354"/>
        <w:gridCol w:w="1366"/>
        <w:gridCol w:w="109"/>
        <w:gridCol w:w="109"/>
        <w:gridCol w:w="109"/>
        <w:gridCol w:w="244"/>
        <w:gridCol w:w="1130"/>
        <w:gridCol w:w="126"/>
        <w:gridCol w:w="109"/>
        <w:gridCol w:w="109"/>
        <w:gridCol w:w="109"/>
        <w:gridCol w:w="452"/>
        <w:gridCol w:w="452"/>
        <w:gridCol w:w="640"/>
      </w:tblGrid>
      <w:tr>
        <w:trPr/>
        <w:tc>
          <w:tcPr>
            <w:tcW w:w="154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Reinsurer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Reinsurance</w:t>
              <w:br/>
              <w:t>Recoverable as of</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 Best Rating</w:t>
              <w:br/>
              <w:t>December 31, 2023</w:t>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Reinsurance America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Berkley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Aleka Insurance Company (Commercial Auto LPT)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Unrated</w:t>
            </w:r>
            <w:r>
              <w:rPr>
                <w:rFonts w:ascii="Times New Roman;sans-serif" w:hAnsi="Times New Roman;sans-serif"/>
                <w:b w:val="false"/>
                <w:color w:val="000000"/>
                <w:sz w:val="13"/>
              </w:rPr>
              <w:t>(1)</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Hannover Ruck 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Endurance Assurance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European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w:t>
            </w:r>
            <w:r>
              <w:rPr>
                <w:rFonts w:ascii="Times New Roman;sans-serif" w:hAnsi="Times New Roman;sans-serif"/>
                <w:b w:val="false"/>
                <w:color w:val="000000"/>
                <w:sz w:val="13"/>
              </w:rPr>
              <w:t>(2)</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Munich Reinsurance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Safety National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Aspen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Motors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Top 10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1,358,474 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This reinsurer is unrated. All material reinsurance amounts from this reinsurer are collateralized.</w:t>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    This reinsurer is below A-. All material reinsurance recoverable amounts from this reinsurer are collateralized.</w:t>
      </w:r>
    </w:p>
    <w:p>
      <w:pPr>
        <w:pStyle w:val="TextBody"/>
        <w:bidi w:val="0"/>
        <w:spacing w:lineRule="auto" w:line="288" w:before="0" w:after="12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For the years ended December 31, 2023 and 2022, due to adverse paid and reported loss trends on the legacy Rasier business, the Company recognized adverse prior year development of $64.4 million and $46.7 million, respectively, on the reserves subject to the Commercial Auto LPT, bringing the cumulative amount ceded under the Commercial Auto LPT to $456.2 million at December 31,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Commercial Auto LPT:</w:t>
      </w:r>
    </w:p>
    <w:p>
      <w:pPr>
        <w:pStyle w:val="TextBody"/>
        <w:bidi w:val="0"/>
        <w:spacing w:lineRule="auto" w:line="288" w:before="0" w:after="120"/>
        <w:ind w:left="0" w:right="0" w:firstLine="405"/>
        <w:jc w:val="left"/>
        <w:rPr/>
      </w:pPr>
      <w:r>
        <w:rPr>
          <w:color w:val="000000"/>
        </w:rPr>
        <w:t>•</w:t>
      </w:r>
      <w:r>
        <w:rPr>
          <w:rFonts w:ascii="Times New Roman;sans-serif" w:hAnsi="Times New Roman;sans-serif"/>
          <w:b w:val="false"/>
          <w:color w:val="000000"/>
          <w:sz w:val="20"/>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December 31, 2023, the balance in the Indemnity Trust was $138.4 million, and, together with the balance of the Loss Fund Trust (as defined below) attributable to the Indemnity Agreements as described below, the total balance of collateral securing Rasier’s obligations under the Indemnity Agreements was $183.6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405"/>
        <w:jc w:val="left"/>
        <w:rPr/>
      </w:pPr>
      <w:r>
        <w:rPr>
          <w:color w:val="000000"/>
        </w:rPr>
        <w:t>•</w:t>
      </w:r>
      <w:r>
        <w:rPr>
          <w:rFonts w:ascii="Times New Roman;sans-serif" w:hAnsi="Times New Roman;sans-serif"/>
          <w:b w:val="false"/>
          <w:color w:val="000000"/>
          <w:sz w:val="20"/>
        </w:rPr>
        <w:t>Pursuant to the Commercial Auto LPT, Aleka is required to post collateral equal to 102% of James River's estimate of Aleka's obligations under the Commercial Auto LPT, calculated in accordance with standard actuarial principles and based on reserves recorded in our statutory financial statements. The collateral is provided through a collateral trust arrangement (the “LPT Trust”) established in favor of James River by Aleka. At December 31, 2023, the balance in the LPT Trust was $63.7 million, and, together with the balance of the Loss Fund Trust (as defined below) attributable to the Commercial Auto LPT as described below, the total balance of collateral securing Aleka’s obligations under the Commercial Auto LPT was $83.8 million. At December 31, 2023, the total reinsurance recoverables under the Commercial Auto LPT was $84.5 million (including $78.1 million of unpaid recoverables and $6.4 million of paid recoverables).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the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December 31, 2023, the balance in the Loss Fund Trust was $72.4 million, including $45.2 million representing collateral supporting Rasier’s obligations under the Indemnity Agreements and $20.0 million representing collateral supporting Aleka’s obligations under the Commercial Auto LPT. Funds posted to the Loss Fund Trust are classified as restricted cash equivalents on the Company's balance sheet.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Ratings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A.M. Best financial strength rating for our group’s regulated U.S. insurance subsidiaries is “A-” (Excellent) with a negative outlook. This rating reflects A.M. Best’s opinion of our U.S. insurance subsidiaries’ financial strength, operating 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 On December 20, 2023, A.M. Best announced that it reduced the outlook on our regulated U.S. insurance subsidiaries to negative from stable on the “A-” (Excellent) financial strength rating on such entities following our announcements in November 2023 that we identified a material weakness in our internal control over financial reporting, that we entered into an agreement to sell JRG Re and our announcement that James River Group's board of directors will explore strategic business alternatives. We have since received all required regulatory approvals for the sale of JRG Re and have remediated the material weakness in our internal control over financial reporting.</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U.S. subsidiaries to attract and retain agents and brokers and on the risk profiles of the submissions for insurance that our subsidiaries receive. We believe the “A-” (Excellent) ratings assigned to our U.S. insurance subsidiaries allow our subsidiaries to actively pursue relationships with the agents and brokers identified in their marketing plans.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Series A Preferred Shares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Equity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171,326 common shares in the twelve months ended December 31, 2023 related to vesting of restricted share units (“RSUs”), increasing the total common shares outstanding from 37,470,237 at December 31, 2022 to 37,641,563 at December 31, 2023.</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Share Based Compensation Expense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Company recognized $9.1 million, $8.1 million and $6.7 million, respectively, of share based compensation expense. As of December 31, 2023, the Company had $10.2 million of unrecognized share based compensation expense expected to be charged to earnings over a weighted-average period of 1.7 years.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option activity:</w:t>
      </w:r>
    </w:p>
    <w:tbl>
      <w:tblPr>
        <w:tblW w:w="9756" w:type="dxa"/>
        <w:jc w:val="left"/>
        <w:tblInd w:w="0" w:type="dxa"/>
        <w:tblLayout w:type="fixed"/>
        <w:tblCellMar>
          <w:top w:w="28" w:type="dxa"/>
          <w:left w:w="28" w:type="dxa"/>
          <w:bottom w:w="28" w:type="dxa"/>
          <w:right w:w="28" w:type="dxa"/>
        </w:tblCellMar>
      </w:tblPr>
      <w:tblGrid>
        <w:gridCol w:w="743"/>
        <w:gridCol w:w="654"/>
        <w:gridCol w:w="657"/>
        <w:gridCol w:w="449"/>
        <w:gridCol w:w="451"/>
        <w:gridCol w:w="196"/>
        <w:gridCol w:w="109"/>
        <w:gridCol w:w="109"/>
        <w:gridCol w:w="109"/>
        <w:gridCol w:w="211"/>
        <w:gridCol w:w="616"/>
        <w:gridCol w:w="109"/>
        <w:gridCol w:w="109"/>
        <w:gridCol w:w="109"/>
        <w:gridCol w:w="109"/>
        <w:gridCol w:w="413"/>
        <w:gridCol w:w="413"/>
        <w:gridCol w:w="196"/>
        <w:gridCol w:w="109"/>
        <w:gridCol w:w="109"/>
        <w:gridCol w:w="109"/>
        <w:gridCol w:w="211"/>
        <w:gridCol w:w="616"/>
        <w:gridCol w:w="109"/>
        <w:gridCol w:w="109"/>
        <w:gridCol w:w="109"/>
        <w:gridCol w:w="109"/>
        <w:gridCol w:w="449"/>
        <w:gridCol w:w="451"/>
        <w:gridCol w:w="196"/>
        <w:gridCol w:w="109"/>
        <w:gridCol w:w="109"/>
        <w:gridCol w:w="109"/>
        <w:gridCol w:w="211"/>
        <w:gridCol w:w="61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year</w:t>
            </w:r>
          </w:p>
        </w:tc>
        <w:tc>
          <w:tcPr>
            <w:tcW w:w="9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outstanding options vested over three years and have a contractual life of seven years from the original date of grant.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RSUs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w:t>
      </w:r>
    </w:p>
    <w:tbl>
      <w:tblPr>
        <w:tblW w:w="10205" w:type="dxa"/>
        <w:jc w:val="left"/>
        <w:tblInd w:w="0" w:type="dxa"/>
        <w:tblLayout w:type="fixed"/>
        <w:tblCellMar>
          <w:top w:w="28" w:type="dxa"/>
          <w:left w:w="28" w:type="dxa"/>
          <w:bottom w:w="28" w:type="dxa"/>
          <w:right w:w="28" w:type="dxa"/>
        </w:tblCellMar>
      </w:tblPr>
      <w:tblGrid>
        <w:gridCol w:w="869"/>
        <w:gridCol w:w="764"/>
        <w:gridCol w:w="769"/>
        <w:gridCol w:w="448"/>
        <w:gridCol w:w="450"/>
        <w:gridCol w:w="196"/>
        <w:gridCol w:w="109"/>
        <w:gridCol w:w="109"/>
        <w:gridCol w:w="109"/>
        <w:gridCol w:w="212"/>
        <w:gridCol w:w="621"/>
        <w:gridCol w:w="109"/>
        <w:gridCol w:w="109"/>
        <w:gridCol w:w="109"/>
        <w:gridCol w:w="109"/>
        <w:gridCol w:w="448"/>
        <w:gridCol w:w="450"/>
        <w:gridCol w:w="196"/>
        <w:gridCol w:w="109"/>
        <w:gridCol w:w="109"/>
        <w:gridCol w:w="109"/>
        <w:gridCol w:w="212"/>
        <w:gridCol w:w="621"/>
        <w:gridCol w:w="109"/>
        <w:gridCol w:w="109"/>
        <w:gridCol w:w="109"/>
        <w:gridCol w:w="109"/>
        <w:gridCol w:w="448"/>
        <w:gridCol w:w="450"/>
        <w:gridCol w:w="196"/>
        <w:gridCol w:w="109"/>
        <w:gridCol w:w="109"/>
        <w:gridCol w:w="109"/>
        <w:gridCol w:w="212"/>
        <w:gridCol w:w="621"/>
        <w:gridCol w:w="169"/>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year</w:t>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399,856 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year</w:t>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751,254 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RSUs granted to employees generally vest ratably over a three year vesting period. RSUs granted to non-employee directors have a one year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cash generating capability of our operations, together with our revolving credit facilities, and ability to raise capital through future equity offerings, will be adequate to meet our short and long-term cash requirements and provide the financial strength necessary to support our business growth.</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our material cash requirements by due date as of December 31, 2023:</w:t>
      </w:r>
    </w:p>
    <w:tbl>
      <w:tblPr>
        <w:tblW w:w="10205" w:type="dxa"/>
        <w:jc w:val="left"/>
        <w:tblInd w:w="0" w:type="dxa"/>
        <w:tblLayout w:type="fixed"/>
        <w:tblCellMar>
          <w:top w:w="28" w:type="dxa"/>
          <w:left w:w="28" w:type="dxa"/>
          <w:bottom w:w="28" w:type="dxa"/>
          <w:right w:w="28" w:type="dxa"/>
        </w:tblCellMar>
      </w:tblPr>
      <w:tblGrid>
        <w:gridCol w:w="1111"/>
        <w:gridCol w:w="853"/>
        <w:gridCol w:w="856"/>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1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debt obligations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422,592 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reserve for losses and loss adjustment expenses represent management’s estimate of the ultimate cost of settling losses. As more fully discussed in “—Critical Accounting Policies—Reserves for Losses and Loss Adjustment Expenses” above, the estimation of losses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in any such period can be significantly different from the amounts disclosed above.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in the above table represent our gross estimates of known liabilities as of December 31, 2023 and do not include any allowance for claims for future events within the time period specified. Accordingly, it is highly likely that the total amounts paid out in the time periods shown will be greater than those indicated in the table.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debt obligations was calculated using the SOFR rate as of December 31, 2023 with the assumption that interest rates would remain flat over the remainder of the period that the debt was outstanding.</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owns investments in limited partnerships that invest in concentrated portfolios including publicly traded small cap equities, loans of middle market private equity sponsored companies, private equity general partnership interests, commercial mortgage-backed securities, and tranches of distressed home loans. At December 31, 2023, the Company’s Excess and Surplus Lines segment has outstanding commitments to invest another $6.3 million in these limited partnerships.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Underwriting Performance Ratios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underwriting performance ratios of the Company's continuing operations inclusive of the business subject to retroactive reinsurance accounting for a loss portfolio transfer. There is no economic impact to the Company over the life of a loss portfolio transfer contract so long as any additional losses subject to the contract are within the limit of the loss portfolio transfer and the counterparty performs under the contract. Retroactive reinsurance accounting is not indicative of our current and ongoing operations. Management believes that providing loss ratios and combined ratios on business not subject to retroactive reinsurance accounting for loss portfolio transfers gives the users of our financial statements useful information in evaluating our current and ongoing operations.</w:t>
      </w:r>
    </w:p>
    <w:tbl>
      <w:tblPr>
        <w:tblW w:w="8160" w:type="dxa"/>
        <w:jc w:val="left"/>
        <w:tblInd w:w="0" w:type="dxa"/>
        <w:tblLayout w:type="fixed"/>
        <w:tblCellMar>
          <w:top w:w="28" w:type="dxa"/>
          <w:left w:w="28" w:type="dxa"/>
          <w:bottom w:w="28" w:type="dxa"/>
          <w:right w:w="28" w:type="dxa"/>
        </w:tblCellMar>
      </w:tblPr>
      <w:tblGrid>
        <w:gridCol w:w="1811"/>
        <w:gridCol w:w="1596"/>
        <w:gridCol w:w="1603"/>
        <w:gridCol w:w="255"/>
        <w:gridCol w:w="256"/>
        <w:gridCol w:w="271"/>
        <w:gridCol w:w="109"/>
        <w:gridCol w:w="109"/>
        <w:gridCol w:w="109"/>
        <w:gridCol w:w="255"/>
        <w:gridCol w:w="256"/>
        <w:gridCol w:w="271"/>
        <w:gridCol w:w="109"/>
        <w:gridCol w:w="109"/>
        <w:gridCol w:w="109"/>
        <w:gridCol w:w="308"/>
        <w:gridCol w:w="308"/>
        <w:gridCol w:w="316"/>
      </w:tblGrid>
      <w:tr>
        <w:trPr/>
        <w:tc>
          <w:tcPr>
            <w:tcW w:w="181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Excess and Surplus Lines:</w:t>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Reconciliation of Non-GAAP Measures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“Key Metrics” above for description of why management believes the following Non-GAAP measures provide useful information about our financial condition and results of operation.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Reconciliation of Underwriting Profit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profit (loss) of the operating segments by individual segment to consolidated income (loss) before income taxes for the years ended December 31, 2023, 2022 and 2021.</w:t>
      </w:r>
    </w:p>
    <w:tbl>
      <w:tblPr>
        <w:tblW w:w="9131" w:type="dxa"/>
        <w:jc w:val="left"/>
        <w:tblInd w:w="0" w:type="dxa"/>
        <w:tblLayout w:type="fixed"/>
        <w:tblCellMar>
          <w:top w:w="28" w:type="dxa"/>
          <w:left w:w="28" w:type="dxa"/>
          <w:bottom w:w="28" w:type="dxa"/>
          <w:right w:w="28" w:type="dxa"/>
        </w:tblCellMar>
      </w:tblPr>
      <w:tblGrid>
        <w:gridCol w:w="1859"/>
        <w:gridCol w:w="1631"/>
        <w:gridCol w:w="1639"/>
        <w:gridCol w:w="211"/>
        <w:gridCol w:w="721"/>
        <w:gridCol w:w="109"/>
        <w:gridCol w:w="109"/>
        <w:gridCol w:w="109"/>
        <w:gridCol w:w="109"/>
        <w:gridCol w:w="211"/>
        <w:gridCol w:w="721"/>
        <w:gridCol w:w="109"/>
        <w:gridCol w:w="109"/>
        <w:gridCol w:w="109"/>
        <w:gridCol w:w="109"/>
        <w:gridCol w:w="211"/>
        <w:gridCol w:w="901"/>
        <w:gridCol w:w="154"/>
      </w:tblGrid>
      <w:tr>
        <w:trPr/>
        <w:tc>
          <w:tcPr>
            <w:tcW w:w="185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the operating segments: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(loss) of the operating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Underwriting profit (loss)</w:t>
            </w:r>
            <w:r>
              <w:rPr>
                <w:rFonts w:ascii="Times New Roman;sans-serif" w:hAnsi="Times New Roman;sans-serif"/>
                <w:b w:val="false"/>
                <w:color w:val="000000"/>
                <w:sz w:val="13"/>
              </w:rPr>
              <w:t>(1)</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Underwriting profit (loss) includes gross fee income of $24.2 million, $23.6 million, and $22.7 million for the years ended December 31, 2023, 2022, and 2021, respectively.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Reconciliation of Adjusted Net Operating Income (Loss)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is defined as income available to common shareholders excluding a) income (loss) from discontinued operations b) the impact of retroactive reinsurance accounting for a loss portfolio transfer, c) net realized and unrealized gains (losses) on investments, d) certain non-operating expenses such as professional service fees related to a purported class action lawsuit, various strategic initiatives, and the filing of registration statements for the offering of securities, and e) severance costs associated with terminated employees. Adjusted net operating income should not be viewed as a substitute for net income calculated in accordance with GAAP, and our definition of adjusted net operating income may not be comparable to that of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(loss) income available to common shareholders for the years ended December 31, 2023, 2022 and 2021 reconciles to our adjusted net operating income (loss) as follows:</w:t>
      </w:r>
    </w:p>
    <w:tbl>
      <w:tblPr>
        <w:tblW w:w="10205" w:type="dxa"/>
        <w:jc w:val="left"/>
        <w:tblInd w:w="0" w:type="dxa"/>
        <w:tblLayout w:type="fixed"/>
        <w:tblCellMar>
          <w:top w:w="28" w:type="dxa"/>
          <w:left w:w="28" w:type="dxa"/>
          <w:bottom w:w="28" w:type="dxa"/>
          <w:right w:w="28" w:type="dxa"/>
        </w:tblCellMar>
      </w:tblPr>
      <w:tblGrid>
        <w:gridCol w:w="697"/>
        <w:gridCol w:w="580"/>
        <w:gridCol w:w="583"/>
        <w:gridCol w:w="211"/>
        <w:gridCol w:w="746"/>
        <w:gridCol w:w="109"/>
        <w:gridCol w:w="109"/>
        <w:gridCol w:w="109"/>
        <w:gridCol w:w="109"/>
        <w:gridCol w:w="211"/>
        <w:gridCol w:w="851"/>
        <w:gridCol w:w="109"/>
        <w:gridCol w:w="109"/>
        <w:gridCol w:w="109"/>
        <w:gridCol w:w="109"/>
        <w:gridCol w:w="211"/>
        <w:gridCol w:w="721"/>
        <w:gridCol w:w="109"/>
        <w:gridCol w:w="109"/>
        <w:gridCol w:w="109"/>
        <w:gridCol w:w="109"/>
        <w:gridCol w:w="211"/>
        <w:gridCol w:w="721"/>
        <w:gridCol w:w="109"/>
        <w:gridCol w:w="109"/>
        <w:gridCol w:w="109"/>
        <w:gridCol w:w="109"/>
        <w:gridCol w:w="211"/>
        <w:gridCol w:w="851"/>
        <w:gridCol w:w="109"/>
        <w:gridCol w:w="109"/>
        <w:gridCol w:w="109"/>
        <w:gridCol w:w="109"/>
        <w:gridCol w:w="211"/>
        <w:gridCol w:w="851"/>
        <w:gridCol w:w="158"/>
      </w:tblGrid>
      <w:tr>
        <w:trPr/>
        <w:tc>
          <w:tcPr>
            <w:tcW w:w="69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 losses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Tangible Equity and Tangible Equity per Share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Tangible equity is defined as shareholders' equity plus mezzanine Series A Preferred Shares and the unrecognized deferred retroactive reinsurance gain on loss portfolio transfers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current conversion price). Our definitions of tangible equity and tangible equity per share may not be comparable to that of other companies, and they should not be viewed as a substitute for shareholders’ equity and shareholders’ equity per share calculated in accordance with GAAP.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shareholders’ equity to tangible equity as of December 31, 2023, 2022 and 2021:</w:t>
      </w:r>
    </w:p>
    <w:tbl>
      <w:tblPr>
        <w:tblW w:w="10205" w:type="dxa"/>
        <w:jc w:val="left"/>
        <w:tblInd w:w="0" w:type="dxa"/>
        <w:tblLayout w:type="fixed"/>
        <w:tblCellMar>
          <w:top w:w="28" w:type="dxa"/>
          <w:left w:w="28" w:type="dxa"/>
          <w:bottom w:w="28" w:type="dxa"/>
          <w:right w:w="28" w:type="dxa"/>
        </w:tblCellMar>
      </w:tblPr>
      <w:tblGrid>
        <w:gridCol w:w="778"/>
        <w:gridCol w:w="683"/>
        <w:gridCol w:w="685"/>
        <w:gridCol w:w="219"/>
        <w:gridCol w:w="862"/>
        <w:gridCol w:w="109"/>
        <w:gridCol w:w="109"/>
        <w:gridCol w:w="109"/>
        <w:gridCol w:w="109"/>
        <w:gridCol w:w="211"/>
        <w:gridCol w:w="616"/>
        <w:gridCol w:w="109"/>
        <w:gridCol w:w="109"/>
        <w:gridCol w:w="109"/>
        <w:gridCol w:w="109"/>
        <w:gridCol w:w="219"/>
        <w:gridCol w:w="862"/>
        <w:gridCol w:w="109"/>
        <w:gridCol w:w="109"/>
        <w:gridCol w:w="109"/>
        <w:gridCol w:w="109"/>
        <w:gridCol w:w="211"/>
        <w:gridCol w:w="616"/>
        <w:gridCol w:w="109"/>
        <w:gridCol w:w="109"/>
        <w:gridCol w:w="109"/>
        <w:gridCol w:w="109"/>
        <w:gridCol w:w="219"/>
        <w:gridCol w:w="862"/>
        <w:gridCol w:w="109"/>
        <w:gridCol w:w="109"/>
        <w:gridCol w:w="109"/>
        <w:gridCol w:w="109"/>
        <w:gridCol w:w="211"/>
        <w:gridCol w:w="616"/>
        <w:gridCol w:w="155"/>
      </w:tblGrid>
      <w:tr>
        <w:trPr/>
        <w:tc>
          <w:tcPr>
            <w:tcW w:w="7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br/>
              <w:t>per share</w:t>
            </w:r>
          </w:p>
        </w:tc>
        <w:tc>
          <w:tcPr>
            <w:tcW w:w="327" w:type="dxa"/>
            <w:gridSpan w:val="3"/>
            <w:tcBorders>
              <w:top w:val="single" w:sz="8" w:space="0" w:color="FFFFFF"/>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br/>
              <w:t>per share</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per share amounts)</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equity</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from assumed conversion of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after assumed conversion of Series A Preferred Shares</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43,612,747 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43,110,395 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37,373,066 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fixed maturity and preferred stock investments and borrowings are subject to interest rate risk. Increases and decreases in interest rates typically result in decreases and increases, respectively, in the fair value of these financial instruments.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investable assets come from premiums paid by policyholders. These funds are invested predominantly in high quality corporate, government and municipal bonds with relatively short durations. Total invested assets and cash, excluding restricted cash, has an average duration of approximately 3.6 years at December 31, 2023, and fixed maturity securities and preferred stock investments in the portfolio have an average rating by at least one nationally recognized rating organization of “AA-”. See Note 3 to the Notes to the Audited Consolidated Financial Statements for disclosure of contractual maturity dates of our fixed maturity portfolio. The changes in the estimated fair value of the fixed maturity portfolio classified as available-for-sale are presented as a component of shareholders’ equity in accumulated other comprehensive (loss) income, net of taxes.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work to manage the impact of interest rate fluctuations on our fixed maturity and preferred stock portfolio. The effective duration is managed with consideration given to the estimated duration of our liabilities. We have investment guidelines that set targets for average duration and maturity.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manager employs a model to estimate the effect of interest rate risk on the fair values of our fixed maturity and preferred stock securities and our bank loan participations. Our bank loan participations are primarily floating-rate debt and have limited exposure to interest rate risk with the majority resetting monthly. Therefore, their fair values are less sensitive to changes in interest rates than our fixed maturity and preferred stock securities. The model estimates the impact of interest rate changes on a wide range of factors, including duration and prepayment. Fair values of borrowings are estimated based on the net present value of cash flows, using a representative set of possible future interest rate scenarios. The model requires that numerous assumptions be made about the future. To the extent that any of the assumptions are invalid, incorrect estimates could result. The usefulness of a single point-in-time model is limited, as it is unable to accurately incorporate the full complexity of market interactions.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interest rate risk and shows the effect of hypothetical changes in interest rates as of December 31, 2023. The selected hypothetical changes do not indicate what could be the potential best or worst case scenarios.</w:t>
      </w:r>
    </w:p>
    <w:tbl>
      <w:tblPr>
        <w:tblW w:w="10205" w:type="dxa"/>
        <w:jc w:val="left"/>
        <w:tblInd w:w="0" w:type="dxa"/>
        <w:tblLayout w:type="fixed"/>
        <w:tblCellMar>
          <w:top w:w="28" w:type="dxa"/>
          <w:left w:w="28" w:type="dxa"/>
          <w:bottom w:w="28" w:type="dxa"/>
          <w:right w:w="28" w:type="dxa"/>
        </w:tblCellMar>
      </w:tblPr>
      <w:tblGrid>
        <w:gridCol w:w="1262"/>
        <w:gridCol w:w="1069"/>
        <w:gridCol w:w="1072"/>
        <w:gridCol w:w="211"/>
        <w:gridCol w:w="976"/>
        <w:gridCol w:w="109"/>
        <w:gridCol w:w="109"/>
        <w:gridCol w:w="109"/>
        <w:gridCol w:w="109"/>
        <w:gridCol w:w="432"/>
        <w:gridCol w:w="432"/>
        <w:gridCol w:w="433"/>
        <w:gridCol w:w="109"/>
        <w:gridCol w:w="109"/>
        <w:gridCol w:w="109"/>
        <w:gridCol w:w="250"/>
        <w:gridCol w:w="1160"/>
        <w:gridCol w:w="129"/>
        <w:gridCol w:w="109"/>
        <w:gridCol w:w="109"/>
        <w:gridCol w:w="109"/>
        <w:gridCol w:w="342"/>
        <w:gridCol w:w="342"/>
        <w:gridCol w:w="1005"/>
      </w:tblGrid>
      <w:tr>
        <w:trPr/>
        <w:tc>
          <w:tcPr>
            <w:tcW w:w="126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3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3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Hypothetical</w:t>
              <w:br/>
              <w:t>Change in</w:t>
              <w:br/>
              <w:t>Interest Rates</w:t>
              <w:br/>
              <w:t>(bp=basis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 after</w:t>
              <w:br/>
              <w:t>Hypothetical Change</w:t>
              <w:br/>
              <w:t>in Interest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Hypothetical Percentage</w:t>
              <w:br/>
              <w:t>Increase (Decrease) in</w:t>
              <w:br/>
              <w:t>Fair Value</w:t>
            </w:r>
          </w:p>
        </w:tc>
      </w:tr>
      <w:tr>
        <w:trPr/>
        <w:tc>
          <w:tcPr>
            <w:tcW w:w="3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and preferred stock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1,522,627 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and junior subordinated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bp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 bp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Price Risk</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A portion of our equity securities portfolio is invested in common stocks, which have historically produced higher long-term returns relative to fixed maturities. The changes in the estimated fair value of the common stocks in our equity securities portfolio are </w:t>
      </w:r>
      <w:r>
        <w:rPr>
          <w:rFonts w:ascii="Times New Roman;sans-serif" w:hAnsi="Times New Roman;sans-serif"/>
          <w:b w:val="false"/>
          <w:color w:val="231F20"/>
          <w:sz w:val="20"/>
        </w:rPr>
        <w:t>recognized in net income</w:t>
      </w:r>
      <w:r>
        <w:rPr>
          <w:rFonts w:ascii="Times New Roman;sans-serif" w:hAnsi="Times New Roman;sans-serif"/>
          <w:b w:val="false"/>
          <w:color w:val="000000"/>
          <w:sz w:val="20"/>
        </w:rPr>
        <w: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common stock investments were concentrated in terms of the number of issuers and industries. Such concentrations can lead to higher levels of price volatility.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equity price risk related to common stock and shows the effect of a hypothetical 35% increase or decrease in the fair value of the common stocks in our equity securities portfolio as of December 31, 2023. We believe that this range represents a reasonably likely scenario, as the largest annual increases and decreases in the S&amp;P 500 Index in the past twenty-five years were 31.0% in 1997 and (38.5%) in 2008. The selected hypothetical changes do not indicate what could be the potential best or worst case scenarios.</w:t>
      </w:r>
    </w:p>
    <w:tbl>
      <w:tblPr>
        <w:tblW w:w="7093" w:type="dxa"/>
        <w:jc w:val="left"/>
        <w:tblInd w:w="0" w:type="dxa"/>
        <w:tblLayout w:type="fixed"/>
        <w:tblCellMar>
          <w:top w:w="28" w:type="dxa"/>
          <w:left w:w="28" w:type="dxa"/>
          <w:bottom w:w="28" w:type="dxa"/>
          <w:right w:w="28" w:type="dxa"/>
        </w:tblCellMar>
      </w:tblPr>
      <w:tblGrid>
        <w:gridCol w:w="1021"/>
        <w:gridCol w:w="896"/>
        <w:gridCol w:w="902"/>
        <w:gridCol w:w="211"/>
        <w:gridCol w:w="721"/>
        <w:gridCol w:w="109"/>
        <w:gridCol w:w="109"/>
        <w:gridCol w:w="109"/>
        <w:gridCol w:w="109"/>
        <w:gridCol w:w="404"/>
        <w:gridCol w:w="404"/>
        <w:gridCol w:w="406"/>
        <w:gridCol w:w="109"/>
        <w:gridCol w:w="109"/>
        <w:gridCol w:w="109"/>
        <w:gridCol w:w="264"/>
        <w:gridCol w:w="906"/>
        <w:gridCol w:w="195"/>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Hypothetical</w:t>
              <w:br/>
              <w:t>Price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 after</w:t>
              <w:br/>
              <w:t>Hypothetical</w:t>
              <w:br/>
              <w:t>Change in Prices</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report of our independent registered public accounting firm and our Consolidated Financial Statements and required Financial Statement Schedules are filed pursuant to this Item 8 and are included later in this report. See Index to Financial Statements and Schedules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Annual Report on Form 10-K, our management carried out an evaluation, under the supervision and with the participation of our CEO and CFO, as of December 31, 2023,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December 31, 2023.</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Remediated Material Weakness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the Company became aware that the unaudited consolidated financial statements for the six months ended June 30, 2023 contained material misstatements related to unrecorded reinstatement premium as more fully described in Note 1 to the condensed consolidated financial statements of the 10-Q/A filed with the SEC on November 14, 2023. Management of the Company concluded that because the controls to evaluate the accounting and disclosure of the reinstatement premium did not operate effectively, and resulted in the failure to detect the misstatement, the deficiencies were a material weakness in the Company's internal control over financial reporting.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Remedial Actions Implementation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remediate the material weakness in the Company’s internal control over financial reporting, during the fourth quarter of fiscal year 2023, the Company implemented a remediation plan that included: (i) additional review procedures within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pPr>
      <w:r>
        <w:rPr>
          <w:rFonts w:ascii="Times New Roman;sans-serif" w:hAnsi="Times New Roman;sans-serif"/>
          <w:b w:val="false"/>
          <w:color w:val="000000"/>
          <w:sz w:val="20"/>
        </w:rPr>
        <w:t>accounting department, (ii) additional training of accounting personnel and (iii) enhancing our existing process and internal control documentation and financial statement preparation process, specifically including updates to accounting policies for reinstatement premium, to ensure completion of financial reporting and proper accounting in accordance with U.S. GAAP.</w:t>
      </w:r>
      <w:r>
        <w:rPr>
          <w:color w:val="000000"/>
        </w:rPr>
        <w:t xml:space="preserve">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implementation of these procedures and controls have remediated the material weakness as of December 31, 2023.</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for the Company, as such term is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Management has conducted an assessment, including testing, of the effectiveness of our internal control over financial reporting as of December 31, 2023. In making its assessment of internal control over financial reporting, management used the criteria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Based on this assessment, the Company’s management has concluded that, as of December 31, 2023, the Company’s internal control over financial reporting was effective.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Ernst &amp; Young LLP, the independent registered public accounting firm that audited the Consolidated Financial Statements of the Company included in this Annual Report, has audited the effectiveness of internal control over financial reporting as of December 31, 2023. Their attestation report, which expresses an unqualified opinion on the effectiveness of the Company’s internal control over financial reporting as of December 31, 2023, is included with our financial statements.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our quarter ended December 31, 2023, except for the implementation of the remediation steps described above, that have materially affected, or are reasonably likely to materially affect, our internal control over financial reporting.</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6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10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11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12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13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14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 (1) and (2) Financial Statements and Financial Statement Schedules.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Financial Statements and Schedules” on Page F-1.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(3) Exhibits</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726"/>
        <w:gridCol w:w="2649"/>
        <w:gridCol w:w="379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9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Stock Purchase Agreement dated November 8, 2023 by and among James River Group Holdings, Ltd. and Fleming Intermediate Holdings LLC (incorporated by reference to Exhibit 2.1 of the Current Report on Form 8-K filed on November 9, 2023, Commission File No. 001-36777)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Certificate of Incorporation of James River Group Holdings, Ltd. (incorporated by reference to Exhibit 3.1 of the Registration Statement on Form S-1, Registration No. 333-199958, filed with the Commission on November 7,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Certificate of Incorporation on Change of Name (incorporated by reference to Exhibit 3.2 of the Registration Statement on Form S-1, Registration No. 333-199958, filed with the Commission on November 7,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Memorandum of Association of James River Group Holdings, Ltd. (incorporated by reference to Exhibit 3.3 of the Registration Statement on Form S-1, Registration No. 333-199958, filed with the Commission on November 7,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Certificate of Deposit of Memorandum of Increase of Share Capital, dated December 24, 2007 (incorporated by reference to Exhibit 3.4 of the Registration Statement on Form S-1, Registration No. 333-199958, filed with the Commission on November 7,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Certificate of Deposit of Memorandum of Increase of Share Capital, dated October 7, 2009 (incorporated by reference to Exhibit 3.5 of the Registration Statement on Form S-1, Registration No. 333-199958, filed with the Commission on November 7,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Fourth Amended and Restated Bye-Laws of James River Group Holdings, Ltd. (incorporated by reference to Exhibit 3.6 to the Annual Report on Form 10-K filed on February 28, 2023,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Certificate of Common Shares (incorporated by reference to Exhibit 4.1 of Amendment No. 3 to the Registration Statement on Form S-1, Registration No. 333-199958, filed with the Commission on December 9,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ans-serif" w:hAnsi="Times New Roman;sans-serif"/>
                  <w:b w:val="false"/>
                  <w:color w:val="0000FF"/>
                  <w:sz w:val="20"/>
                  <w:u w:val="single"/>
                </w:rPr>
                <w:t>Certificate of Designations of 7% Series A Perpetual Cumulative Convertible Preferred Shares of James River Group Holdings, Ltd. dated March 1, 2022 (incorporated by reference to Exhibit 10.3 to the Quarterly Report on Form 10-Q filed on May 10, 2022;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May 26, 2004, by and between James River Group, Inc. and Wilmington Trust Company, as Trustee, relating to Floating Rate Senior Debentures Due 2034+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May 26, 2004, by and between James River Group, Inc. and Wilmington Trust Company, as Trustee, relating to Floating Rate Junior Subordinated Debentures Due 2034+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of James River Capital Trust I, dated as of May 26, 2004, by and among James River Group, Inc., as Sponsor, Wilmington Trust Company, as Institutional Trustee and Delaware Trustee, the Regular Trustees (as defined therein), and the holders, from time to time, of undivided beneficial interests in James River Capital Trust I+</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Securities Guarantee Agreement, dated as of May 26, 2004, by James River Group, Inc., as Guarantor, and Wilmington Trust Company, as Preferred Guarantee Trustee, for the benefit of the holders of James River Capital Trust I+</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December 15, 2004, by and between James River Group, Inc. and Wilmington Trust Company, as Trustee, relating to Floating Rate Junior Subordinated Deferrable Interest Debentures Due 2034+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of James River Capital Trust II, dated as of December 15, 2004, by and among James River Group, Inc., as Sponsor, Wilmington Trust Company, as Institutional Trustee and Delaware Trustee, the Administrators (as defined therein), and the holders, from time to time, of undivided beneficial interests in the James River Capital Trust II+</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Agreement, dated as of December 15, 2004, by James River Group, Inc., as Guarantor, and Wilmington Trust Company, as Guarantee Trustee, for the benefit of the holders, from time to time, of the capital securities of James River Capital Trust II+</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June 15, 2006, by and between James River Group, Inc. and Wilmington Trust Company, as Trustee, relating to Floating Rate Junior Subordinated Deferrable Interest Debentures Due 2036+</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of James River Capital Trust III, dated as of June 15, 2006, by and among James River Group, Inc., as Sponsor, Wilmington Trust Company, as Institutional Trustee and Delaware Trustee, the Administrators (as defined therein) and the holders, from time to time, of undivided beneficial interests in the James River Capital Trust III+</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Agreement, dated as of June 15, 2006, by James River Group, Inc., as Guarantor, and Wilmington Trust Company, as Guarantee Trustee, for the benefit of the holders, from time to time, of the capital securities of James River Capital Trust III+</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738"/>
        <w:gridCol w:w="2650"/>
        <w:gridCol w:w="378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December 11, 2007, by and between James River Group, Inc. and Wilmington Trust Company, as Trustee, relating to Fixed/Floating Rate Junior Subordinated Deferrable Interest Debentures Due 2037+</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dated December 11, 2007, by and among James River Group, Inc., as Sponsor, Wilmington Trust Company, as Institutional Trustee and Delaware Trustee and the Administrators (as defined therein) and the holders, from time to time, of undivided beneficial interests in James River Capital Trust IV+</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Agreement, dated as of December 11, 2007, by James River Group, Inc., as Guarantor, and Wilmington Trust Company, as Guarantee Trustee, for the benefit of the holders, from time to time, of the capital securities of James River Capital Trust IV+</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January 10, 2008, among James River Group Holdings, Ltd. and Wilmington Trust Company, as Trustee relating to Fixed/Floating Rate Junior Subordinated Deferrable Interest Debentures Due 2038+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dated as of January 10, 2008, by and among James River Group Holdings, Ltd., as Sponsor, Wilmington Trust Company, as Institutional Trustee and Delaware Trustee and the Administrators (as defined therein) for the benefit of the holders, from time to time, of undivided beneficial interest in Franklin Holdings II (Bermuda) Capital Trust I+</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Agreement, dated as of January 10, 2008, by and among James River Group Holdings, Ltd., as Guarantor, and Wilmington Trust Company, as Guarantee Trustee, for the benefit of the holders, from time to time, of the capital securities of Franklin Holdings II (Bermuda) Capital Trust I+</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Description of Registrant’s Securities Registered under Section 12 of the Securities Exchange Act of 1934 (incorporated by reference to Exhibit 4.18 to the Annual Report on Form 10-K filed on February 28, 2023,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Third Amended and Restated Credit Agreement, dated as of July 7, 2023, by and among James River Group Holdings, Ltd., JRG Reinsurance Company, Ltd., KeyBank National Association, as Administrative Agent and Letter of Credit Issuer, KeyBank National Association and Truist Securities, Inc. as Joint Book Runners and Joint Lead Arrangers, Truist Bank as Syndication Agent, and the lender parties thereto (incorporated by reference to Exhibit 10.1 of the Current Report on Form 8-K filed on July 12, 2023,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Consent Agreement dated November 8, 2023 to the Third Amended and Restated Credit Agreement dated as of July 7, 2023 by and among James River Group Holdings, Ltd. and JRG Reinsurance Company Ltd., as borrowers, KeyBank National Association (“KeyBank”) as Administrative Agent and Letter of Credit Issuer, KeyBank and Truist Securities, Inc. as Joint Book Runners and Joint Lead Arrangers, Truist Bank as Syndication Agent, and the lender parties thereto (incorporated by reference to Exhibit 10.1 of the Current Report on Form 8-K filed on November 9, 2023,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Continuing Guaranty of Payment, dated as of June 5, 2013, by James River Group, Inc., as Guarantor, pursuant to Credit Agreement, dated as of June 5, 2013, among James River Group Holdings, Ltd. and JRG Reinsurance Company Ltd., KeyBank National Association, as Administrative Agent and as Letter of Credit Issuer, and certain Lender parties (incorporated by reference to Exhibit 10.2 of the Registration Statement on Form S-1, Registration No. 333-199958, filed with the Commission on November 7,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Continuing Guaranty of Payment, dated as of December 15, 2015, by James River Group Holdings UK Limited, pursuant to Credit Agreement, dated as of June 5, 2013, among James River Group Holdings, Ltd. and JRG Reinsurance Company Ltd., KeyBank National Association, as Administrative Agent and as Letter of Credit Issuer, and certain Lender parties (incorporated by reference to Exhibit 10.5 to the Annual Report on Form 10-K filed on March 10, 2016,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 xml:space="preserve">Credit Agreement, dated as of August 2, 2017, among James River Group Holdings, Ltd., JRG Reinsurance Company Ltd. and BMO Harris Bank N.A. (incorporated by reference to Exhibit 10.1 of the Current Report on Form 8-K filed on August 3, 2017, Commission File No. 001-36777)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First Amendment to Credit Agreement dated as of November 8, 2019 by and among James River Group Holdings, Ltd. and JRG Reinsurance Company Ltd., as the borrowers, and BMO Harris Bank, N.A., as the lender (incorporated by reference to Exhibit 10.2 of the Current Report on Form 8-K filed on November 12, 2019,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Second Amendment to Credit Agreement dated as of February 18, 2022 by and among James River Group Holdings, Ltd. and JRG Reinsurance Company Ltd. as the borrowers, and BMO Harris Bank N.A., as the lender (incorporated by reference to Exhibit 10.7 of the Annual Report on Form 10-K filed on March 1, 2022, Commission File No. 001-36777)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783"/>
        <w:gridCol w:w="2626"/>
        <w:gridCol w:w="376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Third Amendment to Credit Agreement dated as of January 27, 2023 by and among James River Group Holdings, Ltd. and JRG Reinsurance Company Ltd. as the borrowers, and BMO Harris Bank N.A., as the lender (incorporated by reference to Exhibit 10.9 of the Annual Report on Form 10-K filed on February 28, 2023,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Consent Agreement dated November 8, 2023 to the Credit Agreement dated as of August 2, 2017, as amended, by and among James River Group Holdings, Ltd. and JRG Reinsurance Company Ltd., as borrowers, and BMO Harris Bank N.A., as the lender (incorporated by reference to Exhibit 10.2 of the Current Report on Form 8-K filed on November 9, 2023,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Pledge and Security Agreement, dated as of August 2, 2017, by and between JRG Reinsurance Company Ltd., and BMO Harris Bank N.A. (incorporated by reference to Exhibit 10.2 of the Current Report on Form 8-K filed on August 3, 2017,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Form of Director and Officer Indemnification Agreement (incorporated by reference to Exhibit 10.7 of Amendment No. 1 to the Registration Statement on Form S-1, Registration No. 333-199958, filed with the Commission on November 24,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Amended and Restated James River Group Holdings, Ltd. Equity Incentive Plan (incorporated by reference to Exhibit 10.8 of the Registration Statement on Form S-1, Registration No. 333-199958, filed with the Commission on November 7,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Form of Stock Option Agreement (Amended and Restated James River Group Holdings, Ltd. Equity Incentive Plan) (incorporated by reference to Exhibit 10.9 of the Registration Statement on Form S-1, Registration No. 333-199958, filed with the Commission on November 7,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First Amendment to the Amended and Restated James River Group Holdings, Ltd. Equity Incentive Plan (incorporated by reference to Exhibit 10.10 of Amendment No. 1 to the Registration Statement on Form S-1, Registration No. 333-199958, filed with the Commission on November 24,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James River Group Holdings, Ltd. 2014 Long-Term Incentive Plan (incorporated by reference to Exhibit 10.11 of Amendment No. 1 to the Registration Statement on Form S-1, Registration No. 333-199958, filed with the Commission on November 24,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Amendment to the James River Group Holdings, Ltd. 2014 Long-Term Incentive Plan (incorporated by reference to Exhibit 10.1 of the Current Report on Form 8-K filed on May 3, 2017,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Second Amendment to the James River Group Holdings, Ltd. 2014 Long-Term Incentive Plan (incorporated by reference to Exhibit 10.1 to the Current Report on Form 8-K filed on October 26, 2022,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Form of Nonqualified Share Option Agreement (James River Group Holdings, Ltd. 2014 Long-Term Incentive Plan) (incorporated by reference to Exhibit 10.12 of Amendment No. 1 to the Registration Statement on Form S-1, Registration No. 333-199958, filed with the Commission on November 24,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Form of Restricted Share Award Agreement (James River Group Holdings, Ltd. 2014 Long-Term Incentive Plan) (incorporated by reference to Exhibit 10.13 of Amendment No. 1 to the Registration Statement on Form S-1, Registration No. 333-199958, filed with the Commission on November 24,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Form of Restricted Share Unit Award Agreement (James River Group Holdings, Ltd. 2014 Long-Term Incentive Plan) (incorporated by reference to Exhibit 10.14 of Amendment No. 3 to the Registration Statement on Form S-1, Registration No. 333-199958, filed with the Commission on December 9,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Times New Roman;sans-serif" w:hAnsi="Times New Roman;sans-serif"/>
                  <w:b w:val="false"/>
                  <w:color w:val="0000FF"/>
                  <w:sz w:val="20"/>
                  <w:u w:val="single"/>
                </w:rPr>
                <w:t>Form of Performance Restricted Share Unit Agreement (James River Group Holdings, Ltd. 2014 Long-Term Incentive Plan) (incorporated by reference to Exhibit 10.21 to the Annual Report on Form 10-K filed on February 28, 2023,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ans-serif" w:hAnsi="Times New Roman;sans-serif"/>
                  <w:b w:val="false"/>
                  <w:color w:val="0000FF"/>
                  <w:sz w:val="20"/>
                  <w:u w:val="single"/>
                </w:rPr>
                <w:t>Form of Service-Based Restricted Share Unit Agreement (James River Group Holdings, Ltd. 2014 Long-Term Incentive Plan) (incorporated by reference to Exhibit 10.22 to the Annual Report on Form 10-K filed on February 28, 2023,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7">
              <w:r>
                <w:rPr>
                  <w:rStyle w:val="InternetLink"/>
                  <w:rFonts w:ascii="Times New Roman;sans-serif" w:hAnsi="Times New Roman;sans-serif"/>
                  <w:b w:val="false"/>
                  <w:color w:val="0000FF"/>
                  <w:sz w:val="20"/>
                  <w:u w:val="single"/>
                </w:rPr>
                <w:t>James River Group Holdings, Ltd. Short-Term Incentive Plan (incorporated by reference to Exhibit 10.23 to the Annual Report on Form 10-K filed on February 28, 2023,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James River Group Holdings, Ltd. 2014 Non-Employee Director Incentive Plan (incorporated by reference to Exhibit 10.15 of Amendment No. 1 to the Registration Statement on Form S-1, Registration No. 333-199958, filed with the Commission on November 24,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Amendment to the 2014 Non-Employee Director Incentive Plan (incorporated by reference to Exhibit 10.1 of the Current Report on Form 8-K filed on May 1, 2019,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Form of Restricted Share Award Agreement (James River Group Holdings, Ltd. 2014 Non-Employee Director Incentive Plan) (incorporated by reference to Exhibit 10.16 of Amendment No. 1 to the Registration Statement on Form S-1, Registration No. 333-199958, filed with the Commission on November 24, 2014)*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676"/>
        <w:gridCol w:w="2676"/>
        <w:gridCol w:w="382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Form of Restricted Share Unit Award Agreement (James River Group Holdings, Ltd., 2014 Non-Employee Director Incentive Plan) (incorporated by reference to Exhibit 10.17 of Amendment No. 3 to the Registration Statement on Form S-1, Registration No. 333-199958, filed with the Commission on December 9,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James River Management Company, Inc. Leadership Recognition Program (incorporated by reference to Exhibit 10.18 of Amendment No. 1 to the Registration Statement on Form S-1, Registration No. 333-199958, filed with the Commission on November 24,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Employment Agreement, dated October 28, 2020, by and among Frank N. D’Orazio, James River Group Holdings, Ltd., and its subsidiary, James River Group, Inc. (incorporated by reference to Exhibit 10.1 to the Current Report on Form 8-K filed on November 2, 2020, Commission File No. 001-36777)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First Amendment to Employment Agreement dated October 28, 2020, by and among Frank N. D’Orazio, James River Group Holdings, Ltd., and its subsidiary James River Group, Inc. (incorporated by reference to Exhibit 10.1 to the Current Report on Form 8-K filed on June 8, 2023, Commission File No. 001-36777)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Employment Agreement, dated December 19, 2016, by and among James River Group Holdings, Ltd., James River Group, Inc., and Sarah C. Doran (incorporated by reference to Exhibit 10.1 to the Current Report on Form 8-K filed on December 22, 2016,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Amendment to Employment Agreement dated December 19, 2016, between Sarah C. Doran and James River Group Holdings, Ltd., and its subsidiary, James River Group, Inc. (incorporated by reference to Exhibit 10.1 to the Quarterly Report on Form 10-Q filed on November 8, 2018,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Amended and Restated Employment Agreement, dated January 15, 2018, by and among James River Group, Inc., certain subsidiaries of James River Group, Inc. and Richard Schmitzer (incorporated by reference to Exhibit 10.22 to Annual Report on Form 10-K filed on March 1, 2018,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James River Management Company, Inc. Leadership Recognition Program Award Letter, dated September 30, 2011 to Richard Schmitzer (incorporated by reference to Exhibit 10.22 of Amendment No. 1 to the Registration Statement on Form S-1, Registration No. 333-199958, filed with the Commission on November 24,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3jrvrex1035.htm">
              <w:r>
                <w:rPr>
                  <w:rStyle w:val="InternetLink"/>
                  <w:rFonts w:ascii="Times New Roman;sans-serif" w:hAnsi="Times New Roman;sans-serif"/>
                  <w:b w:val="false"/>
                  <w:color w:val="0000FF"/>
                  <w:sz w:val="20"/>
                  <w:u w:val="single"/>
                </w:rPr>
                <w:t>Separation and Release Agreement, dated December 26, 2023, by and among James River Group, Inc., certain subsidiaries of James River Group, Inc. and Terry McCafferty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Amended and Restated Employment Agreement, dated June 7, 2023, by and among James River Group, Inc., certain subsidiaries of James River Group, Inc. and Terry McCafferty (incorporated by reference to Exhibit 10.2 to the Current Report on Form 8-K filed on June 8, 2023, Commission File No. 001-36777)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Employment Agreement, dated April 5, 2018, by and among JRG Reinsurance Company, Ltd. and Daniel Heinlein (incorporated by reference to Exhibit 10.31 to the Annual Report on Form 10-K filed on February 27, 2019,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1">
              <w:r>
                <w:rPr>
                  <w:rStyle w:val="InternetLink"/>
                  <w:rFonts w:ascii="Times New Roman;sans-serif" w:hAnsi="Times New Roman;sans-serif"/>
                  <w:b w:val="false"/>
                  <w:color w:val="0000FF"/>
                  <w:sz w:val="20"/>
                  <w:u w:val="single"/>
                </w:rPr>
                <w:t>Investment Agreement, dated February 24, 2022, by and between James River Group Holdings, Ltd. and GPC Partners Investments (Thames) LP (incorporated by reference to Exhibit 10.1 on the Current Report on Form 8-K filed on February 28, 2022;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2">
              <w:r>
                <w:rPr>
                  <w:rStyle w:val="InternetLink"/>
                  <w:rFonts w:ascii="Times New Roman;sans-serif" w:hAnsi="Times New Roman;sans-serif"/>
                  <w:b w:val="false"/>
                  <w:color w:val="0000FF"/>
                  <w:sz w:val="20"/>
                  <w:u w:val="single"/>
                </w:rPr>
                <w:t>Amendment No. 1 to Investment Agreement, dated March 1, 2022, by and between James River Group Holdings, Ltd. and GPC Partners Investments (Thames) LP (incorporated by reference to Exhibit 10.2 to the Quarterly Report on Form 10-Q filed on May 10, 2022;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3">
              <w:r>
                <w:rPr>
                  <w:rStyle w:val="InternetLink"/>
                  <w:rFonts w:ascii="Times New Roman;sans-serif" w:hAnsi="Times New Roman;sans-serif"/>
                  <w:b w:val="false"/>
                  <w:color w:val="0000FF"/>
                  <w:sz w:val="20"/>
                  <w:u w:val="single"/>
                </w:rPr>
                <w:t>Registration Rights Agreement, dated March 1, 2022, by and between James River Group Holdings, Ltd. and GPC Partners Investments (Thames) LP (incorporated by reference to Exhibit 10.4 to the Quarterly Report on Form 10-Q filed on May 10, 2022;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Loss Portfolio Transfer Reinsurance Agreement dated September 27, 2021 between James River Insurance Company and James River Casualty Company and Aleka Insurance, Inc. (incorporated by reference to Exhibit 10.1 on the Current Report on Form 8-K filed on September 30, 2021,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5">
              <w:r>
                <w:rPr>
                  <w:rStyle w:val="InternetLink"/>
                  <w:rFonts w:ascii="Times New Roman;sans-serif" w:hAnsi="Times New Roman;sans-serif"/>
                  <w:b w:val="false"/>
                  <w:color w:val="0000FF"/>
                  <w:sz w:val="20"/>
                  <w:u w:val="single"/>
                </w:rPr>
                <w:t>Trust Agreement dated September 27, 2021 among James River Insurance Company and James River Casualty Company, Aleka Insurance, Inc., and Wells Fargo Bank, N.A. (incorporated by reference to Exhibit 10.2 on the Current Report on Form 8-K filed on September 30, 2021,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6">
              <w:r>
                <w:rPr>
                  <w:rStyle w:val="InternetLink"/>
                  <w:rFonts w:ascii="Times New Roman;sans-serif" w:hAnsi="Times New Roman;sans-serif"/>
                  <w:b w:val="false"/>
                  <w:color w:val="0000FF"/>
                  <w:sz w:val="20"/>
                  <w:u w:val="single"/>
                </w:rPr>
                <w:t>Loss Portfolio Transfer Retrocession Agreement entered into on February 23, 2022 by and between JRG Reinsurance Company Ltd. and Fortitude Reinsurance Company Ltd. (incorporated by reference to Exhibit 10.2 on the Current Report on Form 8-K filed on February 28, 2022; Commission File No. 001-36777)</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9"/>
        <w:gridCol w:w="255"/>
        <w:gridCol w:w="256"/>
        <w:gridCol w:w="109"/>
        <w:gridCol w:w="109"/>
        <w:gridCol w:w="109"/>
        <w:gridCol w:w="2741"/>
        <w:gridCol w:w="2608"/>
        <w:gridCol w:w="3729"/>
      </w:tblGrid>
      <w:tr>
        <w:trPr/>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4q23jrvrex211.htm">
              <w:r>
                <w:rPr>
                  <w:rStyle w:val="InternetLink"/>
                  <w:rFonts w:ascii="Times New Roman;sans-serif" w:hAnsi="Times New Roman;sans-serif"/>
                  <w:b w:val="false"/>
                  <w:color w:val="0000FF"/>
                  <w:sz w:val="20"/>
                  <w:u w:val="single"/>
                </w:rPr>
                <w:t>List of subsidiaries of James River Group Holdings, Ltd.</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3jrvrex231.htm">
              <w:r>
                <w:rPr>
                  <w:rStyle w:val="InternetLink"/>
                  <w:rFonts w:ascii="Times New Roman;sans-serif" w:hAnsi="Times New Roman;sans-serif"/>
                  <w:b w:val="false"/>
                  <w:color w:val="0000FF"/>
                  <w:sz w:val="20"/>
                  <w:u w:val="single"/>
                </w:rPr>
                <w:t>Consent of Ernst &amp; Young LLP, Independent Registered Public Accounting Firm</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3jrvrex311.htm">
              <w:r>
                <w:rPr>
                  <w:rStyle w:val="InternetLink"/>
                  <w:rFonts w:ascii="Times New Roman;sans-serif" w:hAnsi="Times New Roman;sans-serif"/>
                  <w:b w:val="false"/>
                  <w:color w:val="0000FF"/>
                  <w:sz w:val="20"/>
                  <w:u w:val="single"/>
                </w:rPr>
                <w:t>Principal Executive Officer Certification pursuant to Rule 13a-14(a)/15d-14(a)</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3jrvrex312.htm">
              <w:r>
                <w:rPr>
                  <w:rStyle w:val="InternetLink"/>
                  <w:rFonts w:ascii="Times New Roman;sans-serif" w:hAnsi="Times New Roman;sans-serif"/>
                  <w:b w:val="false"/>
                  <w:color w:val="0000FF"/>
                  <w:sz w:val="20"/>
                  <w:u w:val="single"/>
                </w:rPr>
                <w:t>Principal Financial Officer Certification pursuant to Rule 13a-14(a)/15d-14(a)</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3jrvrex321.htm">
              <w:r>
                <w:rPr>
                  <w:rStyle w:val="InternetLink"/>
                  <w:rFonts w:ascii="Times New Roman;sans-serif" w:hAnsi="Times New Roman;sans-serif"/>
                  <w:b w:val="false"/>
                  <w:color w:val="0000FF"/>
                  <w:sz w:val="20"/>
                  <w:u w:val="single"/>
                </w:rPr>
                <w:t>Principal Executive Officer and Principal Financial Officer Certification pursuant to 18 U.S.C. Section 1350, as adopted pursuant to Section 906 of the Sarbanes-Oxley Act of 2002.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3jrvrex971.htm">
              <w:r>
                <w:rPr>
                  <w:rStyle w:val="InternetLink"/>
                  <w:rFonts w:ascii="Times New Roman;sans-serif" w:hAnsi="Times New Roman;sans-serif"/>
                  <w:b w:val="false"/>
                  <w:color w:val="0000FF"/>
                  <w:sz w:val="20"/>
                  <w:u w:val="single"/>
                </w:rPr>
                <w:t>James River Group Holdings, Ltd. Executive Officer Incentive Compensation Recovery Policy</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 in Exhibit 101.</w:t>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Denotes a management contract or compensatory plan or arrangement.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Exhibit not filed with the Securities and Exchange Commission pursuant to Item 601(b)(4)(iii) of Regulation S-K. The Company will furnish a copy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20"/>
        <w:jc w:val="center"/>
        <w:rPr/>
      </w:pPr>
      <w:r>
        <w:rPr/>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829" w:type="dxa"/>
        <w:jc w:val="left"/>
        <w:tblInd w:w="0" w:type="dxa"/>
        <w:tblLayout w:type="fixed"/>
        <w:tblCellMar>
          <w:top w:w="28" w:type="dxa"/>
          <w:left w:w="28" w:type="dxa"/>
          <w:bottom w:w="28" w:type="dxa"/>
          <w:right w:w="28" w:type="dxa"/>
        </w:tblCellMar>
      </w:tblPr>
      <w:tblGrid>
        <w:gridCol w:w="264"/>
        <w:gridCol w:w="232"/>
        <w:gridCol w:w="232"/>
        <w:gridCol w:w="232"/>
        <w:gridCol w:w="232"/>
        <w:gridCol w:w="232"/>
        <w:gridCol w:w="1024"/>
        <w:gridCol w:w="1024"/>
        <w:gridCol w:w="1027"/>
        <w:gridCol w:w="232"/>
        <w:gridCol w:w="232"/>
        <w:gridCol w:w="232"/>
        <w:gridCol w:w="478"/>
        <w:gridCol w:w="478"/>
        <w:gridCol w:w="678"/>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682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258" w:type="dxa"/>
        <w:jc w:val="left"/>
        <w:tblInd w:w="0" w:type="dxa"/>
        <w:tblLayout w:type="fixed"/>
        <w:tblCellMar>
          <w:top w:w="28" w:type="dxa"/>
          <w:left w:w="28" w:type="dxa"/>
          <w:bottom w:w="28" w:type="dxa"/>
          <w:right w:w="28" w:type="dxa"/>
        </w:tblCellMar>
      </w:tblPr>
      <w:tblGrid>
        <w:gridCol w:w="720"/>
        <w:gridCol w:w="634"/>
        <w:gridCol w:w="641"/>
        <w:gridCol w:w="109"/>
        <w:gridCol w:w="109"/>
        <w:gridCol w:w="109"/>
        <w:gridCol w:w="1319"/>
        <w:gridCol w:w="1319"/>
        <w:gridCol w:w="1337"/>
        <w:gridCol w:w="109"/>
        <w:gridCol w:w="109"/>
        <w:gridCol w:w="109"/>
        <w:gridCol w:w="478"/>
        <w:gridCol w:w="478"/>
        <w:gridCol w:w="678"/>
      </w:tblGrid>
      <w:tr>
        <w:trPr/>
        <w:tc>
          <w:tcPr>
            <w:tcW w:w="72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E. Crow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E. Crow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Ollie L. Sherman,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Non-Executive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Ollie L. Sherman,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Matthew B. Botein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Matthew B. Botein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L.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L.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Kirstin M. Gould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Kirstin M. Gould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Dennis J. Langwell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Dennis J. Langwell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B. Migliorato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B. Migliorato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Patricia H.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Patricia H.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 AND SCHEDULES</w:t>
      </w:r>
    </w:p>
    <w:tbl>
      <w:tblPr>
        <w:tblW w:w="10205" w:type="dxa"/>
        <w:jc w:val="left"/>
        <w:tblInd w:w="0" w:type="dxa"/>
        <w:tblLayout w:type="fixed"/>
        <w:tblCellMar>
          <w:top w:w="28" w:type="dxa"/>
          <w:left w:w="28" w:type="dxa"/>
          <w:bottom w:w="28" w:type="dxa"/>
          <w:right w:w="28" w:type="dxa"/>
        </w:tblCellMar>
      </w:tblPr>
      <w:tblGrid>
        <w:gridCol w:w="1442"/>
        <w:gridCol w:w="1205"/>
        <w:gridCol w:w="1205"/>
        <w:gridCol w:w="1997"/>
        <w:gridCol w:w="1880"/>
        <w:gridCol w:w="1931"/>
        <w:gridCol w:w="158"/>
        <w:gridCol w:w="158"/>
        <w:gridCol w:w="229"/>
      </w:tblGrid>
      <w:tr>
        <w:trPr/>
        <w:tc>
          <w:tcPr>
            <w:tcW w:w="14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97">
              <w:r>
                <w:rPr>
                  <w:rStyle w:val="InternetLink"/>
                  <w:rFonts w:ascii="Times New Roman;sans-serif" w:hAnsi="Times New Roman;sans-serif"/>
                  <w:b w:val="false"/>
                  <w:color w:val="0000FF"/>
                  <w:sz w:val="20"/>
                  <w:u w:val="single"/>
                </w:rPr>
                <w:t xml:space="preserve">Report of Independent Registered Public Accounting Firm (PCAOB ID: </w:t>
              </w:r>
            </w:hyperlink>
            <w:r>
              <w:rPr>
                <w:rFonts w:ascii="Times New Roman;sans-serif" w:hAnsi="Times New Roman;sans-serif"/>
                <w:b w:val="false"/>
                <w:color w:val="0E32E1"/>
                <w:sz w:val="20"/>
                <w:u w:val="single"/>
              </w:rPr>
              <w:t>42</w:t>
            </w:r>
            <w:hyperlink w:anchor="i2e242ce95bf441e9bfd64c4176f339b2_97">
              <w:r>
                <w:rPr>
                  <w:rStyle w:val="InternetLink"/>
                  <w:rFonts w:ascii="Times New Roman;sans-serif" w:hAnsi="Times New Roman;sans-serif"/>
                  <w:b w:val="false"/>
                  <w:color w:val="0000FF"/>
                  <w:sz w:val="20"/>
                  <w:u w:val="single"/>
                </w:rPr>
                <w:t>)</w:t>
              </w:r>
            </w:hyperlink>
          </w:p>
        </w:tc>
        <w:tc>
          <w:tcPr>
            <w:tcW w:w="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2e242ce95bf441e9bfd64c4176f339b2_97">
              <w:r>
                <w:rPr>
                  <w:rStyle w:val="InternetLink"/>
                  <w:rFonts w:ascii="Times New Roman;sans-serif" w:hAnsi="Times New Roman;sans-serif"/>
                  <w:b w:val="false"/>
                  <w:color w:val="0000FF"/>
                  <w:sz w:val="20"/>
                  <w:u w:val="single"/>
                </w:rPr>
                <w:t>2</w:t>
              </w:r>
            </w:hyperlink>
          </w:p>
        </w:tc>
      </w:tr>
      <w:tr>
        <w:trPr/>
        <w:tc>
          <w:tcPr>
            <w:tcW w:w="966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00">
              <w:r>
                <w:rPr>
                  <w:rStyle w:val="InternetLink"/>
                  <w:rFonts w:ascii="Times New Roman;sans-serif" w:hAnsi="Times New Roman;sans-serif"/>
                  <w:b w:val="false"/>
                  <w:color w:val="0000FF"/>
                  <w:sz w:val="20"/>
                  <w:u w:val="single"/>
                </w:rPr>
                <w:t>Report of Independent Registered Public Accounting Firm on Internal Control over Financial Reporting</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100">
              <w:r>
                <w:rPr>
                  <w:rStyle w:val="InternetLink"/>
                  <w:rFonts w:ascii="Times New Roman;sans-serif" w:hAnsi="Times New Roman;sans-serif"/>
                  <w:b w:val="false"/>
                  <w:color w:val="0000FF"/>
                  <w:sz w:val="20"/>
                  <w:u w:val="single"/>
                </w:rPr>
                <w:t>4</w:t>
              </w:r>
            </w:hyperlink>
          </w:p>
        </w:tc>
      </w:tr>
      <w:tr>
        <w:trPr/>
        <w:tc>
          <w:tcPr>
            <w:tcW w:w="966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03">
              <w:r>
                <w:rPr>
                  <w:rStyle w:val="InternetLink"/>
                  <w:rFonts w:ascii="Times New Roman;sans-serif" w:hAnsi="Times New Roman;sans-serif"/>
                  <w:b w:val="false"/>
                  <w:color w:val="0000FF"/>
                  <w:sz w:val="20"/>
                  <w:u w:val="single"/>
                </w:rPr>
                <w:t>Consolidated Balance Sheets as of December 31, 2023 and 2022</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103">
              <w:r>
                <w:rPr>
                  <w:rStyle w:val="InternetLink"/>
                  <w:rFonts w:ascii="Times New Roman;sans-serif" w:hAnsi="Times New Roman;sans-serif"/>
                  <w:b w:val="false"/>
                  <w:color w:val="0000FF"/>
                  <w:sz w:val="20"/>
                  <w:u w:val="single"/>
                </w:rPr>
                <w:t>5</w:t>
              </w:r>
            </w:hyperlink>
          </w:p>
        </w:tc>
      </w:tr>
      <w:tr>
        <w:trPr/>
        <w:tc>
          <w:tcPr>
            <w:tcW w:w="966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06">
              <w:r>
                <w:rPr>
                  <w:rStyle w:val="InternetLink"/>
                  <w:rFonts w:ascii="Times New Roman;sans-serif" w:hAnsi="Times New Roman;sans-serif"/>
                  <w:b w:val="false"/>
                  <w:color w:val="0000FF"/>
                  <w:sz w:val="20"/>
                  <w:u w:val="single"/>
                </w:rPr>
                <w:t>Consolidated Statements of Income (Loss) and Comprehensive (Loss) Income for the Years Ended</w:t>
              </w:r>
            </w:hyperlink>
          </w:p>
          <w:p>
            <w:pPr>
              <w:pStyle w:val="TableContents"/>
              <w:bidi w:val="0"/>
              <w:spacing w:lineRule="auto" w:line="240" w:before="0" w:after="0"/>
              <w:ind w:left="0" w:right="0" w:firstLine="360"/>
              <w:jc w:val="left"/>
              <w:rPr/>
            </w:pPr>
            <w:hyperlink w:anchor="i2e242ce95bf441e9bfd64c4176f339b2_106">
              <w:r>
                <w:rPr>
                  <w:rStyle w:val="InternetLink"/>
                  <w:rFonts w:ascii="Times New Roman;sans-serif" w:hAnsi="Times New Roman;sans-serif"/>
                  <w:b w:val="false"/>
                  <w:color w:val="0000FF"/>
                  <w:sz w:val="20"/>
                  <w:u w:val="single"/>
                </w:rPr>
                <w:t>December 31, 2023, 2022 and 2021</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106">
              <w:r>
                <w:rPr>
                  <w:rStyle w:val="InternetLink"/>
                  <w:rFonts w:ascii="Times New Roman;sans-serif" w:hAnsi="Times New Roman;sans-serif"/>
                  <w:b w:val="false"/>
                  <w:color w:val="0000FF"/>
                  <w:sz w:val="20"/>
                  <w:u w:val="single"/>
                </w:rPr>
                <w:t>7</w:t>
              </w:r>
            </w:hyperlink>
          </w:p>
        </w:tc>
      </w:tr>
      <w:tr>
        <w:trPr/>
        <w:tc>
          <w:tcPr>
            <w:tcW w:w="966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09">
              <w:r>
                <w:rPr>
                  <w:rStyle w:val="InternetLink"/>
                  <w:rFonts w:ascii="Times New Roman;sans-serif" w:hAnsi="Times New Roman;sans-serif"/>
                  <w:b w:val="false"/>
                  <w:color w:val="0000FF"/>
                  <w:sz w:val="20"/>
                  <w:u w:val="single"/>
                </w:rPr>
                <w:t>Consolidated Statements of Changes in Shareholders’ Equity for the Years Ended</w:t>
              </w:r>
            </w:hyperlink>
          </w:p>
          <w:p>
            <w:pPr>
              <w:pStyle w:val="TableContents"/>
              <w:bidi w:val="0"/>
              <w:spacing w:lineRule="auto" w:line="240" w:before="0" w:after="0"/>
              <w:ind w:left="0" w:right="0" w:firstLine="360"/>
              <w:jc w:val="left"/>
              <w:rPr/>
            </w:pPr>
            <w:hyperlink w:anchor="i2e242ce95bf441e9bfd64c4176f339b2_109">
              <w:r>
                <w:rPr>
                  <w:rStyle w:val="InternetLink"/>
                  <w:rFonts w:ascii="Times New Roman;sans-serif" w:hAnsi="Times New Roman;sans-serif"/>
                  <w:b w:val="false"/>
                  <w:color w:val="0000FF"/>
                  <w:sz w:val="20"/>
                  <w:u w:val="single"/>
                </w:rPr>
                <w:t>December 31, 2023, 2022 and 2021</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109">
              <w:r>
                <w:rPr>
                  <w:rStyle w:val="InternetLink"/>
                  <w:rFonts w:ascii="Times New Roman;sans-serif" w:hAnsi="Times New Roman;sans-serif"/>
                  <w:b w:val="false"/>
                  <w:color w:val="0000FF"/>
                  <w:sz w:val="20"/>
                  <w:u w:val="single"/>
                </w:rPr>
                <w:t>8</w:t>
              </w:r>
            </w:hyperlink>
          </w:p>
        </w:tc>
      </w:tr>
      <w:tr>
        <w:trPr/>
        <w:tc>
          <w:tcPr>
            <w:tcW w:w="966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12">
              <w:r>
                <w:rPr>
                  <w:rStyle w:val="InternetLink"/>
                  <w:rFonts w:ascii="Times New Roman;sans-serif" w:hAnsi="Times New Roman;sans-serif"/>
                  <w:b w:val="false"/>
                  <w:color w:val="0000FF"/>
                  <w:sz w:val="20"/>
                  <w:u w:val="single"/>
                </w:rPr>
                <w:t>Consolidated Statements of Cash Flows for the Years Ended December 31, 2023, 2022 and 2021</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112">
              <w:r>
                <w:rPr>
                  <w:rStyle w:val="InternetLink"/>
                  <w:rFonts w:ascii="Times New Roman;sans-serif" w:hAnsi="Times New Roman;sans-serif"/>
                  <w:b w:val="false"/>
                  <w:color w:val="0000FF"/>
                  <w:sz w:val="20"/>
                  <w:u w:val="single"/>
                </w:rPr>
                <w:t>9</w:t>
              </w:r>
            </w:hyperlink>
          </w:p>
        </w:tc>
      </w:tr>
      <w:tr>
        <w:trPr/>
        <w:tc>
          <w:tcPr>
            <w:tcW w:w="966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15">
              <w:r>
                <w:rPr>
                  <w:rStyle w:val="InternetLink"/>
                  <w:rFonts w:ascii="Times New Roman;sans-serif" w:hAnsi="Times New Roman;sans-serif"/>
                  <w:b w:val="false"/>
                  <w:color w:val="0000FF"/>
                  <w:sz w:val="20"/>
                  <w:u w:val="single"/>
                </w:rPr>
                <w:t>Notes to Consolidated Financial Statements for the Years Ended December 31, 2023, 2022 and 2021</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115">
              <w:r>
                <w:rPr>
                  <w:rStyle w:val="InternetLink"/>
                  <w:rFonts w:ascii="Times New Roman;sans-serif" w:hAnsi="Times New Roman;sans-serif"/>
                  <w:b w:val="false"/>
                  <w:color w:val="0000FF"/>
                  <w:sz w:val="20"/>
                  <w:u w:val="single"/>
                </w:rPr>
                <w:t>10</w:t>
              </w:r>
            </w:hyperlink>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93">
              <w:r>
                <w:rPr>
                  <w:rStyle w:val="InternetLink"/>
                  <w:rFonts w:ascii="Times New Roman;sans-serif" w:hAnsi="Times New Roman;sans-serif"/>
                  <w:b w:val="false"/>
                  <w:color w:val="0000FF"/>
                  <w:sz w:val="20"/>
                  <w:u w:val="single"/>
                </w:rPr>
                <w:t>Schedule I</w:t>
              </w:r>
            </w:hyperlink>
          </w:p>
        </w:tc>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93">
              <w:r>
                <w:rPr>
                  <w:rStyle w:val="InternetLink"/>
                  <w:rFonts w:ascii="Times New Roman;sans-serif" w:hAnsi="Times New Roman;sans-serif"/>
                  <w:b w:val="false"/>
                  <w:color w:val="0000FF"/>
                  <w:sz w:val="20"/>
                  <w:u w:val="single"/>
                </w:rPr>
                <w:t>Summary of Investments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193">
              <w:r>
                <w:rPr>
                  <w:rStyle w:val="InternetLink"/>
                  <w:rFonts w:ascii="Times New Roman;sans-serif" w:hAnsi="Times New Roman;sans-serif"/>
                  <w:b w:val="false"/>
                  <w:color w:val="0000FF"/>
                  <w:sz w:val="20"/>
                  <w:u w:val="single"/>
                </w:rPr>
                <w:t>59</w:t>
              </w:r>
            </w:hyperlink>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96">
              <w:r>
                <w:rPr>
                  <w:rStyle w:val="InternetLink"/>
                  <w:rFonts w:ascii="Times New Roman;sans-serif" w:hAnsi="Times New Roman;sans-serif"/>
                  <w:b w:val="false"/>
                  <w:color w:val="0000FF"/>
                  <w:sz w:val="20"/>
                  <w:u w:val="single"/>
                </w:rPr>
                <w:t>Schedule II</w:t>
              </w:r>
            </w:hyperlink>
          </w:p>
        </w:tc>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96">
              <w:r>
                <w:rPr>
                  <w:rStyle w:val="InternetLink"/>
                  <w:rFonts w:ascii="Times New Roman;sans-serif" w:hAnsi="Times New Roman;sans-serif"/>
                  <w:b w:val="false"/>
                  <w:color w:val="0000FF"/>
                  <w:sz w:val="20"/>
                  <w:u w:val="single"/>
                </w:rPr>
                <w:t>Condensed Financial Information of Registrant</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196">
              <w:r>
                <w:rPr>
                  <w:rStyle w:val="InternetLink"/>
                  <w:rFonts w:ascii="Times New Roman;sans-serif" w:hAnsi="Times New Roman;sans-serif"/>
                  <w:b w:val="false"/>
                  <w:color w:val="0000FF"/>
                  <w:sz w:val="20"/>
                  <w:u w:val="single"/>
                </w:rPr>
                <w:t>60</w:t>
              </w:r>
            </w:hyperlink>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99">
              <w:r>
                <w:rPr>
                  <w:rStyle w:val="InternetLink"/>
                  <w:rFonts w:ascii="Times New Roman;sans-serif" w:hAnsi="Times New Roman;sans-serif"/>
                  <w:b w:val="false"/>
                  <w:color w:val="0000FF"/>
                  <w:sz w:val="20"/>
                  <w:u w:val="single"/>
                </w:rPr>
                <w:t>Schedule III</w:t>
              </w:r>
            </w:hyperlink>
          </w:p>
        </w:tc>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199">
              <w:r>
                <w:rPr>
                  <w:rStyle w:val="InternetLink"/>
                  <w:rFonts w:ascii="Times New Roman;sans-serif" w:hAnsi="Times New Roman;sans-serif"/>
                  <w:b w:val="false"/>
                  <w:color w:val="0000FF"/>
                  <w:sz w:val="20"/>
                  <w:u w:val="single"/>
                </w:rPr>
                <w:t>Supplementary Insurance Information</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199">
              <w:r>
                <w:rPr>
                  <w:rStyle w:val="InternetLink"/>
                  <w:rFonts w:ascii="Times New Roman;sans-serif" w:hAnsi="Times New Roman;sans-serif"/>
                  <w:b w:val="false"/>
                  <w:color w:val="0000FF"/>
                  <w:sz w:val="20"/>
                  <w:u w:val="single"/>
                </w:rPr>
                <w:t>64</w:t>
              </w:r>
            </w:hyperlink>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02">
              <w:r>
                <w:rPr>
                  <w:rStyle w:val="InternetLink"/>
                  <w:rFonts w:ascii="Times New Roman;sans-serif" w:hAnsi="Times New Roman;sans-serif"/>
                  <w:b w:val="false"/>
                  <w:color w:val="0000FF"/>
                  <w:sz w:val="20"/>
                  <w:u w:val="single"/>
                </w:rPr>
                <w:t>Schedule IV</w:t>
              </w:r>
            </w:hyperlink>
          </w:p>
        </w:tc>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02">
              <w:r>
                <w:rPr>
                  <w:rStyle w:val="InternetLink"/>
                  <w:rFonts w:ascii="Times New Roman;sans-serif" w:hAnsi="Times New Roman;sans-serif"/>
                  <w:b w:val="false"/>
                  <w:color w:val="0000FF"/>
                  <w:sz w:val="20"/>
                  <w:u w:val="single"/>
                </w:rPr>
                <w:t>Reinsurance</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202">
              <w:r>
                <w:rPr>
                  <w:rStyle w:val="InternetLink"/>
                  <w:rFonts w:ascii="Times New Roman;sans-serif" w:hAnsi="Times New Roman;sans-serif"/>
                  <w:b w:val="false"/>
                  <w:color w:val="0000FF"/>
                  <w:sz w:val="20"/>
                  <w:u w:val="single"/>
                </w:rPr>
                <w:t>65</w:t>
              </w:r>
            </w:hyperlink>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05">
              <w:r>
                <w:rPr>
                  <w:rStyle w:val="InternetLink"/>
                  <w:rFonts w:ascii="Times New Roman;sans-serif" w:hAnsi="Times New Roman;sans-serif"/>
                  <w:b w:val="false"/>
                  <w:color w:val="0000FF"/>
                  <w:sz w:val="20"/>
                  <w:u w:val="single"/>
                </w:rPr>
                <w:t>Schedule V</w:t>
              </w:r>
            </w:hyperlink>
          </w:p>
        </w:tc>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05">
              <w:r>
                <w:rPr>
                  <w:rStyle w:val="InternetLink"/>
                  <w:rFonts w:ascii="Times New Roman;sans-serif" w:hAnsi="Times New Roman;sans-serif"/>
                  <w:b w:val="false"/>
                  <w:color w:val="0000FF"/>
                  <w:sz w:val="20"/>
                  <w:u w:val="single"/>
                </w:rPr>
                <w:t>Valuation and Qualifying Accounts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205">
              <w:r>
                <w:rPr>
                  <w:rStyle w:val="InternetLink"/>
                  <w:rFonts w:ascii="Times New Roman;sans-serif" w:hAnsi="Times New Roman;sans-serif"/>
                  <w:b w:val="false"/>
                  <w:color w:val="0000FF"/>
                  <w:sz w:val="20"/>
                  <w:u w:val="single"/>
                </w:rPr>
                <w:t>66</w:t>
              </w:r>
            </w:hyperlink>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08">
              <w:r>
                <w:rPr>
                  <w:rStyle w:val="InternetLink"/>
                  <w:rFonts w:ascii="Times New Roman;sans-serif" w:hAnsi="Times New Roman;sans-serif"/>
                  <w:b w:val="false"/>
                  <w:color w:val="0000FF"/>
                  <w:sz w:val="20"/>
                  <w:u w:val="single"/>
                </w:rPr>
                <w:t>Schedule VI</w:t>
              </w:r>
            </w:hyperlink>
          </w:p>
        </w:tc>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242ce95bf441e9bfd64c4176f339b2_208">
              <w:r>
                <w:rPr>
                  <w:rStyle w:val="InternetLink"/>
                  <w:rFonts w:ascii="Times New Roman;sans-serif" w:hAnsi="Times New Roman;sans-serif"/>
                  <w:b w:val="false"/>
                  <w:color w:val="0000FF"/>
                  <w:sz w:val="20"/>
                  <w:u w:val="single"/>
                </w:rPr>
                <w:t>Supplementary Information Concerning Property Casualty Insurance Operations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242ce95bf441e9bfd64c4176f339b2_208">
              <w:r>
                <w:rPr>
                  <w:rStyle w:val="InternetLink"/>
                  <w:rFonts w:ascii="Times New Roman;sans-serif" w:hAnsi="Times New Roman;sans-serif"/>
                  <w:b w:val="false"/>
                  <w:color w:val="0000FF"/>
                  <w:sz w:val="20"/>
                  <w:u w:val="single"/>
                </w:rPr>
                <w:t>67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James River Group Holdings, Ltd.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We have audited the accompanying consolidated balance sheets of James River Group Holdings, Ltd. and subsidiaries (the Company) as of December 31, 2023 and 2022, the related consolidated statements of (loss) income and</w:t>
      </w:r>
      <w:r>
        <w:rPr>
          <w:color w:val="000000"/>
        </w:rPr>
        <w:t xml:space="preserve"> </w:t>
      </w:r>
      <w:r>
        <w:rPr>
          <w:rFonts w:ascii="Times New Roman;sans-serif" w:hAnsi="Times New Roman;sans-serif"/>
          <w:b w:val="false"/>
          <w:color w:val="000000"/>
          <w:sz w:val="20"/>
        </w:rPr>
        <w:t xml:space="preserve">comprehensive loss, changes in shareholders' equity and cash flows for each of the three years in the period ended December 31, 2023,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unqualified opinion thereon.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82"/>
        <w:gridCol w:w="424"/>
        <w:gridCol w:w="426"/>
        <w:gridCol w:w="109"/>
        <w:gridCol w:w="109"/>
        <w:gridCol w:w="109"/>
        <w:gridCol w:w="2691"/>
        <w:gridCol w:w="2421"/>
        <w:gridCol w:w="3434"/>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Valuation of reserves for losses and loss adjustment expenses</w:t>
            </w:r>
          </w:p>
        </w:tc>
      </w:tr>
      <w:tr>
        <w:trPr/>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At December 31, 2023, the Company’s reserve for losses and loss adjustment expenses balance was $3.0 billion, $441.7 million of which is reported within liabilities held for sale. As described in Notes 1 and 8 of the consolidated financial statements, reserves for losses and loss adjustment expenses reflect the estimated ultimate cost of all incurred unpaid claims including estimates of claims incurred but not reported and loss adjustment expenses as of the balance sheet date. The estimate of ultimate losses and loss adjustment expenses relies on key judgments, including the weighting of actuarial methods by line of business and accident year. Actuarial assumptions include initial expected loss ratios, and incurred and paid loss development factors. The Company's Reserve Committee utilizes the actuarial results, in addition to other information, in determining management's best estimate of recorded reserves.</w:t>
              <w:br/>
            </w:r>
            <w:r>
              <w:rPr>
                <w:rFonts w:ascii="Times New Roman;sans-serif" w:hAnsi="Times New Roman;sans-serif"/>
                <w:b w:val="false"/>
                <w:sz w:val="20"/>
              </w:rPr>
              <w:br/>
            </w:r>
            <w:r>
              <w:rPr>
                <w:rFonts w:ascii="Times New Roman;sans-serif" w:hAnsi="Times New Roman;sans-serif"/>
                <w:b w:val="false"/>
                <w:color w:val="000000"/>
                <w:sz w:val="20"/>
              </w:rPr>
              <w:t>The subjectivity and uncertainty of estimating the reserve for losses and loss adjustment expenses is caused by various factors including the uncertainty of future frequency and severity of claims, economic and social trends including inflation and litigation, changes in the business and exposure mix, as well as changes in operations. As such, performing audit procedures to evaluate the reserve for losses and loss adjustment expenses required a high degree of auditor judgment and an increased extent of effort, including the involvement of our actuarial specialists.</w:t>
            </w:r>
          </w:p>
        </w:tc>
      </w:tr>
      <w:tr>
        <w:trPr/>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controls related to the valuation of the reserve for losses and loss adjustment expenses. This included testing controls that management has in place over the inputs, methods and assumptions used in estimating the reserve. </w:t>
            </w:r>
          </w:p>
          <w:p>
            <w:pPr>
              <w:pStyle w:val="TableContents"/>
              <w:bidi w:val="0"/>
              <w:spacing w:before="0" w:after="0"/>
              <w:jc w:val="left"/>
              <w:rPr/>
            </w:pPr>
            <w:r>
              <w:rPr/>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reserve for losses and loss adjustment expenses, we evaluated the actuarial methods and assumptions used by the Company with the assistance of our actuarial specialists as well as other judgments made by management in determining their best estimate of recorded reserves. We compared the Company’s prior year assumptions of expected development of ultimate loss to actual losses incurred during the current year to identify potential management bias in the determination of the reserve for losses and loss adjustment expenses. We independently projected reserves for selected lines of business using actual historical data and loss development patterns, as well as industry data and other benchmarks where applicable, and compared management’s recorded reserves to these independent estimates.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29, 2024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James River Group Holdings, Ltd.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We have audited James River Group Holdings, Ltd.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James River Group Holdings, Ltd. and subsidiaries (the Company) maintained, in all material respects, effective internal control over financial reporting as of December 31, 2023, based on the COSO criteria</w:t>
      </w:r>
      <w:r>
        <w:rPr>
          <w:rFonts w:ascii="Times New Roman;sans-serif" w:hAnsi="Times New Roman;sans-serif"/>
          <w:b/>
          <w:color w:val="000000"/>
          <w:sz w:val="20"/>
        </w:rPr>
        <w:t>.</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(loss) income and</w:t>
      </w:r>
      <w:r>
        <w:rPr>
          <w:color w:val="000000"/>
        </w:rPr>
        <w:t xml:space="preserve"> </w:t>
      </w:r>
      <w:r>
        <w:rPr>
          <w:rFonts w:ascii="Times New Roman;sans-serif" w:hAnsi="Times New Roman;sans-serif"/>
          <w:b w:val="false"/>
          <w:color w:val="000000"/>
          <w:sz w:val="20"/>
        </w:rPr>
        <w:t>comprehensive loss, changes in shareholders' equity and cash flows for each of the three years in the period ended December 31, 2023, and the related notes and financial statement schedules listed in the Index at Item 15(a) and our report dated February 29, 2024 expressed an unqualified opinion thereon.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left"/>
        <w:rPr/>
      </w:pPr>
      <w:r>
        <w:rPr/>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29,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625"/>
        <w:gridCol w:w="2230"/>
        <w:gridCol w:w="2227"/>
        <w:gridCol w:w="211"/>
        <w:gridCol w:w="976"/>
        <w:gridCol w:w="109"/>
        <w:gridCol w:w="109"/>
        <w:gridCol w:w="109"/>
        <w:gridCol w:w="109"/>
        <w:gridCol w:w="211"/>
        <w:gridCol w:w="976"/>
        <w:gridCol w:w="313"/>
      </w:tblGrid>
      <w:tr>
        <w:trPr/>
        <w:tc>
          <w:tcPr>
            <w:tcW w:w="2625"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7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08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Invested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 at fair value (amortized cost: 2023 – $1,405,136; 2022 – $1,282,367)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1,171,303 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 (cost: 2023 – $114,107; 2022 – $113,180)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115,155 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at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54,281 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95,351 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1,463,537 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239,944 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1,259,617 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paid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114,242 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269,442 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held-for-sale (Note 2 - 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1,145,799 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5,137,075 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646"/>
        <w:gridCol w:w="2292"/>
        <w:gridCol w:w="2301"/>
        <w:gridCol w:w="211"/>
        <w:gridCol w:w="976"/>
        <w:gridCol w:w="109"/>
        <w:gridCol w:w="109"/>
        <w:gridCol w:w="109"/>
        <w:gridCol w:w="109"/>
        <w:gridCol w:w="211"/>
        <w:gridCol w:w="976"/>
        <w:gridCol w:w="156"/>
      </w:tblGrid>
      <w:tr>
        <w:trPr/>
        <w:tc>
          <w:tcPr>
            <w:tcW w:w="2646"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2,340,963 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reinsurers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held-for-sale (Note 2 -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4,438,411 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 – 2023 and 2022: $0.00125 par value; 20,000,000 shares authorized; 150,000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 2023 and 2022: $0.0002 par value; 200,000,000 shares authorized; 37,641,563 and 37,470,237 shares issued and outstanding,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Series A redeemable preferred shares,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5,137,075 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(Loss) Income and Comprehensive Loss</w:t>
      </w:r>
    </w:p>
    <w:tbl>
      <w:tblPr>
        <w:tblW w:w="10205" w:type="dxa"/>
        <w:jc w:val="left"/>
        <w:tblInd w:w="0" w:type="dxa"/>
        <w:tblLayout w:type="fixed"/>
        <w:tblCellMar>
          <w:top w:w="28" w:type="dxa"/>
          <w:left w:w="28" w:type="dxa"/>
          <w:bottom w:w="28" w:type="dxa"/>
          <w:right w:w="28" w:type="dxa"/>
        </w:tblCellMar>
      </w:tblPr>
      <w:tblGrid>
        <w:gridCol w:w="2244"/>
        <w:gridCol w:w="1860"/>
        <w:gridCol w:w="1872"/>
        <w:gridCol w:w="196"/>
        <w:gridCol w:w="871"/>
        <w:gridCol w:w="109"/>
        <w:gridCol w:w="109"/>
        <w:gridCol w:w="109"/>
        <w:gridCol w:w="109"/>
        <w:gridCol w:w="196"/>
        <w:gridCol w:w="871"/>
        <w:gridCol w:w="109"/>
        <w:gridCol w:w="109"/>
        <w:gridCol w:w="109"/>
        <w:gridCol w:w="109"/>
        <w:gridCol w:w="196"/>
        <w:gridCol w:w="871"/>
        <w:gridCol w:w="156"/>
      </w:tblGrid>
      <w:tr>
        <w:trPr/>
        <w:tc>
          <w:tcPr>
            <w:tcW w:w="2244"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written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written 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(740,033)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written premiums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585,185 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net unearned 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earned premiums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561,371 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realized and unrealized gains (losses) on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609,035 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Losses and loss adjustment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717,165 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continuing operations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(108,130)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 on continuing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(23,235)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from continuing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(84,895)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 (Note 2):</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held for sale classification of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loss from discontinued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(172,799)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Series A preferred shares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 available to common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(172,799)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gains (losses), net of taxes of $6,384 in 2023, $(27,041) in 2022, and $(7,135) in 2021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(224,720)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common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declared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common shares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37,618,660 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37,442,856 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34,956,957 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37,810,440 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37,650,969 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34,956,957 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w:t>
      </w:r>
    </w:p>
    <w:tbl>
      <w:tblPr>
        <w:tblW w:w="10205" w:type="dxa"/>
        <w:jc w:val="left"/>
        <w:tblInd w:w="0" w:type="dxa"/>
        <w:tblLayout w:type="fixed"/>
        <w:tblCellMar>
          <w:top w:w="28" w:type="dxa"/>
          <w:left w:w="28" w:type="dxa"/>
          <w:bottom w:w="28" w:type="dxa"/>
          <w:right w:w="28" w:type="dxa"/>
        </w:tblCellMar>
      </w:tblPr>
      <w:tblGrid>
        <w:gridCol w:w="781"/>
        <w:gridCol w:w="481"/>
        <w:gridCol w:w="482"/>
        <w:gridCol w:w="480"/>
        <w:gridCol w:w="481"/>
        <w:gridCol w:w="336"/>
        <w:gridCol w:w="109"/>
        <w:gridCol w:w="109"/>
        <w:gridCol w:w="109"/>
        <w:gridCol w:w="274"/>
        <w:gridCol w:w="338"/>
        <w:gridCol w:w="154"/>
        <w:gridCol w:w="109"/>
        <w:gridCol w:w="109"/>
        <w:gridCol w:w="109"/>
        <w:gridCol w:w="109"/>
        <w:gridCol w:w="109"/>
        <w:gridCol w:w="196"/>
        <w:gridCol w:w="736"/>
        <w:gridCol w:w="109"/>
        <w:gridCol w:w="109"/>
        <w:gridCol w:w="109"/>
        <w:gridCol w:w="109"/>
        <w:gridCol w:w="206"/>
        <w:gridCol w:w="809"/>
        <w:gridCol w:w="114"/>
        <w:gridCol w:w="109"/>
        <w:gridCol w:w="109"/>
        <w:gridCol w:w="109"/>
        <w:gridCol w:w="225"/>
        <w:gridCol w:w="864"/>
        <w:gridCol w:w="127"/>
        <w:gridCol w:w="109"/>
        <w:gridCol w:w="109"/>
        <w:gridCol w:w="109"/>
        <w:gridCol w:w="208"/>
        <w:gridCol w:w="783"/>
        <w:gridCol w:w="168"/>
      </w:tblGrid>
      <w:tr>
        <w:trPr/>
        <w:tc>
          <w:tcPr>
            <w:tcW w:w="7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w:t>
              <w:br/>
              <w:t>(Par)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(Deficit)</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c>
          <w:tcPr>
            <w:tcW w:w="1486" w:type="dxa"/>
            <w:gridSpan w:val="6"/>
            <w:tcBorders/>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2020</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30,649,261 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81,899 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795,608 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6,497,500 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93,446 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132,859 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common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37,373,066 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(166,663)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725,362 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(193,022)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(193,022)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97,171 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Series A preferred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common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37,470,237 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(152,055)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(163,044)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553,766 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(107,684)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171,326 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under share incentive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Series A preferred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common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37,641,563 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(277,905)</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534,621 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1737"/>
        <w:gridCol w:w="1503"/>
        <w:gridCol w:w="1515"/>
        <w:gridCol w:w="457"/>
        <w:gridCol w:w="1887"/>
        <w:gridCol w:w="254"/>
        <w:gridCol w:w="109"/>
        <w:gridCol w:w="109"/>
        <w:gridCol w:w="109"/>
        <w:gridCol w:w="196"/>
        <w:gridCol w:w="736"/>
        <w:gridCol w:w="109"/>
        <w:gridCol w:w="109"/>
        <w:gridCol w:w="109"/>
        <w:gridCol w:w="109"/>
        <w:gridCol w:w="196"/>
        <w:gridCol w:w="803"/>
        <w:gridCol w:w="158"/>
      </w:tblGrid>
      <w:tr>
        <w:trPr/>
        <w:tc>
          <w:tcPr>
            <w:tcW w:w="1737"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(in thousands)</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(107,684)</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(172,799)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income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policy acquisition costs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(73,333)</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policy acquisition costs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96,453 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realized and unrealized losses (gains) on investments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intangible assets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equity method investments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equity method investments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held-for sale classification of discontinued operations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U.S. federal income tax benefit</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depreciation and amortization</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 expense</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Excess tax benefits from equity incentive plan transactions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w:t>
            </w:r>
          </w:p>
        </w:tc>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Reserve for losses and loss adjustment expenses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278,778 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556,393 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Unearned premiums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(70,894)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receivable and agents’ balances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22,594 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Reinsurance balances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(66,274)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(601,632)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Funds held</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(107,922)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(762,560)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insurance companies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 (a)</w:t>
            </w:r>
          </w:p>
        </w:tc>
        <w:tc>
          <w:tcPr>
            <w:tcW w:w="2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87,953 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(913,546)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2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(197,360)</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(362,537)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34,537 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and calls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139,867 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(11,869)</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Bank loan participations:</w:t>
            </w:r>
          </w:p>
        </w:tc>
        <w:tc>
          <w:tcPr>
            <w:tcW w:w="2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(72,580)</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52,016 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27,605 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invested assets:</w:t>
            </w:r>
          </w:p>
        </w:tc>
        <w:tc>
          <w:tcPr>
            <w:tcW w:w="2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of capital</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and redemptions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receivable or payable, net</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 net</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35,675 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(6,434)</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2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16,732 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2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debt repayments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A preferred shares (Note 12)</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common shares - public offering</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common shares under equity incentive plans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Payroll taxes withheld and remitted on net settlement of RSUs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Series A preferred shares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(10,500)</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common shares</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w:t>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2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(21,115)</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147,671 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cash equivalents, and restricted cash equivalents (b)</w:t>
            </w:r>
          </w:p>
        </w:tc>
        <w:tc>
          <w:tcPr>
            <w:tcW w:w="2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83,570 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(730,052)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equivalents at beginning of year</w:t>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276,379 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1,022,180 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cash equivalents, and restricted cash equivalents at end of year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359,949 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292,128 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before="0" w:after="20"/>
        <w:jc w:val="left"/>
        <w:rPr/>
      </w:pPr>
      <w:r>
        <w:rPr/>
      </w:r>
    </w:p>
    <w:tbl>
      <w:tblPr>
        <w:tblW w:w="7317" w:type="dxa"/>
        <w:jc w:val="left"/>
        <w:tblInd w:w="0" w:type="dxa"/>
        <w:tblLayout w:type="fixed"/>
        <w:tblCellMar>
          <w:top w:w="28" w:type="dxa"/>
          <w:left w:w="28" w:type="dxa"/>
          <w:bottom w:w="28" w:type="dxa"/>
          <w:right w:w="28" w:type="dxa"/>
        </w:tblCellMar>
      </w:tblPr>
      <w:tblGrid>
        <w:gridCol w:w="1239"/>
        <w:gridCol w:w="1089"/>
        <w:gridCol w:w="1092"/>
        <w:gridCol w:w="196"/>
        <w:gridCol w:w="736"/>
        <w:gridCol w:w="109"/>
        <w:gridCol w:w="109"/>
        <w:gridCol w:w="109"/>
        <w:gridCol w:w="109"/>
        <w:gridCol w:w="196"/>
        <w:gridCol w:w="736"/>
        <w:gridCol w:w="109"/>
        <w:gridCol w:w="109"/>
        <w:gridCol w:w="109"/>
        <w:gridCol w:w="109"/>
        <w:gridCol w:w="196"/>
        <w:gridCol w:w="81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federal income taxes paid (refunded),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equivalents at 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equivalents at end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restricted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(757,915)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pPr>
      <w:r>
        <w:rPr>
          <w:rFonts w:ascii="Times New Roman;sans-serif" w:hAnsi="Times New Roman;sans-serif"/>
          <w:b w:val="false"/>
          <w:color w:val="000000"/>
          <w:sz w:val="20"/>
        </w:rPr>
        <w:t xml:space="preserve">(a) Cash provided by (used in) operating activities for the years ended December 31, 2023, 2022, and 2021 reflects the activity in restricted cash equivalents above. As permitted under the agreements establishing the Indemnity Trust and the LPT Trust, we have withdrawn collateral from the Indemnity Trust and the LPT Trust to fund the Loss Fund Trust as required under the Administrative Services Agreement. Amounts on deposit in the Loss Fund Trust are included in restricted cash equivalents on the Company's consolidated balance sheets. See “Item 7. Management’s Discussion and Analysis of Financial Condition and Results of Operations – </w:t>
      </w:r>
      <w:r>
        <w:rPr>
          <w:rFonts w:ascii="Times New Roman;sans-serif" w:hAnsi="Times New Roman;sans-serif"/>
          <w:b w:val="false"/>
          <w:i/>
          <w:color w:val="000000"/>
          <w:sz w:val="20"/>
        </w:rPr>
        <w:t>Amounts Recoverable from an Indemnifying Party and Reinsurer on Legacy Commercial Auto Book</w:t>
      </w:r>
      <w:r>
        <w:rPr>
          <w:color w:val="000000"/>
        </w:rPr>
        <w:t>”</w:t>
      </w:r>
      <w:r>
        <w:rPr>
          <w:rFonts w:ascii="Times New Roman;sans-serif" w:hAnsi="Times New Roman;sans-serif"/>
          <w:b w:val="false"/>
          <w:color w:val="000000"/>
          <w:sz w:val="20"/>
        </w:rPr>
        <w:t>. Excluding the restricted cash activity above, cash provided by (used in) operating activities was $118.7 million, $221.5 million, and $(155.6) million for the years ended December 31, 2023, 2022, and 2021, respectively. The cash used in operating activities (excluding restricted cash equivalents) in 2021 was largely driven by $317.6 million paid to effect a loss portfolio transfer reinsurance transaction.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 includes change in cash and cash equivalents classified as held-for-sale (See Note 2).</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    Accounting Policies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(referred to as “JRG Holdings” or, with its subsidiaries, the “Company”) is an exempted holding company registered in Bermuda, organized for the purpose of acquiring and managing insurance entities.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owns five insurance companies based in the United States (“U.S.”) focused on specialty insurance niches as described below:</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James River Group Holdings UK Limited (“James River UK”) is an insurance holding company formed in 2015 in the United Kingdom (“U.K.”). The Company contributed James River Group, Inc. (“James River Group”), a U.S. insurance holding company, to James River UK in 2015.</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James River Insurance Company (“James River Insurance”) is an Ohio domiciled excess and surplus lines insurance company that, with its wholly-owned insurance subsidiary, James River Casualty Company, is authorized to write business in every state and the District of Columbia.</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primarily writes specialty admitted fronting and program business and individual risk workers' compensation insurance.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owns JRG Reinsurance Company Ltd. (“JRG Re”), a Bermuda domiciled reinsurer, which comprises the remaining operations of the former Casualty Reinsurance segment, and which, prior to the suspension of its underwriting activities in 2023, primarily provided non-catastrophe casualty reinsurance to U.S. third parties and, through December 31, 2017, to the Company’s U.S.-based insurance subsidiaries. On November 8, 2023, the Company entered into an agreement to sell JRG Re. The sale is expected to close in the first quarter of 2024 and will result in the Company’s disposition of its casualty reinsurance business and related assets. See Held-for-Sale and Discontinued Operations below and Note 2 for additional disclosure.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are prepared in accordance with U.S. generally accepted accounting principles (“GAAP”), which vary in some respects from statutory accounting practices (“SAP”) which are prescribed or permitted by the various state insurance departments in the U.S. or by insurance regulators in Bermuda. The accompanying consolidated financial statements include the accounts and operations of the Company and its subsidiaries. Intercompany transactions and balances have been eliminated.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Held-for-Sale and Discontinued Operations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of a component of the Company are reported in discontinued operations when certain criteria are met as of the date of disposal, or earlier if classified as held-for-sale. The Company has determined that the definitive agreement to sell JRG Re meets the criteria for JRG Re to be classified as held for sale and that the sale represents a strategic shift that will have a major effect on the Company's operations. Accordingly, the results of JRG Re's operations have been presented as discontinued operations, and the assets and liabilities of JRG Re have been classified as held-for-sale and segregated for all periods presented in this Annual Report on Form 10-K. See Note 2 for additional disclosure.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Estimates and Assumptions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Preparation of the consolidated financial statements in conformity with GAAP requires management to make estimates and assumptions that affect the amounts reported in the consolidated financial statements and accompanying disclosures. Those estimates are inherently subject to change, and actual results may ultimately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Fixed Maturity and Equity Securities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classified as “available-for-sale” are carried at fair value, and unrealized gains and losses on such securities, net of any deferred taxes, are reported as a separate component of accumulated other comprehensive income. The Company does not have any securities classified as “held-to-maturity” or “trading”.</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generally represents quoted market value prices for securities traded in the public marketplace or prices analytically determined using bid or closing prices for securities not traded in the public marketplace.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Premiums and discounts on mortgage-backed securities and asset-backed securities are amortized or accrued using the constant yield method which considers anticipated prepayments at the date of purchase. To the extent that the estimated lives of such securities change as a result of changes in estimated prepayment rates, the adjustments are included in net investment income using the retrospective method.</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gains or losses are determined on a specific identification basis. Interest income is recognized as earned, and dividend income is recognized on the ex-dividend date.</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The</w:t>
      </w:r>
      <w:r>
        <w:rPr>
          <w:color w:val="231F20"/>
        </w:rPr>
        <w:t xml:space="preserve"> </w:t>
      </w:r>
      <w:r>
        <w:rPr>
          <w:rFonts w:ascii="Times New Roman;sans-serif" w:hAnsi="Times New Roman;sans-serif"/>
          <w:b w:val="false"/>
          <w:color w:val="231F20"/>
          <w:sz w:val="20"/>
        </w:rPr>
        <w:t xml:space="preserve">Company reviews its available-for-sale fixed maturities to determine whether any unrealized losses are due to credit-related factors. An allowance for credit losses is established for any </w:t>
      </w:r>
      <w:r>
        <w:rPr>
          <w:rFonts w:ascii="Times New Roman;sans-serif" w:hAnsi="Times New Roman;sans-serif"/>
          <w:b w:val="false"/>
          <w:color w:val="000000"/>
          <w:sz w:val="20"/>
        </w:rPr>
        <w:t>credit-related</w:t>
      </w:r>
      <w:r>
        <w:rPr>
          <w:color w:val="231F20"/>
        </w:rPr>
        <w:t xml:space="preserve"> </w:t>
      </w:r>
      <w:r>
        <w:rPr>
          <w:rFonts w:ascii="Times New Roman;sans-serif" w:hAnsi="Times New Roman;sans-serif"/>
          <w:b w:val="false"/>
          <w:color w:val="231F20"/>
          <w:sz w:val="20"/>
        </w:rPr>
        <w:t>impairments, limited to the amount by which fair value is below amortized cost. Changes in the allowance for credit losses are recognized in earnings and included in n</w:t>
      </w:r>
      <w:r>
        <w:rPr>
          <w:rFonts w:ascii="Times New Roman;sans-serif" w:hAnsi="Times New Roman;sans-serif"/>
          <w:b w:val="false"/>
          <w:color w:val="000000"/>
          <w:sz w:val="20"/>
        </w:rPr>
        <w:t>et realized and unrealized gains (losses) on investments</w:t>
      </w:r>
      <w:r>
        <w:rPr>
          <w:rFonts w:ascii="Times New Roman;sans-serif" w:hAnsi="Times New Roman;sans-serif"/>
          <w:b w:val="false"/>
          <w:color w:val="231F20"/>
          <w:sz w:val="20"/>
        </w:rPr>
        <w:t>. Unrealized losses that are not credit-related are recognized in other comprehensive income.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Bank Loan Participations</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Bank loan participations are managed by a specialized outside investment manager. </w:t>
      </w:r>
      <w:r>
        <w:rPr>
          <w:rFonts w:ascii="Times New Roman;sans-serif" w:hAnsi="Times New Roman;sans-serif"/>
          <w:b w:val="false"/>
          <w:color w:val="231F20"/>
          <w:sz w:val="20"/>
        </w:rPr>
        <w:t>The Company has elected the fair value option to account for bank loan participations. Under the fair value option, bank loan participations are measured at fair value, and changes in unrealized gains and losses in bank loan participations are reported in our Consolidated Statements of (Loss) Income and Comprehensive Loss as net realized and unrealized gains (losses) on investments.</w:t>
      </w:r>
    </w:p>
    <w:p>
      <w:pPr>
        <w:pStyle w:val="TextBody"/>
        <w:bidi w:val="0"/>
        <w:spacing w:lineRule="auto" w:line="288" w:before="0" w:after="120"/>
        <w:ind w:left="0" w:right="0" w:firstLine="405"/>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Losses due to credit-related impairments on bank loan participations are determined based upon consultations and advice from the Company's specialized investment manager and consideration of any adverse situations that could affect the borrower's ability to repay, the estimated value of underlying collateral, and other relevant factors.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is accrued on the unpaid principal balance. Discounts and premiums are amortized to income using the interest method.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Interest received on nonaccrual loans generally is reported as investment income. There were no bank loans on nonaccrual status at December 31, 2023 or 2022.</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Other Invested Assets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 at December 31, 2023 and 2022 include the Company’s interests in private debt and equity investments. The investments are primarily focused in renewable energy, limited partnerships, and bank holding companies. Equity interests in various limited liability companies (“LLCs”) and limited partnerships are accounted for under the equity method, as the Company has determined that the equity method best reflects its economic interest in the underlying equity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Short-Term Investments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are carried at amortized cost, which approximates fair value. Short-term investments have maturities greater than three months but less than one year at the date of purchase.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Cash Equivalents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highly liquid investments with maturities of three months or less at the date of purchase to be cash equivalents.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Restricted Cash Equivalents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highly liquid investments with maturities of three months or less at the date of purchase that are segregated for a specific use to be restricted cash equivalents. Certain restricted cash equivalents invested in funds with floating net asset values are measured at fair value with changes in fair value recognized in net income.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Direct Written Premiums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Direct written premiums are earned on a pro rata basis over the terms of the policies, generally 12 months. The portion of premiums written applicable to the unexpired terms of the policies in force is recorded as unearned premiums. Policies are accounted for on an individual basis, with no aggregation by counterparty.</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Premiums Receivable and Agents’ Balances, Net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are carried at face value net of any allowance for credit losses. The allowance for credit losses represents the current estimate of expected credit losses based on the Company’s assessment of the collectability of receivables that are past due, historical collection percentages, and consideration of current economic conditions and expectations of future conditions that could affect ultimate collections. Receivables greater than 90 days past due were $11.5 million and $9.4 million at December 31, 2023 and 2022, respectively. The allowance for credit losses was $17.9 million and $16.2 million at December 31, 2023 and 2022, respectively. Credit loss expense was $2.8 million for the year ended December 31, 2023, $1.1 million for the year ended December 31, 2022, and $9.4 million for the year ended December 31, 2021 ($7.1 million of which was deducted from amounts due to our reinsurers). Receivables written off against the allowance for credit losses totaled $1.2 million for the year ended December 31, 2023, $1.5 million for the year ended December 31, 2022, and $1.1 million for the year ended December 31, 2021. Account balances are charged off against the allowance after all means of collection have been exhausted and the potential for recovery is considered remote.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Deferred Policy Acquisition Costs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Costs which are incrementally or directly related to the successful acquisition of new or renewal insurance business are deferred. These deferred costs are primarily commissions to agents, premium taxes, and the portion of underwriting fixed compensation and payroll related fringe benefits directly related to an insurance contract that has been acquired, net of ceding commissions related to reinsurance ceded. Amortization of such policy acquisition costs is charged to expense in proportion to premium earned over the estimated policy life. To the extent that unearned premiums on existing policies are not adequate to cover projected related costs and expenses, deferred policy acquisition costs are charged to earnings. The Company considers anticipated investment income in determining whether a premium deficiency exists.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Reinsurance and Adjustable Features of Insurance and Reinsurance Contracts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Certain premiums and losses are ceded to other insurance companies under various excess of loss and quota-share reinsurance contracts. The Company enters into ceded reinsurance contracts to limit its exposure to large losses, to limit exposure on new lines of insurance written by the Company, and to provide additional capacity for growth.</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Premiums, commissions, and losses and loss adjustment expenses on reinsured business are accounted for on a basis consistent with that used in accounting for the original policies issued and the terms of the reinsurance contracts. Reinsurance recoverables and prepaid reinsurance premiums are reported as assets. The Company uses a provision matrix to calculate the allowance for credit losses on reinsurance recoverables by applying impairment rates based on historical loss data to similarly rated reinsurance companies based on the expected duration of the receivables. The Company also considers the expected impact of current and future expected economic conditions and adjusts estimates if needed based on an evaluation of these factors. The allowance for credit losses on reinsurance recoverables at December 31, 2023 and 2022 was $660,000 and $580,000, respectively. Other amounts payable to reinsurers or receivable from reinsurers are netted where the right of offset exists. The Company receives ceding commissions in connection with certain ceded reinsurance. The ceding commissions are recorded as a reduction of other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Certain reinsurance contracts include provisions that adjust premiums or acquisition expenses based upon the loss experience under the contracts. Premiums written and earned, as well as related acquisition expenses are recorded based upon the projected loss experience under the contracts.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Specialty Admitted Insurance segment writes insurance under specialty admitted fronting and program arrangements. The fronting and program arrangements may contain contractual provisions that adjust acquisition expenses based upon loss experience under the contracts. The specialty admitted fronting and program arrangements are significantly reinsured. These reinsurance contracts may also contain provisions that adjust premiums or acquisition expenses based upon the loss experience under the contracts. Premiums written and earned, as well as related acquisition expenses, are recorded based upon the projected loss experience under the contracts.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is principally comprised of fee income earned on policies for which the Company has no exposure to underwriting risk. Fee income of $5.3 million, $3.8 million, and $4.5 million is included in other income for the years ended December 31, 2023, 2022, and 2021, respectively. Fees are earned on a pro rata basis over the service period of the underlying business. Policies are accounted for on an individual basis, with no aggregation by counterparty.</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deferred tax liabilities are provided for the future tax consequences attributable to temporary differences between the financial statement carrying amounts of assets and liabilities and their respective U.S. tax basis. Deferred tax assets and liabilities are measured using enacted U.S. corporate tax rates expected to apply to taxable income in the years in which those temporary differences are expected to be recovered or settled. Deferred tax assets are reduced by a valuation allowance only when management believes it is more likely than not that some, or all, of the deferred tax assets will not be realized. The Company determined that no valuation allowance was necessary at December 31, 2023 or 2022.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annually for impairment in the fourth quarter of each calendar year, or more frequently if events or changes in circumstances indicate that the carrying amount of the Company’s reporting units, including goodwill, may exceed their fair values. The Company first assesses qualitative factors in determining whether it is necessary to perform the quantitative goodwill impairment test. If management determines that it is more likely than not that the fair value of a reporting unit is less than the carrying value based on qualitative factors then they will perform the quantitative goodwill impairment test. For the quantitative goodwill impairment testing, the fair value of the reporting units is determined using a combination of a market approach and an income approach which projects the future cash flows produced by the reporting units and discounts those cash flows to their present value. The projection of future cash flows is necessarily dependent upon assumptions on the future levels of income as well as business trends, prospects, market, and economic conditions. The results of the two approaches are weighted to determine the fair value of each reporting unit. When the fair value is less than the carrying value of the net assets of the reporting unit, including goodwill, an impairment loss is charged to operations. To determine the amount of any goodwill impairment, the implied fair value of reporting unit goodwill is compared to the carrying amount of that goodwill. The implied fair value of goodwill is determined in the same manner as the amount of goodwill recognized in a business combination is determined. That is, the fair value of a reporting unit is assigned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Intangible Assets, Net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are initially recognized and measured at fair value. Specifically identified intangible assets with indefinite lives include trademarks and state insurance licenses and authorities. Other specifically identified intangible assets with lives ranging from 7.0 to 27.5 years represent relationships with brokers. These intangible assets are amortized on a straight-line basis over their estimated useful lives.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indefinite useful lives are reviewed for impairment at least annually. In evaluating whether there has been impairment to the intangible asset, management determines the fair value of the intangible asset and compares the resulting fair value to the carrying value of the intangible asset. If the carrying value exceeds the fair value, the intangible asset is written down to fair value, and the impairment is reported through earnings. The Company evaluates intangible assets with definite lives for impairment when impairment indicators are noted.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with finite lives are tested for impairment whenever recognized events or changes in circumstances indicate the carrying value of these assets may not be recoverable. If indicators of impairment are present, fair value is calculated using estimated future cash flows expected to be generated from the use of those assets. In the fourth quarter of 2023, the Company determined that the sustained decrease in the share price of the Company’s common stock was an indication of impairment, and accordingly, the Company performed impairment testing on its goodwill and other intangible assets using a December 31, 2023 valuation date. As a result of this testing, the Company concluded that no impairment of the intangible assets had occurred. An impairment loss is recognized only if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That assessment is based on the carrying amount of the asset or asset group at the date it is tested for recoverability. An impairment loss is measured as the amount by which the carrying amount of a long-lived asset or asset group exceeds its fair value.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which is included in “other assets” in the accompanying consolidated balance sheets, is reported at cost less accumulated depreciation and is depreciated principally on a straight-line basis over the estimated useful lives of the depreciable assets, generally three years to ten years.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Reserve for Losses and Loss Adjustment Expenses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reserve for losses and loss adjustment expenses represents the estimated ultimate cost of all reported and unreported losses and loss adjustment expenses incurred and unpaid at the balance sheet date. The Company does not discount this reserve. The process of estimating the reserve for losses and loss adjustment expenses requires a high degree of judgment and is subject to a number of variables. The reserve for losses and loss adjustment expenses is estimated using individual case-basis valuations and statistical analyses. Those estimates are subject to the effects of trends in loss severity and frequency.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various actuarially-accepted reserving methodologies in determining expected outcomes for its reserves. These methodologies utilize various inputs, including management’s initial expected loss ratio (the ratio of losses and loss adjustment expenses incurred to net earned premiums), expected reporting patterns and payment patterns for losses and loss adjustment expenses (based on insurance industry data and the Company’s own experience), and the Company’s actual paid and reported losses and loss adjustment expenses. An internal actuary reviews these results and (after applying appropriate professional judgment and other actuarial techniques that are considered necessary) presents recommendations to the Company’s management. Management uses this information and its judgment to make decisions on the final recorded reserve for losses and loss adjustment expenses. Management believes that the use of judgment is necessary to arrive at a best estimate for the reserve for losses and loss adjustment expenses given the long-tailed nature of the business generally written by the Company and the limited operating experience of the fronting and program business in the Specialty Admitted Insurance segment and the commercial auto business in the Excess and Surplus Lines segment. Judgment is also required to make actuarial adjustments, if needed, for changes in claims processing and case reserving that could cause current reported loss and paid loss development patterns to deviate from historical patterns. The Company believes that the insurance that it writes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Catastrophes of significant magnitude, including hurricanes and earthquakes, involve complex coverage issues. In estimating the reserve for losses and loss adjustment expenses for these catastrophes, management uses case reserve estimates based on information obtained from site inspections by the Company’s adjustors and the terms of coverage provided in the policies. Management estimates reserves for incurred but not reported claims for these catastrophes using judgment based on an assessment of the Company’s property insurance exposures where the catastrophes occur and the Company’s progress in settling claims.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management believes that the reserve for losses and loss adjustment expenses is reasonable, it is possible that the Company’s actual incurred losses and loss adjustment expenses will not develop in a manner consistent with the assumptions inherent in the determination of these reserves. Specifically, the Company’s actual ultimate loss ratio could differ from management’s initial expected loss ratio and/or the Company’s actual reporting patterns for losses could differ from the expected reporting patterns. Accordingly, the ultimate settlement of losses and the related loss adjustment expenses may vary significantly from the estimates included in the Company’s consolidated financial statements. These estimates are reviewed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continually by management and are adjusted as necessary as experience develops or new information becomes known; such adjustments are included in current operations.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Share Based Compensation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fair value of share equity awards over the vesting period of the award on a straight-line basis. Compensation cost for performance restricted share units (“PRSU”) is based upon the probable outcome of performance conditions. The Black-Scholes-Merton option pricing model is used to value the options granted (see Note 14). Forfeitures of share-based awards are recognized as they occur. As the share based compensation expense is incurred, a corresponding increase to additional paid-in capital in shareholders’ equity is recognized. Share based compensation expense is reflected in “other operating expenses” in the accompanying consolidated statements of (loss) income and comprehensive loss.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holds interests in VIEs through certain equity method investments included in “other invested assets” in the accompanying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$8.4 million and $9.2 million as of December 31, 2023 and 2022, respectively, representing the Company’s maximum exposure to loss.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Earnings (Loss) Per Share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excludes dilution and is computed by dividing net income (loss) available to common shareholders by the weighted-average number of common shares outstanding for the period. Diluted earnings (loss) per share reflects the dilution that could occur if securities or other contracts to issue common shares were exercised or vested using the treasury stock method or converted into common shares under the if-converted method. When inclusion of potential common shares increases the earnings per share or reduces the loss per share, the effect on earnings is anti-dilutive, and the diluted net earnings or net loss per share is computed excluding these potential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reconciliation of the numerator and denominator of the basic and diluted earnings (loss) per common share computations contained in the consolidated financial statements.</w:t>
      </w:r>
    </w:p>
    <w:tbl>
      <w:tblPr>
        <w:tblW w:w="10205" w:type="dxa"/>
        <w:jc w:val="left"/>
        <w:tblInd w:w="0" w:type="dxa"/>
        <w:tblLayout w:type="fixed"/>
        <w:tblCellMar>
          <w:top w:w="28" w:type="dxa"/>
          <w:left w:w="28" w:type="dxa"/>
          <w:bottom w:w="28" w:type="dxa"/>
          <w:right w:w="28" w:type="dxa"/>
        </w:tblCellMar>
      </w:tblPr>
      <w:tblGrid>
        <w:gridCol w:w="2140"/>
        <w:gridCol w:w="1866"/>
        <w:gridCol w:w="1872"/>
        <w:gridCol w:w="211"/>
        <w:gridCol w:w="898"/>
        <w:gridCol w:w="109"/>
        <w:gridCol w:w="109"/>
        <w:gridCol w:w="109"/>
        <w:gridCol w:w="109"/>
        <w:gridCol w:w="244"/>
        <w:gridCol w:w="837"/>
        <w:gridCol w:w="109"/>
        <w:gridCol w:w="109"/>
        <w:gridCol w:w="109"/>
        <w:gridCol w:w="109"/>
        <w:gridCol w:w="211"/>
        <w:gridCol w:w="898"/>
        <w:gridCol w:w="156"/>
      </w:tblGrid>
      <w:tr>
        <w:trPr/>
        <w:tc>
          <w:tcPr>
            <w:tcW w:w="214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and per share amounts)</w:t>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on Series A preferred shares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37,618,660 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34,956,957 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37,810,440 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37,650,969 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34,956,957 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potential common shares of 5,722,915, 4,728,461, and 95,219, respectively, were excluded from the calculation of diluted earnings (loss) per common share as their effects were anti-dilutive.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Adopted Accounting Standards</w:t>
      </w:r>
    </w:p>
    <w:p>
      <w:pPr>
        <w:pStyle w:val="TextBody"/>
        <w:bidi w:val="0"/>
        <w:spacing w:lineRule="auto" w:line="288" w:before="0" w:after="120"/>
        <w:ind w:left="0" w:right="0" w:firstLine="405"/>
        <w:jc w:val="left"/>
        <w:rPr/>
      </w:pPr>
      <w:r>
        <w:rPr>
          <w:rFonts w:ascii="Times New Roman;sans-serif" w:hAnsi="Times New Roman;sans-serif"/>
          <w:b w:val="false"/>
          <w:color w:val="000000"/>
          <w:sz w:val="20"/>
          <w:shd w:fill="FFFFFF" w:val="clear"/>
        </w:rPr>
        <w:t xml:space="preserve">No accounting standards were adopted during the year ended </w:t>
      </w:r>
      <w:r>
        <w:rPr>
          <w:rFonts w:ascii="Times New Roman;sans-serif" w:hAnsi="Times New Roman;sans-serif"/>
          <w:b w:val="false"/>
          <w:color w:val="000000"/>
          <w:sz w:val="20"/>
        </w:rPr>
        <w:t>December 31, 2023 that had a material impact on our financial statements.</w:t>
      </w:r>
      <w:r>
        <w:rPr>
          <w:color w:val="231F20"/>
          <w:shd w:fill="FFFFFF" w:val="clear"/>
        </w:rPr>
        <w:t xml:space="preserve">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Prospective Accounting Standards</w:t>
      </w:r>
    </w:p>
    <w:p>
      <w:pPr>
        <w:pStyle w:val="TextBody"/>
        <w:bidi w:val="0"/>
        <w:spacing w:lineRule="auto" w:line="288" w:before="0" w:after="120"/>
        <w:ind w:left="0" w:right="0" w:firstLine="405"/>
        <w:jc w:val="left"/>
        <w:rPr/>
      </w:pPr>
      <w:r>
        <w:rPr>
          <w:rFonts w:ascii="Times New Roman;sans-serif" w:hAnsi="Times New Roman;sans-serif"/>
          <w:b w:val="false"/>
          <w:color w:val="000000"/>
          <w:sz w:val="20"/>
          <w:shd w:fill="FFFFFF" w:val="clear"/>
        </w:rPr>
        <w:t xml:space="preserve">There are no prospective accounting standards which are expected to have a material impact on our financial statements subsequent to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    Discontinued Operations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common shares of JRG Re (the “Transaction”). JRG Re comprises the remaining operations of the former Casualty Reinsurance segment, and the Transaction, which is expected to close in the first quarter of 2024, will result in the Company’s disposition of its casualty reinsurance business and related assets.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consideration to the Company for the sale of JRG Re includes (A) $277 million (the “Purchase Price”), which is comprised of (i) $138 million payable by the Buyer to the Company on the closing date in cash, subject to final closing adjustments based on changes in JRG Re’s adjusted net worth between March 31, 2023 and the closing date, and (ii) a $139 million dividend or return of capital or surplus by JRG Re to the Company prior to the closing date, which dividend or return of capital or surplus is subject to the availability of unencumbered assets on the closing date, and (B) $2.5 million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paid by the Buyer to the Company in the event that certain conditions outlined in the Stock Purchase Agreement are met on the date that is nine months following the closing date. The Purchase Price is subject to adjustment based on changes in JRG Re’s adjusted net worth between March 31, 2023 and the closing date.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the sale of JRG Re meets the criteria to be classified as held for sale and that the sale represents a strategic shift that will have a major effect on our operations. Accordingly, the results of JRG Re's operations have been presented as discontinued operations, and the assets and liabilities of JRG Re have been classified as held for sale and segregated for all periods presented in this Annual Report on Form 10-K.</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$139 million pre-closing dividend includes the forgiveness of $133.2 million owed from JRGH to JRG Re and $5.8 million to be paid in cash to JRGH. In the fourth quarter of 2023, after giving effect to the pre-closing dividend, we recorded an estimated loss on sale of $80.4 million to write down the carrying value of JRG Re to its estimated fair value based upon the estimated sales price of the transaction less costs to sell and other adjustments in accordance with the Stock Purchase Agreement. The $5.8 million cash portion of the pre-closing dividend is included in other liabilities presented below. The Company also recognized losses of $53.2 million for the year ended December 31, 2023 associated with JRG Re's fixed maturity securities as the Company no longer has the intent or ability to hold securities in an unrealized loss position until a recovery of their fair value could occur. The losses are included in net realized and unrealized (losses) gains on investments in the operating results presented below.</w:t>
      </w:r>
    </w:p>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JRG Re's assets and liabilities held for sale were comprised of the following:</w:t>
      </w:r>
    </w:p>
    <w:tbl>
      <w:tblPr>
        <w:tblW w:w="7576" w:type="dxa"/>
        <w:jc w:val="left"/>
        <w:tblInd w:w="0" w:type="dxa"/>
        <w:tblLayout w:type="fixed"/>
        <w:tblCellMar>
          <w:top w:w="28" w:type="dxa"/>
          <w:left w:w="28" w:type="dxa"/>
          <w:bottom w:w="28" w:type="dxa"/>
          <w:right w:w="28" w:type="dxa"/>
        </w:tblCellMar>
      </w:tblPr>
      <w:tblGrid>
        <w:gridCol w:w="1663"/>
        <w:gridCol w:w="1466"/>
        <w:gridCol w:w="1476"/>
        <w:gridCol w:w="211"/>
        <w:gridCol w:w="826"/>
        <w:gridCol w:w="109"/>
        <w:gridCol w:w="109"/>
        <w:gridCol w:w="109"/>
        <w:gridCol w:w="109"/>
        <w:gridCol w:w="211"/>
        <w:gridCol w:w="976"/>
        <w:gridCol w:w="311"/>
      </w:tblGrid>
      <w:tr>
        <w:trPr/>
        <w:tc>
          <w:tcPr>
            <w:tcW w:w="16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60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Invested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at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612,114 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at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728,757 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and paid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260,496 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down of JRG Re to fair value less cost to sell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1,145,799 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428,032 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213,593 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751,289 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JRG Re reported in discontinued operations were as follows:</w:t>
      </w:r>
    </w:p>
    <w:tbl>
      <w:tblPr>
        <w:tblW w:w="9057" w:type="dxa"/>
        <w:jc w:val="left"/>
        <w:tblInd w:w="0" w:type="dxa"/>
        <w:tblLayout w:type="fixed"/>
        <w:tblCellMar>
          <w:top w:w="28" w:type="dxa"/>
          <w:left w:w="28" w:type="dxa"/>
          <w:bottom w:w="28" w:type="dxa"/>
          <w:right w:w="28" w:type="dxa"/>
        </w:tblCellMar>
      </w:tblPr>
      <w:tblGrid>
        <w:gridCol w:w="1857"/>
        <w:gridCol w:w="1632"/>
        <w:gridCol w:w="1641"/>
        <w:gridCol w:w="211"/>
        <w:gridCol w:w="721"/>
        <w:gridCol w:w="109"/>
        <w:gridCol w:w="109"/>
        <w:gridCol w:w="109"/>
        <w:gridCol w:w="109"/>
        <w:gridCol w:w="211"/>
        <w:gridCol w:w="721"/>
        <w:gridCol w:w="109"/>
        <w:gridCol w:w="109"/>
        <w:gridCol w:w="109"/>
        <w:gridCol w:w="109"/>
        <w:gridCol w:w="211"/>
        <w:gridCol w:w="826"/>
        <w:gridCol w:w="154"/>
      </w:tblGrid>
      <w:tr>
        <w:trPr/>
        <w:tc>
          <w:tcPr>
            <w:tcW w:w="185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written premiums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unearned premiums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(losses) gains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held for sale classification of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from discontinued operations</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discontinued operations included in the consolidated statements of cash flows were as follows:</w:t>
      </w:r>
    </w:p>
    <w:tbl>
      <w:tblPr>
        <w:tblW w:w="9822" w:type="dxa"/>
        <w:jc w:val="left"/>
        <w:tblInd w:w="0" w:type="dxa"/>
        <w:tblLayout w:type="fixed"/>
        <w:tblCellMar>
          <w:top w:w="28" w:type="dxa"/>
          <w:left w:w="28" w:type="dxa"/>
          <w:bottom w:w="28" w:type="dxa"/>
          <w:right w:w="28" w:type="dxa"/>
        </w:tblCellMar>
      </w:tblPr>
      <w:tblGrid>
        <w:gridCol w:w="2056"/>
        <w:gridCol w:w="1802"/>
        <w:gridCol w:w="1812"/>
        <w:gridCol w:w="211"/>
        <w:gridCol w:w="901"/>
        <w:gridCol w:w="109"/>
        <w:gridCol w:w="109"/>
        <w:gridCol w:w="109"/>
        <w:gridCol w:w="109"/>
        <w:gridCol w:w="211"/>
        <w:gridCol w:w="796"/>
        <w:gridCol w:w="109"/>
        <w:gridCol w:w="109"/>
        <w:gridCol w:w="109"/>
        <w:gridCol w:w="109"/>
        <w:gridCol w:w="211"/>
        <w:gridCol w:w="79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discontinued operations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by discontinued operations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JRG Re Commitments and Contingent Liabilities</w:t>
      </w:r>
    </w:p>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JRG Re has entered into three letter of credit facilities with banks as security to third-party reinsureds on reinsurance assumed by JRG Re. JRG Re has established custodial accounts to secure these letters of credit. Under a $75.0 million facility, $4.7 million of letters of credit were issued through December 31, 2023 which were secured by deposits of $3.2 million. Under the 2013 Facility, $42.7 million of letters of credit were issued through December 31, 2023 which were secured by deposits of $51.1 million. Under the 2017 Facility (as defined in Note 10), $25.5 million of letters of credit were issued through December 31, 2023 which were secured by deposits of $35.6 million. JRG Re has also established trust accounts to secure its obligations to selected reinsureds. The total amount deposited in the trust accounts for the benefit of third-party reinsureds was $444.8 million at December 31, 2023.</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Casualty Re Loss Portfolio Transfer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2022, JRG Re entered into a loss portfolio transfer retrocession agreement (the “Casualty Re LPT”) with Fortitude Reinsurance Company Ltd. (“FRL”) under which FRL reinsures the majority of JRG Re's reserves. Under the terms of the transaction, which closed on March 31, 2022 (the “Retrocession Closing Date”), JRG Re (a) ceded to FRL all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were adjusted for claims paid from October 1, 2021 to the Retrocession Closing Date. JRG Re incurred $6.8 million of net adverse reserve development in the three months ended March 31, 2022 associated with the Casualty Re LPT. At December 31, 2023, the balance of the Funds Withheld Account was $137.8 million and reinsurance recoverables from FRL under the Casualty Re LPT were $221.7 million.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Retroactive Reinsurance Accounting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Casualty Re LPT. For the years ended December 31, 2023 and 2022, due to adverse paid and reported loss trends, JRG Re recognized adverse prior year development of $52.9 million and $6.1 million, respectively, on the reserves subject to the Casualty Re LPT, resulting in corresponding additional amounts ceded under the loss portfolio transfer. The Casualty Re LPT is in a gain position as the cumulative amounts ceded under the loss portfolio transfer exceeds the consideration paid, requiring the application of retroactive reinsurance accounting under GAAP.</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retroactive reinsurance accounting, gains are deferred and recognized in earnings in proportion to actual paid recoveries under the loss portfolio transfer using the recovery method. Over the life of the contract, we would expect no economic impact to JRG Re as long as any additional losses are within the limit of the loss portfolio transfer and the counterparty performs under the contract. In periods where JRG Re recognizes a change in the estimate of the reserves subject to the loss portfolio transfer that increases or decreases the amounts ceded under the loss portfolio transfer,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for the discontinued operations of JRG Re and reported within loss from discontinued operations on the Consolidated Statements of (Loss) Income and Comprehensive Loss.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retroactive reinsurance benefits totaling $24.0 million and $1.7 million, respectively, were recorded in losses and loss adjustment expenses using the recovery method. As of December 31, 2023 and 2022, the cumulative amounts ceded under the Casualty Re LPT was $393.9 million and $341.1 million, respectively. The total deferred retroactive reinsurance gain of $33.2 million at December 31, 2023 and $4.4 million at December 31, 2022 under the loss portfolio transfer is presented within the liabilities held for sale of JRG Re on the Company's Consolidated Balance Sheets. The Company has $6.1 million of aggregate limit remaining under the Casualty Re LPT at December 31, 2023.</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Bermuda Statutory Matters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Bermuda Insurance Act 1978 and related regulations, an insurer must maintain minimum statutory capital and surplus at the greater of a minimum solvency margin (“MSM”) and the Enhanced Capital Requirement (“ECR”), which is the higher of the MSM and capital calculated by the Bermuda Solvency Capital Requirement (“BSCR”) model or an approved internal model. The estimated minimum statutory solvency margin required at December 31, 2023 for JRG Re was approximately $31.1 million. Actual statutory capital and surplus at December 31, 2023 was $361.3 million. The statutory net loss was $36.1 million for the year ended December 31, 2023. The ECR for the year ended December 31, 2022 was $106.4 million. The BSCR models for the year ended December 31, 2023 will not be filed with the Bermuda Monetary Authority until April 30, 2024. The Company believes that the minimum statutory capital and surplus requirements will be met.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Bermuda Insurance Act 1978, an insurer must maintain a minimum liquidity ratio in which the value of its relevant assets is not less than 75.0% of the amount of its relevant liabilities for general business. Relevant assets include cash and cash equivalents, fixed maturities, quoted alternative investments, accrued interest income, premiums receivable, losses recoverable from reinsurers, and funds withheld. The relevant liabilities include total insurance provisions and other liabilities less deferred income taxes and letters of credit, guarantees and other instruments. As of December 31, 2023, the minimum liquidity ratio requirements were met.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Dividend Restrictions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of the total statutory capital and surplus (as shown on its previous financial year's statutory balance sheet).  The maximum combined amount of dividends and return of capital that can be paid without prior regulatory approval from JRG Re at December 31, 2023 is calculated to be approximately $90.3 million. However, this dividend amount is subject to annual enhanced solvency requirement calculations. All necessary approvals have been obtained by JRG Re to facilitate the $139 million pre-closing dividend pursuant to the SPA covering the sale of JRG 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available-for-sale fixed maturity securities are summarized as follows:</w:t>
      </w:r>
    </w:p>
    <w:tbl>
      <w:tblPr>
        <w:tblW w:w="10205" w:type="dxa"/>
        <w:jc w:val="left"/>
        <w:tblInd w:w="0" w:type="dxa"/>
        <w:tblLayout w:type="fixed"/>
        <w:tblCellMar>
          <w:top w:w="28" w:type="dxa"/>
          <w:left w:w="28" w:type="dxa"/>
          <w:bottom w:w="28" w:type="dxa"/>
          <w:right w:w="28" w:type="dxa"/>
        </w:tblCellMar>
      </w:tblPr>
      <w:tblGrid>
        <w:gridCol w:w="1678"/>
        <w:gridCol w:w="1443"/>
        <w:gridCol w:w="1331"/>
        <w:gridCol w:w="211"/>
        <w:gridCol w:w="976"/>
        <w:gridCol w:w="109"/>
        <w:gridCol w:w="109"/>
        <w:gridCol w:w="109"/>
        <w:gridCol w:w="109"/>
        <w:gridCol w:w="211"/>
        <w:gridCol w:w="616"/>
        <w:gridCol w:w="109"/>
        <w:gridCol w:w="109"/>
        <w:gridCol w:w="109"/>
        <w:gridCol w:w="109"/>
        <w:gridCol w:w="211"/>
        <w:gridCol w:w="877"/>
        <w:gridCol w:w="109"/>
        <w:gridCol w:w="109"/>
        <w:gridCol w:w="109"/>
        <w:gridCol w:w="109"/>
        <w:gridCol w:w="211"/>
        <w:gridCol w:w="976"/>
        <w:gridCol w:w="156"/>
      </w:tblGrid>
      <w:tr>
        <w:trPr/>
        <w:tc>
          <w:tcPr>
            <w:tcW w:w="167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available-for-sale investments in fixed maturity securities at December 31, 2023 are summarized, by contractual maturity, as follows:</w:t>
      </w:r>
    </w:p>
    <w:tbl>
      <w:tblPr>
        <w:tblW w:w="6308" w:type="dxa"/>
        <w:jc w:val="left"/>
        <w:tblInd w:w="0" w:type="dxa"/>
        <w:tblLayout w:type="fixed"/>
        <w:tblCellMar>
          <w:top w:w="28" w:type="dxa"/>
          <w:left w:w="28" w:type="dxa"/>
          <w:bottom w:w="28" w:type="dxa"/>
          <w:right w:w="28" w:type="dxa"/>
        </w:tblCellMar>
      </w:tblPr>
      <w:tblGrid>
        <w:gridCol w:w="1205"/>
        <w:gridCol w:w="1062"/>
        <w:gridCol w:w="1077"/>
        <w:gridCol w:w="211"/>
        <w:gridCol w:w="976"/>
        <w:gridCol w:w="109"/>
        <w:gridCol w:w="109"/>
        <w:gridCol w:w="109"/>
        <w:gridCol w:w="109"/>
        <w:gridCol w:w="211"/>
        <w:gridCol w:w="97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for some securities because borrowers have the right to call or prepay obligations with or without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gross unrealized losses and fair value for available-for-sale securities aggregated by investment category and the length of time that individual securities have been in a continuous unrealized loss position:</w:t>
      </w:r>
    </w:p>
    <w:tbl>
      <w:tblPr>
        <w:tblW w:w="10205" w:type="dxa"/>
        <w:jc w:val="left"/>
        <w:tblInd w:w="0" w:type="dxa"/>
        <w:tblLayout w:type="fixed"/>
        <w:tblCellMar>
          <w:top w:w="28" w:type="dxa"/>
          <w:left w:w="28" w:type="dxa"/>
          <w:bottom w:w="28" w:type="dxa"/>
          <w:right w:w="28" w:type="dxa"/>
        </w:tblCellMar>
      </w:tblPr>
      <w:tblGrid>
        <w:gridCol w:w="876"/>
        <w:gridCol w:w="517"/>
        <w:gridCol w:w="409"/>
        <w:gridCol w:w="211"/>
        <w:gridCol w:w="826"/>
        <w:gridCol w:w="109"/>
        <w:gridCol w:w="109"/>
        <w:gridCol w:w="109"/>
        <w:gridCol w:w="109"/>
        <w:gridCol w:w="211"/>
        <w:gridCol w:w="739"/>
        <w:gridCol w:w="109"/>
        <w:gridCol w:w="109"/>
        <w:gridCol w:w="109"/>
        <w:gridCol w:w="109"/>
        <w:gridCol w:w="211"/>
        <w:gridCol w:w="826"/>
        <w:gridCol w:w="109"/>
        <w:gridCol w:w="109"/>
        <w:gridCol w:w="109"/>
        <w:gridCol w:w="109"/>
        <w:gridCol w:w="211"/>
        <w:gridCol w:w="739"/>
        <w:gridCol w:w="109"/>
        <w:gridCol w:w="109"/>
        <w:gridCol w:w="109"/>
        <w:gridCol w:w="109"/>
        <w:gridCol w:w="211"/>
        <w:gridCol w:w="826"/>
        <w:gridCol w:w="109"/>
        <w:gridCol w:w="109"/>
        <w:gridCol w:w="109"/>
        <w:gridCol w:w="109"/>
        <w:gridCol w:w="211"/>
        <w:gridCol w:w="844"/>
        <w:gridCol w:w="157"/>
      </w:tblGrid>
      <w:tr>
        <w:trPr/>
        <w:tc>
          <w:tcPr>
            <w:tcW w:w="87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(113,973)</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held fixed maturity securities of 441 issuers that were in an unrealized loss position with a total fair value of $993.6 million and gross unrealized losses of $88.0 million. None of the fixed maturity securities with unrealized losses has ever missed, or been delinquent on, a scheduled principal or interest payment. At December 31, 2023, 99.9%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December 31, 2023 had a fair value of $1.3 million.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reviews its available-for-sale fixed maturities to determine whether any unrealized losses exist that are due to credit-related factors. An allowance for credit losses is established for any credit-related impairments, limited to the amount by which fair value is below amortized cost. Changes in the allowance for credit losses are recognized in earnings and included in net realized and unrealized gains (losses) on investments. Unrealized losses that are not credit-related are recognized in other comprehensive income.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expected cash flows equals or exceeds a security's amortized cost. As a result of this review, management concluded that there were no credit-related impairments of fixed maturities at December 31, 2023, 2022, or 2021. Management does not intend to sell the securities in an unrealized loss position, and it is not "more likely than not" that the Company will be required to sell these securities before a recovery in their value to their amortized cost basis occurs.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the fair value option to account for bank loan participations. Under the fair value option, bank loan participations are measured at fair value, and changes in unrealized gains and losses in bank loan participations are reported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ASU 2016-13, which would have otherwise been required. </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At December 31, 2023, the Company's bank loan portfolio had an aggregate unpaid principal balance of $164.3 million and an aggregate fair value of $156.2 million. Investment income on bank loan participations included in net investment income was $12.0 million, $4.3 million, $3.5 million during the years ended December 31, 2023, 2022, and 2021 respectively. Net realized and unrealized gains (losses) on investments includes gains of $9.0 million, losses of $5.4 million, and gains of $2.3 million related to changes in unrealized gains and losses on bank loan participations for the years ended December 31, 2023, 2022, and 2021, respectively. Management concluded that $946,000 and $592,000 of the unrealized losses were due to credit-related impairments for the years ended December 31, 2023 and 2022. Management concluded that none of the unrealized losses were due to credit-related impairments for the year ended </w:t>
      </w:r>
      <w:r>
        <w:rPr>
          <w:rFonts w:ascii="Times New Roman;sans-serif" w:hAnsi="Times New Roman;sans-serif"/>
          <w:b w:val="false"/>
          <w:color w:val="231F20"/>
          <w:sz w:val="20"/>
        </w:rPr>
        <w:t>December 31, 2021</w:t>
      </w:r>
      <w:r>
        <w:rPr>
          <w:rFonts w:ascii="Times New Roman;sans-serif" w:hAnsi="Times New Roman;sans-serif"/>
          <w:b w:val="false"/>
          <w:color w:val="000000"/>
          <w:sz w:val="20"/>
        </w:rPr>
        <w:t>. Losses due to credit-related impairments were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December 31, 2023 or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Major categories of the Company’s net investment income are summarized as follows:</w:t>
      </w:r>
    </w:p>
    <w:tbl>
      <w:tblPr>
        <w:tblW w:w="10205" w:type="dxa"/>
        <w:jc w:val="left"/>
        <w:tblInd w:w="0" w:type="dxa"/>
        <w:tblLayout w:type="fixed"/>
        <w:tblCellMar>
          <w:top w:w="28" w:type="dxa"/>
          <w:left w:w="28" w:type="dxa"/>
          <w:bottom w:w="28" w:type="dxa"/>
          <w:right w:w="28" w:type="dxa"/>
        </w:tblCellMar>
      </w:tblPr>
      <w:tblGrid>
        <w:gridCol w:w="2317"/>
        <w:gridCol w:w="2029"/>
        <w:gridCol w:w="2036"/>
        <w:gridCol w:w="211"/>
        <w:gridCol w:w="721"/>
        <w:gridCol w:w="109"/>
        <w:gridCol w:w="109"/>
        <w:gridCol w:w="109"/>
        <w:gridCol w:w="109"/>
        <w:gridCol w:w="211"/>
        <w:gridCol w:w="721"/>
        <w:gridCol w:w="109"/>
        <w:gridCol w:w="109"/>
        <w:gridCol w:w="109"/>
        <w:gridCol w:w="109"/>
        <w:gridCol w:w="211"/>
        <w:gridCol w:w="721"/>
        <w:gridCol w:w="155"/>
      </w:tblGrid>
      <w:tr>
        <w:trPr/>
        <w:tc>
          <w:tcPr>
            <w:tcW w:w="2317"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equivalents, and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31,989 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realized and unrealized gains and losses on investments are summarized as follows:</w:t>
      </w:r>
    </w:p>
    <w:tbl>
      <w:tblPr>
        <w:tblW w:w="8727" w:type="dxa"/>
        <w:jc w:val="left"/>
        <w:tblInd w:w="0" w:type="dxa"/>
        <w:tblLayout w:type="fixed"/>
        <w:tblCellMar>
          <w:top w:w="28" w:type="dxa"/>
          <w:left w:w="28" w:type="dxa"/>
          <w:bottom w:w="28" w:type="dxa"/>
          <w:right w:w="28" w:type="dxa"/>
        </w:tblCellMar>
      </w:tblPr>
      <w:tblGrid>
        <w:gridCol w:w="1750"/>
        <w:gridCol w:w="1537"/>
        <w:gridCol w:w="1543"/>
        <w:gridCol w:w="211"/>
        <w:gridCol w:w="721"/>
        <w:gridCol w:w="109"/>
        <w:gridCol w:w="109"/>
        <w:gridCol w:w="109"/>
        <w:gridCol w:w="109"/>
        <w:gridCol w:w="211"/>
        <w:gridCol w:w="796"/>
        <w:gridCol w:w="109"/>
        <w:gridCol w:w="109"/>
        <w:gridCol w:w="109"/>
        <w:gridCol w:w="109"/>
        <w:gridCol w:w="211"/>
        <w:gridCol w:w="721"/>
        <w:gridCol w:w="154"/>
      </w:tblGrid>
      <w:tr>
        <w:trP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equity securities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bank loan participations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and other: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short-term investments and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Company’s available-for-sale fixed maturity gross unrealized net losses was $30.4 million for the year ended December 31, 2023. The change in the Company's available-for-sale fixed maturity gross unrealized net (losses) gains was $(131.4) million and $(34.2) million for the years ended December 31,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selectively in private debt and equity opportunities. These investments, which together comprise the Company’s other invested assets, are primarily focused in renewable energy, limited partnerships, and bank holding companies.</w:t>
      </w:r>
    </w:p>
    <w:tbl>
      <w:tblPr>
        <w:tblW w:w="9934" w:type="dxa"/>
        <w:jc w:val="left"/>
        <w:tblInd w:w="0" w:type="dxa"/>
        <w:tblLayout w:type="fixed"/>
        <w:tblCellMar>
          <w:top w:w="28" w:type="dxa"/>
          <w:left w:w="28" w:type="dxa"/>
          <w:bottom w:w="28" w:type="dxa"/>
          <w:right w:w="28" w:type="dxa"/>
        </w:tblCellMar>
      </w:tblPr>
      <w:tblGrid>
        <w:gridCol w:w="1180"/>
        <w:gridCol w:w="1036"/>
        <w:gridCol w:w="103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 energy LLCs </w:t>
            </w:r>
            <w:r>
              <w:rPr>
                <w:rFonts w:ascii="Times New Roman;sans-serif" w:hAnsi="Times New Roman;sans-serif"/>
                <w:b w:val="false"/>
                <w:i/>
                <w:color w:val="000000"/>
                <w:sz w:val="20"/>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Renewable energy notes receivable (</w:t>
            </w:r>
            <w:r>
              <w:rPr>
                <w:rFonts w:ascii="Times New Roman;sans-serif" w:hAnsi="Times New Roman;sans-serif"/>
                <w:b w:val="false"/>
                <w:i/>
                <w:color w:val="000000"/>
                <w:sz w:val="20"/>
              </w:rPr>
              <w:t>b)</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Limited partnerships </w:t>
            </w:r>
            <w:r>
              <w:rPr>
                <w:rFonts w:ascii="Times New Roman;sans-serif" w:hAnsi="Times New Roman;sans-serif"/>
                <w:b w:val="false"/>
                <w:i/>
                <w:color w:val="000000"/>
                <w:sz w:val="20"/>
              </w:rPr>
              <w:t>(c)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Private Debt </w:t>
            </w:r>
            <w:r>
              <w:rPr>
                <w:rFonts w:ascii="Times New Roman;sans-serif" w:hAnsi="Times New Roman;sans-serif"/>
                <w:b w:val="false"/>
                <w:i/>
                <w:color w:val="000000"/>
                <w:sz w:val="20"/>
              </w:rPr>
              <w:t>(d)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invested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The Company’s Excess and Surplus Lines segment owns equity interests ranging from 2.5% to 4.9% in various LLCs whose principal objective is capital appreciation and income generation from owning and operating renewable energy production facilities (wind and solar). The Company’s former Non-Executive Chairman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During the fourth quarter of 2022, the underlying projects in two of our LLCs were sold at the manager's discretion.The Company received proceeds of $20.2 million, comprised of $17.2 million in the Excess and Surplus Lines segment and $3.0 million in the Corporate and Other segment. During the year ended December 31, 2023, the Company received additional proceeds from the sales of $3.1 million in the Excess and Surplus Lines segment and $524,000 in the Corporate and Other segment. The Company could receive additional contingent payments in the future according to terms of the transaction. The Company received cash distributions from all renewable energy investments totaling $3.7 million and $21.6 million for the years ended December 31, 2023 and 2022, respectively.</w:t>
      </w:r>
    </w:p>
    <w:p>
      <w:pPr>
        <w:pStyle w:val="TextBody"/>
        <w:bidi w:val="0"/>
        <w:spacing w:lineRule="auto" w:line="288" w:before="0" w:after="120"/>
        <w:ind w:left="0" w:right="0" w:hanging="360"/>
        <w:jc w:val="left"/>
        <w:rPr/>
      </w:pPr>
      <w:r>
        <w:rPr>
          <w:rFonts w:ascii="Times New Roman;sans-serif" w:hAnsi="Times New Roman;sans-serif"/>
          <w:b w:val="false"/>
          <w:color w:val="000000"/>
          <w:sz w:val="20"/>
        </w:rPr>
        <w:t xml:space="preserve">(b)    The Company's Excess and Surplus Lines and Corporate and Other segments have invested in </w:t>
      </w:r>
      <w:r>
        <w:rPr>
          <w:rFonts w:ascii="Times New Roman;sans-serif" w:hAnsi="Times New Roman;sans-serif"/>
          <w:b w:val="false"/>
          <w:color w:val="231F20"/>
          <w:sz w:val="20"/>
        </w:rPr>
        <w:t>two</w:t>
      </w:r>
      <w:r>
        <w:rPr>
          <w:color w:val="000000"/>
        </w:rPr>
        <w:t xml:space="preserve"> </w:t>
      </w:r>
      <w:r>
        <w:rPr>
          <w:rFonts w:ascii="Times New Roman;sans-serif" w:hAnsi="Times New Roman;sans-serif"/>
          <w:b w:val="false"/>
          <w:color w:val="000000"/>
          <w:sz w:val="20"/>
        </w:rPr>
        <w:t>notes receivable for renewable energy projects.</w:t>
      </w:r>
      <w:r>
        <w:rPr>
          <w:color w:val="231F20"/>
        </w:rPr>
        <w:t xml:space="preserve"> </w:t>
      </w:r>
      <w:r>
        <w:rPr>
          <w:rFonts w:ascii="Times New Roman;sans-serif" w:hAnsi="Times New Roman;sans-serif"/>
          <w:b w:val="false"/>
          <w:color w:val="231F20"/>
          <w:sz w:val="20"/>
        </w:rPr>
        <w:t xml:space="preserve">Interest on the notes, which mature in 2025, is fixed at </w:t>
      </w:r>
      <w:r>
        <w:rPr>
          <w:rFonts w:ascii="Times New Roman;sans-serif" w:hAnsi="Times New Roman;sans-serif"/>
          <w:b w:val="false"/>
          <w:color w:val="000000"/>
          <w:sz w:val="20"/>
        </w:rPr>
        <w:t xml:space="preserve">12%. </w:t>
      </w:r>
      <w:r>
        <w:rPr>
          <w:rFonts w:ascii="Times New Roman;sans-serif" w:hAnsi="Times New Roman;sans-serif"/>
          <w:b w:val="false"/>
          <w:color w:val="231F20"/>
          <w:sz w:val="20"/>
        </w:rPr>
        <w:t xml:space="preserve">During the year ended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the Company received principal repayments of $593,000 and $742,000 on the notes receivable in the Company's Excess and Surplus Lines segment and Corporate and Other segment, respectively. During the year ended </w:t>
      </w:r>
      <w:r>
        <w:rPr>
          <w:rFonts w:ascii="Times New Roman;sans-serif" w:hAnsi="Times New Roman;sans-serif"/>
          <w:b w:val="false"/>
          <w:color w:val="000000"/>
          <w:sz w:val="20"/>
        </w:rPr>
        <w:t>December 31, 2022</w:t>
      </w:r>
      <w:r>
        <w:rPr>
          <w:rFonts w:ascii="Times New Roman;sans-serif" w:hAnsi="Times New Roman;sans-serif"/>
          <w:b w:val="false"/>
          <w:color w:val="231F20"/>
          <w:sz w:val="20"/>
        </w:rPr>
        <w:t xml:space="preserve">, the Company received principal repayments of $1.1 million and $1.4 million on the notes receivable in the Company's Excess and Surplus Lines segment and Corporate and Other segment,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Income from the partnerships is recognized under the equity method of accounting. During the year ended December 31, 2022, the Company recognized an impairment loss of $538,000 on one limited partnership in the Corporate &amp; Other segment. At December 31, 2023, the Company’s Excess and Surplus Lines segment has outstanding commitments to invest another $6.3 million in these limited partnerships.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The Company's Excess and Surplus Lines segment holds two notes receivable for structured private specialty credit. Interest on the notes, which mature in 2031, is fixed at 4.25% and 5.25%. At December 31, 2023, the Company's Excess and Surplus Lines segment has outstanding commitments to invest another $5.9 million in these notes. Previously, the Company's Excess and Surplus Lines segment held $4.5 million of subordinated notes issued by a bank holding company for which the former Non-Executive Chairman of the Company was previously the Lead Independent Director. The notes matured on August 12, 2023. Interest on the notes was fixed at 7.6% per annum.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cash and investments with a fair value of $72.4 million and $61.0 million, respectively, were on deposit with state insurance departments to satisfy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    Deferred Policy Acquisition Costs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analysis of deferred policy acquisition costs is as follows:</w:t>
      </w:r>
    </w:p>
    <w:tbl>
      <w:tblPr>
        <w:tblW w:w="7212" w:type="dxa"/>
        <w:jc w:val="left"/>
        <w:tblInd w:w="0" w:type="dxa"/>
        <w:tblLayout w:type="fixed"/>
        <w:tblCellMar>
          <w:top w:w="28" w:type="dxa"/>
          <w:left w:w="28" w:type="dxa"/>
          <w:bottom w:w="28" w:type="dxa"/>
          <w:right w:w="28" w:type="dxa"/>
        </w:tblCellMar>
      </w:tblPr>
      <w:tblGrid>
        <w:gridCol w:w="1228"/>
        <w:gridCol w:w="1079"/>
        <w:gridCol w:w="1083"/>
        <w:gridCol w:w="211"/>
        <w:gridCol w:w="721"/>
        <w:gridCol w:w="109"/>
        <w:gridCol w:w="109"/>
        <w:gridCol w:w="109"/>
        <w:gridCol w:w="109"/>
        <w:gridCol w:w="211"/>
        <w:gridCol w:w="721"/>
        <w:gridCol w:w="109"/>
        <w:gridCol w:w="109"/>
        <w:gridCol w:w="109"/>
        <w:gridCol w:w="109"/>
        <w:gridCol w:w="211"/>
        <w:gridCol w:w="721"/>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Policy acquisition costs deferred: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and other issue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goodwill is an asset of the Excess and Surplus Lines segment. The Company’s annual testing performed in the fourth quarter of 2023, 2022 and 2021 indicated that no impairment of goodwill had occurred. The carrying amount of goodwill at December 31, 2023 and 2022 was $181.8 million. Accumulated goodwill impairment losses were $99.6 million at December 31, 2023 and 2022. The most recent goodwill impairment losses occurred in 2010.</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Specifically identifiable intangible assets were acquired in the Merger. In September, 2023, the Company sold the renewal rights to the Individual Risk Workers’ Compensation (“IRWC”) business in the Specialty Admitted Insurance segment. Upon closing of the transaction, the Company recognized an impairment charge of $2.5 million related to the trademark intangible asset associated with the IRWC business. During the fourth quarters of 2023, 2022 and 2021, the indefinite-lived intangible assets for trademarks and insurance licenses and authorities were tested for impairment. Intangible assets for broker relationships that have specific lives and are subject to amortization were also reviewed for impairment. There were no additional impairments recognized in 2023, 2022, or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for each major specifically identifiable intangible asset class were as follows:</w:t>
      </w:r>
    </w:p>
    <w:tbl>
      <w:tblPr>
        <w:tblW w:w="10205" w:type="dxa"/>
        <w:jc w:val="left"/>
        <w:tblInd w:w="0" w:type="dxa"/>
        <w:tblLayout w:type="fixed"/>
        <w:tblCellMar>
          <w:top w:w="28" w:type="dxa"/>
          <w:left w:w="28" w:type="dxa"/>
          <w:bottom w:w="28" w:type="dxa"/>
          <w:right w:w="28" w:type="dxa"/>
        </w:tblCellMar>
      </w:tblPr>
      <w:tblGrid>
        <w:gridCol w:w="1356"/>
        <w:gridCol w:w="1172"/>
        <w:gridCol w:w="1178"/>
        <w:gridCol w:w="299"/>
        <w:gridCol w:w="299"/>
        <w:gridCol w:w="303"/>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42"/>
        <w:gridCol w:w="707"/>
        <w:gridCol w:w="178"/>
      </w:tblGrid>
      <w:tr>
        <w:trPr/>
        <w:tc>
          <w:tcPr>
            <w:tcW w:w="135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intangibles not subject to amortization</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subject to amortization</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pPr>
      <w:r>
        <w:rPr>
          <w:rFonts w:ascii="Times New Roman;sans-serif" w:hAnsi="Times New Roman;sans-serif"/>
          <w:b w:val="false"/>
          <w:color w:val="000000"/>
          <w:sz w:val="20"/>
        </w:rPr>
        <w:t>Future estimated amortization of specifically identifiable intangible assets as of December 31, 2023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changes in the net carrying values of intangible assets by segment for the year ended December 31, 2023:</w:t>
      </w:r>
    </w:p>
    <w:tbl>
      <w:tblPr>
        <w:tblW w:w="9057" w:type="dxa"/>
        <w:jc w:val="left"/>
        <w:tblInd w:w="0" w:type="dxa"/>
        <w:tblLayout w:type="fixed"/>
        <w:tblCellMar>
          <w:top w:w="28" w:type="dxa"/>
          <w:left w:w="28" w:type="dxa"/>
          <w:bottom w:w="28" w:type="dxa"/>
          <w:right w:w="28" w:type="dxa"/>
        </w:tblCellMar>
      </w:tblPr>
      <w:tblGrid>
        <w:gridCol w:w="1062"/>
        <w:gridCol w:w="934"/>
        <w:gridCol w:w="943"/>
        <w:gridCol w:w="304"/>
        <w:gridCol w:w="1039"/>
        <w:gridCol w:w="157"/>
        <w:gridCol w:w="109"/>
        <w:gridCol w:w="109"/>
        <w:gridCol w:w="109"/>
        <w:gridCol w:w="284"/>
        <w:gridCol w:w="649"/>
        <w:gridCol w:w="148"/>
        <w:gridCol w:w="109"/>
        <w:gridCol w:w="109"/>
        <w:gridCol w:w="109"/>
        <w:gridCol w:w="211"/>
        <w:gridCol w:w="691"/>
        <w:gridCol w:w="109"/>
        <w:gridCol w:w="109"/>
        <w:gridCol w:w="109"/>
        <w:gridCol w:w="109"/>
        <w:gridCol w:w="300"/>
        <w:gridCol w:w="1026"/>
        <w:gridCol w:w="219"/>
      </w:tblGrid>
      <w:tr>
        <w:trPr/>
        <w:tc>
          <w:tcPr>
            <w:tcW w:w="10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changes in the net carrying values of intangible assets by segment for the year ended December 31, 2022:</w:t>
      </w:r>
    </w:p>
    <w:tbl>
      <w:tblPr>
        <w:tblW w:w="9007" w:type="dxa"/>
        <w:jc w:val="left"/>
        <w:tblInd w:w="0" w:type="dxa"/>
        <w:tblLayout w:type="fixed"/>
        <w:tblCellMar>
          <w:top w:w="28" w:type="dxa"/>
          <w:left w:w="28" w:type="dxa"/>
          <w:bottom w:w="28" w:type="dxa"/>
          <w:right w:w="28" w:type="dxa"/>
        </w:tblCellMar>
      </w:tblPr>
      <w:tblGrid>
        <w:gridCol w:w="1062"/>
        <w:gridCol w:w="934"/>
        <w:gridCol w:w="943"/>
        <w:gridCol w:w="304"/>
        <w:gridCol w:w="1039"/>
        <w:gridCol w:w="157"/>
        <w:gridCol w:w="109"/>
        <w:gridCol w:w="109"/>
        <w:gridCol w:w="109"/>
        <w:gridCol w:w="284"/>
        <w:gridCol w:w="649"/>
        <w:gridCol w:w="148"/>
        <w:gridCol w:w="109"/>
        <w:gridCol w:w="109"/>
        <w:gridCol w:w="109"/>
        <w:gridCol w:w="279"/>
        <w:gridCol w:w="537"/>
        <w:gridCol w:w="145"/>
        <w:gridCol w:w="109"/>
        <w:gridCol w:w="109"/>
        <w:gridCol w:w="109"/>
        <w:gridCol w:w="300"/>
        <w:gridCol w:w="1026"/>
        <w:gridCol w:w="219"/>
      </w:tblGrid>
      <w:tr>
        <w:trPr/>
        <w:tc>
          <w:tcPr>
            <w:tcW w:w="10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was $363,000 for the Excess and Surplus Lines segment and $0 for the Specialty Admitted Insurance segment for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    Property and Equipment, Net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is included in "other assets" on the consolidated balance sheets and consists of the following:</w:t>
      </w:r>
    </w:p>
    <w:tbl>
      <w:tblPr>
        <w:tblW w:w="6459" w:type="dxa"/>
        <w:jc w:val="left"/>
        <w:tblInd w:w="0" w:type="dxa"/>
        <w:tblLayout w:type="fixed"/>
        <w:tblCellMar>
          <w:top w:w="28" w:type="dxa"/>
          <w:left w:w="28" w:type="dxa"/>
          <w:bottom w:w="28" w:type="dxa"/>
          <w:right w:w="28" w:type="dxa"/>
        </w:tblCellMar>
      </w:tblPr>
      <w:tblGrid>
        <w:gridCol w:w="1489"/>
        <w:gridCol w:w="1306"/>
        <w:gridCol w:w="1315"/>
        <w:gridCol w:w="211"/>
        <w:gridCol w:w="721"/>
        <w:gridCol w:w="109"/>
        <w:gridCol w:w="109"/>
        <w:gridCol w:w="109"/>
        <w:gridCol w:w="109"/>
        <w:gridCol w:w="211"/>
        <w:gridCol w:w="61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data processing hardware and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cost basis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operating leases for office space in Bermuda, North Carolina, Virginia, Arizona, and Georgia. The present value of future lease payments for the Company’s leases with terms greater than 12 months are included on the consolidated balance sheets as lease liabilities and right-of-use lease assets. For leases with terms of 12 months or less, lease payments are recognized in other operating expenses on a straight-line basis over the lease term.</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expected lease payments are based on the lease payments specified in the contract and the stated term, including any options to extend or terminate that the Company is reasonably certain to exercise. The Company elected the practical expedient to account for lease components and any associated non-lease components as a single lease component, and therefore allocates all of the expected lease payments to the lease component.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lease liability, which represents the Company’s obligation to make lease payments arising from the lease, is calculated based on the present value of expected lease payments over the remaining lease term, discounted using the Company’s collateralized incremental borrowing rate at the commencement date. The lease liability is then adjusted for any prepaid rent, lease incentives received or capitalized initial direct costs to determine the lease asset, which represents the Company's right to use the underlying asset for the lease term. Lease liabilities and right-of-use assets are included in other liabilities and other assets, respectively,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lease liabilities and right-of-use assets associated with the Company's operating leases were $8.0 million and $7.8 million, respectively ($9.0 million and $8.1 million at December 31, 2022, respectively). The weighted-average discount rate and weighted average remaining lease term for operating leases was 4.8% and 3.3 years, respectively, as of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maturities of the Company’s operating lease liabilities as of December 31, 2023, which reconciles to total lease liabilities included in other liabilities on the Company’s consolidated balance sheets:</w:t>
      </w:r>
    </w:p>
    <w:tbl>
      <w:tblPr>
        <w:tblW w:w="3899" w:type="dxa"/>
        <w:jc w:val="left"/>
        <w:tblInd w:w="0" w:type="dxa"/>
        <w:tblLayout w:type="fixed"/>
        <w:tblCellMar>
          <w:top w:w="28" w:type="dxa"/>
          <w:left w:w="28" w:type="dxa"/>
          <w:bottom w:w="28" w:type="dxa"/>
          <w:right w:w="28" w:type="dxa"/>
        </w:tblCellMar>
      </w:tblPr>
      <w:tblGrid>
        <w:gridCol w:w="961"/>
        <w:gridCol w:w="844"/>
        <w:gridCol w:w="850"/>
        <w:gridCol w:w="267"/>
        <w:gridCol w:w="782"/>
        <w:gridCol w:w="195"/>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8"/>
              </w:rPr>
            </w:pPr>
            <w:r>
              <w:rPr>
                <w:rFonts w:ascii="Times New Roman;sans-serif" w:hAnsi="Times New Roman;sans-serif"/>
                <w:b/>
                <w:i/>
                <w:color w:val="000000"/>
                <w:sz w:val="18"/>
              </w:rPr>
              <w:t>(in thousands)</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include $4.3 million associated with office space in a building that is owned by a partnership in which the Company has a minority interest.</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Operating lease costs were $4.6 million, $4.6 million, and $4.7 million for the years </w:t>
      </w:r>
      <w:r>
        <w:rPr>
          <w:rFonts w:ascii="Times New Roman;sans-serif" w:hAnsi="Times New Roman;sans-serif"/>
          <w:b w:val="false"/>
          <w:color w:val="231F20"/>
          <w:sz w:val="20"/>
        </w:rPr>
        <w:t xml:space="preserve">ended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2022, and 2021, respectively. Operating</w:t>
      </w:r>
      <w:r>
        <w:rPr>
          <w:color w:val="000000"/>
        </w:rPr>
        <w:t xml:space="preserve"> </w:t>
      </w:r>
      <w:r>
        <w:rPr>
          <w:rFonts w:ascii="Times New Roman;sans-serif" w:hAnsi="Times New Roman;sans-serif"/>
          <w:b w:val="false"/>
          <w:color w:val="000000"/>
          <w:sz w:val="20"/>
        </w:rPr>
        <w:t>lease costs are primarily comprised of rental expense for operating leases. Rental expense is recognized on a straight line basis over the lease term and includes amortization of the right-of-use lease asset and imputed interest on the lease liability. Operating lease costs are included in other operating expenses in the Company's consolidated statements of (loss) income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Reserve for Losses and Loss Adjustment Expenses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establishing the reserve for losses and loss adjustment expenses, the Company’s internal actuaries estimate an initial expected ultimate loss ratio for each of our lines of business by accident year. Input from the Company’s underwriting and claims departments, including premium pricing assumptions and historical experience, are considered by the Company’s internal actuaries in estimating the initial expected loss ratios. The Company’s internal actuaries generally utilize five primary actuarial methods in their estimation process for the reserve for losses and loss adjustment expenses. These primary methods are supplemented by additional actuarial methods as the Chief Actuary considers appropriate. For example, these supplemental methods can include frequency and severity methods that utilize claim count data to estimate ultimate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and claims handling practices, policy forms, exclusions, and exposures.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actuarial methods to be used for each accident year and line of business. For the Excess and Surplus Lines segment, the internal actuaries perform a study on each of these parameters at least annually and make recommendations for the initial expected loss ratios, the incurred and paid loss development factors and the weighting of the actuarial methods by accident year and line of business. Members of management’s Reserve Committee review and approve the parameter review actuarial recommendations, and absent any developments requiring an earlier review, these approved parameters are used in the reserve estimation process for the next four quarters at which time a new parameter study is performed. For the Specialty Admitted Insurance segment, expected loss ratios, loss development factors, and loss cost trends are reviewed and updated at least annually.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Different reserving methods are appropriate in different situations, and the Company’s internal actuaries use their judgment and experience to determine the weighting of the methods to use for each accident year and each line of business. For example, the current accident year has very little incurred and paid loss development data on which to base reserve projections. As a result, the Company relies heavily on the initial expected loss ratio in estimating reserves for the current accident year.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Company generally sets the initial expected loss ratio for the current accident year consistent with the internal actuaries’ pricing assumptions adjusted upward where warranted based on management's judgment in order to produce the best estimate. We believe that this is a reasonable and appropriate reserving assumption for the current accident year since our pricing assumptions are actuarially driven and since the Company expects to make an acceptable return on the new business written.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data is available for the oldest accident years, so more weight is given to this development data and less weight is given to the initial expected loss ratio.</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loss adjustment expenses, net of reinsurance, to the gross amounts reported in the consolidated balance sheets. Reinsurance recoverables on unpaid losses and loss adjustment expenses are presented gross of an allowance for credit losses on reinsurance balances of $660,000, $580,000, and $607,000 at December 31, 2023, 2022, and 2021, respectively.</w:t>
      </w:r>
    </w:p>
    <w:tbl>
      <w:tblPr>
        <w:tblW w:w="10205" w:type="dxa"/>
        <w:jc w:val="left"/>
        <w:tblInd w:w="0" w:type="dxa"/>
        <w:tblLayout w:type="fixed"/>
        <w:tblCellMar>
          <w:top w:w="28" w:type="dxa"/>
          <w:left w:w="28" w:type="dxa"/>
          <w:bottom w:w="28" w:type="dxa"/>
          <w:right w:w="28" w:type="dxa"/>
        </w:tblCellMar>
      </w:tblPr>
      <w:tblGrid>
        <w:gridCol w:w="2033"/>
        <w:gridCol w:w="1787"/>
        <w:gridCol w:w="1797"/>
        <w:gridCol w:w="211"/>
        <w:gridCol w:w="976"/>
        <w:gridCol w:w="109"/>
        <w:gridCol w:w="109"/>
        <w:gridCol w:w="109"/>
        <w:gridCol w:w="109"/>
        <w:gridCol w:w="211"/>
        <w:gridCol w:w="976"/>
        <w:gridCol w:w="109"/>
        <w:gridCol w:w="109"/>
        <w:gridCol w:w="109"/>
        <w:gridCol w:w="109"/>
        <w:gridCol w:w="211"/>
        <w:gridCol w:w="976"/>
        <w:gridCol w:w="155"/>
      </w:tblGrid>
      <w:tr>
        <w:trPr/>
        <w:tc>
          <w:tcPr>
            <w:tcW w:w="2033"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Incurred losses and loss adjustment expenses net of reinsurance: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retroactive reinsurance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excluding retroactive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 losses and loss and adjustment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and loss adjustment expense payments net of reinsurance: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and loss adjustment expense payments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Change in deferred reinsurance gain - retroactive reinsurance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reserves ceded in loss portfolio transfer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end of period</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Reinsurance recoverables on unpaid losses and loss adjustment expenses at end of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gross of reinsurance recoverables on unpaid losses and loss adjustment expenses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05"/>
        <w:jc w:val="left"/>
        <w:rPr/>
      </w:pPr>
      <w:r>
        <w:rPr>
          <w:rFonts w:ascii="Times New Roman;sans-serif" w:hAnsi="Times New Roman;sans-serif"/>
          <w:b w:val="false"/>
          <w:color w:val="000000"/>
          <w:sz w:val="20"/>
        </w:rPr>
        <w:t xml:space="preserve">The foregoing reconciliation shows that $31.6 million of net adverse development was experienced in 2023 on the reserve for losses and loss adjustment expenses held at December 31, 2022 (excluding adverse prior year development on the commercial auto loss portfolio transfer subject to retroactive reinsurance accounting - see </w:t>
      </w:r>
      <w:r>
        <w:rPr>
          <w:rFonts w:ascii="Times New Roman;sans-serif" w:hAnsi="Times New Roman;sans-serif"/>
          <w:b w:val="false"/>
          <w:i/>
          <w:color w:val="000000"/>
          <w:sz w:val="20"/>
        </w:rPr>
        <w:t xml:space="preserve">Loss Portfolio Transfer </w:t>
      </w:r>
      <w:r>
        <w:rPr>
          <w:rFonts w:ascii="Times New Roman;sans-serif" w:hAnsi="Times New Roman;sans-serif"/>
          <w:b w:val="false"/>
          <w:color w:val="000000"/>
          <w:sz w:val="20"/>
        </w:rPr>
        <w:t>below). This net adverse reserve development included $32.6 million of net adverse development in the Excess and Surplus Lines segment, with adverse development in accident years 2020 and prior exceeding favorable development on accident years 2022 and 2021, and $972,000 of net favorable development in the Specialty Admitted Insurance segment.</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The foregoing reconciliation shows that $4.4 million of net favorable development was experienced in 2022 on the reserve for losses and loss adjustment expenses held at December 31, 2021 (excluding adverse prior year development on the commercial auto loss portfolio transfer subject to retroactive reinsurance accounting - see </w:t>
      </w:r>
      <w:r>
        <w:rPr>
          <w:rFonts w:ascii="Times New Roman;sans-serif" w:hAnsi="Times New Roman;sans-serif"/>
          <w:b w:val="false"/>
          <w:i/>
          <w:color w:val="000000"/>
          <w:sz w:val="20"/>
        </w:rPr>
        <w:t xml:space="preserve">Loss Portfolio Transfer </w:t>
      </w:r>
      <w:r>
        <w:rPr>
          <w:rFonts w:ascii="Times New Roman;sans-serif" w:hAnsi="Times New Roman;sans-serif"/>
          <w:b w:val="false"/>
          <w:color w:val="000000"/>
          <w:sz w:val="20"/>
        </w:rPr>
        <w:t>below). This net favorable reserve development included $210,000 of net favorable development in the Excess and Surplus Lines segment and $4.2 million of net favorable development in the Specialty Admitted Insurance segment. The Company also experienced $5.0 million of net catastrophe losses in the current accident year in 2022 related to Hurricane Ian.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reconciliation shows that $188.2 million of net adverse development was experienced in 2021 on the reserve for losses and loss adjustment expenses held at December 31, 2020. This net adverse reserve development included $190.7 million of net adverse development in the Excess and Surplus Lines segment including $200.1 million of net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in the commercial auto line of business that was primarily related to the 2019 and prior accident years with Rasier. The adverse development for commercial auto was partially offset by $9.4 million of net favorable development in the Core E&amp;S underwriting divisions. The Company also experienced $2.5 million of net favorable development on prior accident years in the Specialty Admitted Insurance segment, as losses on our workers’ compensation business written prior to 2020 continued to develop more favorably than we had anticipated. The Company also experienced $5.0 million of net catastrophe losses in the current accident year in 2021 related to Hurricane Ida.</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Loss Portfolio Transfers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Loss portfolio transfers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on the subject risks when they no longer meet the Company's appetite or are no longer aligned with the Company's risk management guidelines.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Auto Loss Portfolio Transfer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structured to be fully collateralized, is not subject to an aggregate limit, and is subject to certain exclusions. A pre-tax loss of $29.6 million was recognized as adverse loss and loss adjustment reserve development in the Excess and Surplus Lines segment for the third quarter of 2021 associated with the loss portfolio transfer.</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Retroactive Reinsurance Accounting</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and when recognized adverse prior year development on the subject business causes the cumulative amounts ceded under the loss portfolio transfer to exceed the consideration paid, the loss portfolio transfer moves into a gain position subject to retroactive reinsurance accounting under GAAP. Gains are deferred under retroactive reinsurance accounting and recognized in earnings in proportion to actual paid recoveries under the loss portfolio transfer using the recovery method. While the deferral of gains can introduce volatility in our results in the short-term, over the life of the contract, we would expect no economic impact to the Company as long as the counterparty performs under the contract. The impact of retroactive reinsurance accounting is not indicative of our current and ongoing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due to adverse paid and reported loss trends on the legacy Rasier business, the Company recognized adverse prior year development of $64.4 million and $46.7 million, respectively, on the net reserves subject to the Commercial Auto LPT, resulting in corresponding additional amounts ceded under the Commercial Auto LPT. As a result, the cumulative amounts ceded under the Commercial Auto LPT exceed the consideration paid, moving the Commercial Auto LPT into a gain position. The Company has applied retroactive reinsurance accounting to the loss portfolio transfer. Retroactive reinsurance benefits of $59.4 million and $31.0 million, respectively, were recorded in losses and loss adjustment expenses on the Consolidated Statements of (Loss) Income and Comprehensive Loss for the years ended December 31, 2023 and 2022 using the recovery method. The cumulative amounts ceded under the loss portfolio transfer were $456.2 million and $391.8 million as of December 31, 2023 and 2022, respectively. The deferred retroactive reinsurance gain related to the Commercial Auto LPT separately presented on the Company's Consolidated Balance Sheets was $20.7 million and $15.7 million at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incurred and paid losses and loss adjustment expenses, net of reinsurance as of December 31, 2023 for: (1) the Excess and Surplus Lines segment split between all excess and surplus lines business excluding commercial auto, and separately, commercial auto, and (2) the Specialty Admitted Insurance segment split between individual risk workers’ compensation and fronting and programs. The information provided herein about incurred and paid accident year claims development for the years ended December 31, 2022 and prior is presented as “unaudited” supplementary information.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Excess and Surplus Lines — Excluding Commercial Auto</w:t>
      </w:r>
    </w:p>
    <w:tbl>
      <w:tblPr>
        <w:tblW w:w="13981"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81" w:type="dxa"/>
            <w:gridSpan w:val="6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Incurred losses and loss adjustment expenses, net of reinsurance (in thousands)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2,042,430 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3711"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11" w:type="dxa"/>
            <w:gridSpan w:val="6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Cumulative paid losses and loss adjustment expenses, net of reinsurance (in thousands)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5" w:type="dxa"/>
            <w:gridSpan w:val="5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All outstanding losses and loss adjustment expenses prior to 2014, net of reinsurance (76 claims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9"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1,063,570 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Excess and Surplus Lines — Commercial Auto</w:t>
      </w:r>
    </w:p>
    <w:tbl>
      <w:tblPr>
        <w:tblW w:w="13801"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1" w:type="dxa"/>
            <w:gridSpan w:val="6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Incurred losses and loss adjustment expenses, net of reinsurance (in thousands)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1,472,080 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3621"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21" w:type="dxa"/>
            <w:gridSpan w:val="6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Cumulative paid losses and loss adjustment expenses, net of reinsurance (in thousands)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7"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 before Rasier LPT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127,866 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Reinsurance recoverable for Rasier LPT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78,065 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7"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Specialty Admitted — Individual Risk Workers’ Compensation</w:t>
      </w:r>
    </w:p>
    <w:tbl>
      <w:tblPr>
        <w:tblW w:w="13666"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6" w:type="dxa"/>
            <w:gridSpan w:val="6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Incurred losses and loss adjustment expenses, net of reinsurance (in thousands)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3576"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76" w:type="dxa"/>
            <w:gridSpan w:val="6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Cumulative paid losses and loss adjustment expenses, net of reinsurance (in thousands)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5" w:type="dxa"/>
            <w:gridSpan w:val="5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All outstanding losses and loss adjustment expenses prior to 2014, net of reinsurance (6 claims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5" w:type="dxa"/>
            <w:gridSpan w:val="5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losses and loss adjustment expenses assumed from involuntary workers’ compensation pools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9"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24,620 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Specialty Admitted — Fronting and Programs</w:t>
      </w:r>
    </w:p>
    <w:tbl>
      <w:tblPr>
        <w:tblW w:w="12856"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736"/>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56" w:type="dxa"/>
            <w:gridSpan w:val="6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Incurred losses and loss adjustment expenses, net of reinsurance (in thousands)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2721"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736"/>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08" w:type="dxa"/>
            <w:gridSpan w:val="5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Cumulative paid losses and loss adjustment expenses, net of reinsurance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2"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outstanding losses and loss adjustment expenses, net of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4"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losses and loss adjustment expenses, assumed from involuntary pools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2"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outstanding losses and loss adjustment expenses, net of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108,982 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left"/>
        <w:rPr/>
      </w:pPr>
      <w:r>
        <w:rPr/>
      </w:r>
    </w:p>
    <w:p>
      <w:pPr>
        <w:pStyle w:val="TextBody"/>
        <w:bidi w:val="0"/>
        <w:spacing w:before="10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net incurred and paid claims development tables to the reserve for losses and loss adjustment expenses in the consolidated balance sheet at December 31, 2023 is as follows (in thousands):</w:t>
      </w:r>
    </w:p>
    <w:tbl>
      <w:tblPr>
        <w:tblW w:w="10205" w:type="dxa"/>
        <w:jc w:val="left"/>
        <w:tblInd w:w="0" w:type="dxa"/>
        <w:tblLayout w:type="fixed"/>
        <w:tblCellMar>
          <w:top w:w="28" w:type="dxa"/>
          <w:left w:w="28" w:type="dxa"/>
          <w:bottom w:w="28" w:type="dxa"/>
          <w:right w:w="28" w:type="dxa"/>
        </w:tblCellMar>
      </w:tblPr>
      <w:tblGrid>
        <w:gridCol w:w="3218"/>
        <w:gridCol w:w="2818"/>
        <w:gridCol w:w="2827"/>
        <w:gridCol w:w="211"/>
        <w:gridCol w:w="976"/>
        <w:gridCol w:w="155"/>
      </w:tblGrid>
      <w:tr>
        <w:trPr/>
        <w:tc>
          <w:tcPr>
            <w:tcW w:w="3218"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E&amp;S – excluding commercial auto</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1,063,570 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E&amp;S – commercial auto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 individual risk workers’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 fronting and programs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 for losses and loss adjustment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recoverables on unpaid losses (gross of $660,000 allowance for credit losses on reinsurance recoverables)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reserve for losses and loss adjustment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2,606,107 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unaudited supplementary information about average annual percentage payouts of incurred claims by age, net of reinsurance, as of December 31, 2023. </w:t>
      </w:r>
    </w:p>
    <w:tbl>
      <w:tblPr>
        <w:tblW w:w="10964" w:type="dxa"/>
        <w:jc w:val="left"/>
        <w:tblInd w:w="0" w:type="dxa"/>
        <w:tblLayout w:type="fixed"/>
        <w:tblCellMar>
          <w:top w:w="28" w:type="dxa"/>
          <w:left w:w="28" w:type="dxa"/>
          <w:bottom w:w="28" w:type="dxa"/>
          <w:right w:w="28" w:type="dxa"/>
        </w:tblCellMar>
      </w:tblPr>
      <w:tblGrid>
        <w:gridCol w:w="462"/>
        <w:gridCol w:w="301"/>
        <w:gridCol w:w="303"/>
        <w:gridCol w:w="233"/>
        <w:gridCol w:w="233"/>
        <w:gridCol w:w="261"/>
        <w:gridCol w:w="109"/>
        <w:gridCol w:w="109"/>
        <w:gridCol w:w="109"/>
        <w:gridCol w:w="233"/>
        <w:gridCol w:w="233"/>
        <w:gridCol w:w="261"/>
        <w:gridCol w:w="109"/>
        <w:gridCol w:w="109"/>
        <w:gridCol w:w="109"/>
        <w:gridCol w:w="233"/>
        <w:gridCol w:w="233"/>
        <w:gridCol w:w="261"/>
        <w:gridCol w:w="109"/>
        <w:gridCol w:w="109"/>
        <w:gridCol w:w="109"/>
        <w:gridCol w:w="233"/>
        <w:gridCol w:w="233"/>
        <w:gridCol w:w="261"/>
        <w:gridCol w:w="109"/>
        <w:gridCol w:w="109"/>
        <w:gridCol w:w="109"/>
        <w:gridCol w:w="233"/>
        <w:gridCol w:w="233"/>
        <w:gridCol w:w="261"/>
        <w:gridCol w:w="109"/>
        <w:gridCol w:w="109"/>
        <w:gridCol w:w="109"/>
        <w:gridCol w:w="233"/>
        <w:gridCol w:w="233"/>
        <w:gridCol w:w="261"/>
        <w:gridCol w:w="109"/>
        <w:gridCol w:w="109"/>
        <w:gridCol w:w="109"/>
        <w:gridCol w:w="188"/>
        <w:gridCol w:w="188"/>
        <w:gridCol w:w="261"/>
        <w:gridCol w:w="109"/>
        <w:gridCol w:w="109"/>
        <w:gridCol w:w="109"/>
        <w:gridCol w:w="188"/>
        <w:gridCol w:w="188"/>
        <w:gridCol w:w="261"/>
        <w:gridCol w:w="109"/>
        <w:gridCol w:w="109"/>
        <w:gridCol w:w="109"/>
        <w:gridCol w:w="188"/>
        <w:gridCol w:w="188"/>
        <w:gridCol w:w="261"/>
        <w:gridCol w:w="109"/>
        <w:gridCol w:w="109"/>
        <w:gridCol w:w="109"/>
        <w:gridCol w:w="188"/>
        <w:gridCol w:w="188"/>
        <w:gridCol w:w="306"/>
      </w:tblGrid>
      <w:tr>
        <w:trPr/>
        <w:tc>
          <w:tcPr>
            <w:tcW w:w="4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10</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E&amp;S – excluding commercial auto</w:t>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E&amp;S – commercial auto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Specialty Admitted – individual risk workers’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Specialty Admitted – fronting and programs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cumulative number of reported claims, the Company measures claim counts by individual claimant for individual risk workers’ compensation policies in the Specialty Admitted Insurance segment. In the Excess and Surplus Lines insurance segment and for fronting and programs in the Specialty Admitted Insurance segment, the Company measures claim counts by claim event. The claim counts include all claims reported, even if the Company does not establish a liability for the claim (i.e. reserve for losses and loss adjustment expenses).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on IBNR liabilities and claims frequency for: (1) the Excess and Surplus Lines segment split between commercial auto and all non commercial auto, and (2) the Specialty Admitted Insurance segment split between individual risk workers’ compensation and fronting and programs: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Excess and Surplus Lines — Excluding Commercial Auto</w:t>
      </w:r>
    </w:p>
    <w:tbl>
      <w:tblPr>
        <w:tblW w:w="5664" w:type="dxa"/>
        <w:jc w:val="left"/>
        <w:tblInd w:w="0" w:type="dxa"/>
        <w:tblLayout w:type="fixed"/>
        <w:tblCellMar>
          <w:top w:w="28" w:type="dxa"/>
          <w:left w:w="28" w:type="dxa"/>
          <w:bottom w:w="28" w:type="dxa"/>
          <w:right w:w="28" w:type="dxa"/>
        </w:tblCellMar>
      </w:tblPr>
      <w:tblGrid>
        <w:gridCol w:w="418"/>
        <w:gridCol w:w="367"/>
        <w:gridCol w:w="369"/>
        <w:gridCol w:w="109"/>
        <w:gridCol w:w="109"/>
        <w:gridCol w:w="109"/>
        <w:gridCol w:w="249"/>
        <w:gridCol w:w="852"/>
        <w:gridCol w:w="128"/>
        <w:gridCol w:w="109"/>
        <w:gridCol w:w="109"/>
        <w:gridCol w:w="109"/>
        <w:gridCol w:w="211"/>
        <w:gridCol w:w="616"/>
        <w:gridCol w:w="109"/>
        <w:gridCol w:w="109"/>
        <w:gridCol w:w="109"/>
        <w:gridCol w:w="109"/>
        <w:gridCol w:w="399"/>
        <w:gridCol w:w="399"/>
        <w:gridCol w:w="56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w:t>
              <w:br/>
              <w:t>and Loss Adj</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 of</w:t>
              <w:br/>
              <w:t>Reported Claims</w:t>
            </w:r>
          </w:p>
        </w:tc>
      </w:tr>
      <w:tr>
        <w:trPr/>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Excess and Surplus Lines — Commercial Auto</w:t>
      </w:r>
    </w:p>
    <w:tbl>
      <w:tblPr>
        <w:tblW w:w="8846" w:type="dxa"/>
        <w:jc w:val="left"/>
        <w:tblInd w:w="0" w:type="dxa"/>
        <w:tblLayout w:type="fixed"/>
        <w:tblCellMar>
          <w:top w:w="28" w:type="dxa"/>
          <w:left w:w="28" w:type="dxa"/>
          <w:bottom w:w="28" w:type="dxa"/>
          <w:right w:w="28" w:type="dxa"/>
        </w:tblCellMar>
      </w:tblPr>
      <w:tblGrid>
        <w:gridCol w:w="418"/>
        <w:gridCol w:w="367"/>
        <w:gridCol w:w="369"/>
        <w:gridCol w:w="109"/>
        <w:gridCol w:w="109"/>
        <w:gridCol w:w="109"/>
        <w:gridCol w:w="249"/>
        <w:gridCol w:w="852"/>
        <w:gridCol w:w="128"/>
        <w:gridCol w:w="109"/>
        <w:gridCol w:w="109"/>
        <w:gridCol w:w="109"/>
        <w:gridCol w:w="585"/>
        <w:gridCol w:w="1002"/>
        <w:gridCol w:w="302"/>
        <w:gridCol w:w="109"/>
        <w:gridCol w:w="109"/>
        <w:gridCol w:w="109"/>
        <w:gridCol w:w="571"/>
        <w:gridCol w:w="978"/>
        <w:gridCol w:w="295"/>
        <w:gridCol w:w="109"/>
        <w:gridCol w:w="109"/>
        <w:gridCol w:w="109"/>
        <w:gridCol w:w="457"/>
        <w:gridCol w:w="399"/>
        <w:gridCol w:w="56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w:t>
              <w:br/>
              <w:t>and Loss Adj</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 before Rasier LPT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 net of Rasier LPT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 of</w:t>
              <w:br/>
              <w:t>Reported Claims</w:t>
            </w:r>
          </w:p>
        </w:tc>
      </w:tr>
      <w:tr>
        <w:trPr/>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41,771 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89,117 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134,150 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97,342 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71,492 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Specialty Admitted - Individual Risk Workers’ Compensation</w:t>
      </w:r>
    </w:p>
    <w:tbl>
      <w:tblPr>
        <w:tblW w:w="5453" w:type="dxa"/>
        <w:jc w:val="left"/>
        <w:tblInd w:w="0" w:type="dxa"/>
        <w:tblLayout w:type="fixed"/>
        <w:tblCellMar>
          <w:top w:w="28" w:type="dxa"/>
          <w:left w:w="28" w:type="dxa"/>
          <w:bottom w:w="28" w:type="dxa"/>
          <w:right w:w="28" w:type="dxa"/>
        </w:tblCellMar>
      </w:tblPr>
      <w:tblGrid>
        <w:gridCol w:w="418"/>
        <w:gridCol w:w="367"/>
        <w:gridCol w:w="369"/>
        <w:gridCol w:w="109"/>
        <w:gridCol w:w="109"/>
        <w:gridCol w:w="109"/>
        <w:gridCol w:w="249"/>
        <w:gridCol w:w="852"/>
        <w:gridCol w:w="128"/>
        <w:gridCol w:w="109"/>
        <w:gridCol w:w="109"/>
        <w:gridCol w:w="109"/>
        <w:gridCol w:w="227"/>
        <w:gridCol w:w="389"/>
        <w:gridCol w:w="109"/>
        <w:gridCol w:w="109"/>
        <w:gridCol w:w="109"/>
        <w:gridCol w:w="109"/>
        <w:gridCol w:w="399"/>
        <w:gridCol w:w="399"/>
        <w:gridCol w:w="56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w:t>
              <w:br/>
              <w:t>and Loss Adj</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 of</w:t>
              <w:br/>
              <w:t>Reported Claims</w:t>
            </w:r>
          </w:p>
        </w:tc>
      </w:tr>
      <w:tr>
        <w:trPr/>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120" w:after="180"/>
        <w:jc w:val="left"/>
        <w:rPr>
          <w:color w:val="000000"/>
        </w:rPr>
      </w:pPr>
      <w:r>
        <w:rPr>
          <w:color w:val="000000"/>
        </w:rPr>
        <w:t> </w:t>
      </w:r>
      <w:r>
        <w:rPr>
          <w:rFonts w:ascii="Times New Roman;sans-serif" w:hAnsi="Times New Roman;sans-serif"/>
          <w:b/>
          <w:color w:val="000000"/>
          <w:sz w:val="20"/>
        </w:rPr>
        <w:t>Specialty Admitted — Fronting and Programs</w:t>
      </w:r>
    </w:p>
    <w:tbl>
      <w:tblPr>
        <w:tblW w:w="5559" w:type="dxa"/>
        <w:jc w:val="left"/>
        <w:tblInd w:w="0" w:type="dxa"/>
        <w:tblLayout w:type="fixed"/>
        <w:tblCellMar>
          <w:top w:w="28" w:type="dxa"/>
          <w:left w:w="28" w:type="dxa"/>
          <w:bottom w:w="28" w:type="dxa"/>
          <w:right w:w="28" w:type="dxa"/>
        </w:tblCellMar>
      </w:tblPr>
      <w:tblGrid>
        <w:gridCol w:w="418"/>
        <w:gridCol w:w="367"/>
        <w:gridCol w:w="369"/>
        <w:gridCol w:w="109"/>
        <w:gridCol w:w="109"/>
        <w:gridCol w:w="109"/>
        <w:gridCol w:w="277"/>
        <w:gridCol w:w="810"/>
        <w:gridCol w:w="143"/>
        <w:gridCol w:w="109"/>
        <w:gridCol w:w="109"/>
        <w:gridCol w:w="109"/>
        <w:gridCol w:w="246"/>
        <w:gridCol w:w="475"/>
        <w:gridCol w:w="109"/>
        <w:gridCol w:w="109"/>
        <w:gridCol w:w="109"/>
        <w:gridCol w:w="109"/>
        <w:gridCol w:w="399"/>
        <w:gridCol w:w="399"/>
        <w:gridCol w:w="56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w:t>
              <w:br/>
              <w:t>and Loss Adj</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 of</w:t>
              <w:br/>
              <w:t>Reported Claims</w:t>
            </w:r>
          </w:p>
        </w:tc>
      </w:tr>
      <w:tr>
        <w:trPr/>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provided insurance coverage that could reasonably be expected to produce material levels of asbestos claims activity. In addition, management does not believe that the Company is exposed to environmental liability claims other than those which it has specifically underwritten and priced as an environmental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Reinsurance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remains liable to policyholders if its reinsurers are unable to meet their contractual obligations under applicable reinsurance agreements. To minimize exposure to significant losses from reinsurance insolvencies, the Company evaluates the financial condition of its reinsurers and monitors concentrations of credit risk.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the Company in such arrangements. The Company customarily requires a collateral trust arrangement to secure the obligations of the insurance entity for whom it is fronting.</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reinsurance recoverables on unpaid losses of $1,358.5 million and reinsurance recoverables on paid losses of $158.0 million. All material reinsurance recoverables are from companies with A.M. Best Company ratings of “A-” (Excellent) or better, or are collateralized by the reinsurer for our benefit through letters of credit or trust agreements, or represent recoverables from a state residual market for automobile insurance.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reinsurance recoverables on unpaid losses from the Company’s three largest reinsurers were $366.1 million, $162.1 million, and $78.1 million, representing 44.6% of the total balance.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prepaid reinsurance premiums ceded to the three reinsurers with the largest amount of prepaid reinsurance premiums totaled $51.2 million, $25.0 million, and $24.1 million, representing 34.2% of the total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Premiums written, premiums earned, and losses and loss adjustment expenses incurred are summarized as follows:</w:t>
      </w:r>
    </w:p>
    <w:tbl>
      <w:tblPr>
        <w:tblW w:w="7736" w:type="dxa"/>
        <w:jc w:val="left"/>
        <w:tblInd w:w="0" w:type="dxa"/>
        <w:tblLayout w:type="fixed"/>
        <w:tblCellMar>
          <w:top w:w="28" w:type="dxa"/>
          <w:left w:w="28" w:type="dxa"/>
          <w:bottom w:w="28" w:type="dxa"/>
          <w:right w:w="28" w:type="dxa"/>
        </w:tblCellMar>
      </w:tblPr>
      <w:tblGrid>
        <w:gridCol w:w="1141"/>
        <w:gridCol w:w="1000"/>
        <w:gridCol w:w="1008"/>
        <w:gridCol w:w="211"/>
        <w:gridCol w:w="976"/>
        <w:gridCol w:w="109"/>
        <w:gridCol w:w="109"/>
        <w:gridCol w:w="109"/>
        <w:gridCol w:w="109"/>
        <w:gridCol w:w="211"/>
        <w:gridCol w:w="976"/>
        <w:gridCol w:w="109"/>
        <w:gridCol w:w="109"/>
        <w:gridCol w:w="109"/>
        <w:gridCol w:w="109"/>
        <w:gridCol w:w="211"/>
        <w:gridCol w:w="97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premiums: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Earned premiums: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    Senior Debt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$315.0 million senior revolving credit facility (as amended or amended and restated, the "2013 Facility”). The 2013 Facility is comprised of the following at December 31, 2023:</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 $102.5 million secured revolving facility utilized by JRG Re to issue letters of credit for the benefit of third-party reinsureds. This portion of our credit facility is secured by our investment securities. At December 31, 2023, the Company had $42.7 million of letters of credit issued under the secured facility.</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 $212.5 million unsecured revolving facility to meet the working capital needs of the Company. All unpaid principal on the revolver is due at maturity. Interest accrues quarterly and is payable in arrears, currently at 1-month SOFR (the Company, per the terms of the credit agreement, can elect between one, three, or six month interest periods) plus a 0.1% SOFR index adjustment and a SOFR margin (1.75% at December 31, 2023), which is subject to change according to terms in the credit agreement. At December 31, 2023 and 2022, the Company had a drawn balance of $185.8 million outstanding on the unsecured revolver.</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and JRG Re are borrowers on the 2013 Facility. 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2023, the Company entered into a Third Amended and Restated Credit Agreement for its $315.0 million senior revolving credit facility which, among other things, extended the maturity date of such facility until July 7, 2026 and increased the applicable interest rate and letter of credit fees.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subsidiary of the bank holding company for which the former Non-Executive Chairman of the Company was previously Lead Independent Director is one of the lenders for the 2013 Facility, with a $50.0 million commitment allocation on the total $315.0 million 2013 Facility.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2013 Facility contains certain financial and other covenants (including minimum net worth, maximum ratio of total adjusted debt outstanding to total capitalization, and financial strength ratings) with which the Company was in compliance at December 31, 2023, with the exception of a default of the financial strength rating covenant due to the downgrade of JRG Re by A.M. Best on December 20, 2023 from “A-” (Excellent) to “B++” (good). The financial strength rating covenant requires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both"/>
        <w:rPr/>
      </w:pPr>
      <w:r>
        <w:rPr>
          <w:rFonts w:ascii="Times New Roman;sans-serif" w:hAnsi="Times New Roman;sans-serif"/>
          <w:b w:val="false"/>
          <w:color w:val="000000"/>
          <w:sz w:val="20"/>
        </w:rPr>
        <w:t>that each of our regulated insurance subsidiaries maintain an A.M. Best rating not lower than “A-</w:t>
      </w:r>
      <w:r>
        <w:rPr>
          <w:color w:val="000000"/>
        </w:rPr>
        <w:t xml:space="preserve">” </w:t>
      </w:r>
      <w:r>
        <w:rPr>
          <w:rFonts w:ascii="Times New Roman;sans-serif" w:hAnsi="Times New Roman;sans-serif"/>
          <w:b w:val="false"/>
          <w:color w:val="000000"/>
          <w:sz w:val="20"/>
        </w:rPr>
        <w:t>(Excellent).</w:t>
      </w:r>
      <w:r>
        <w:rPr>
          <w:color w:val="000000"/>
        </w:rPr>
        <w:t xml:space="preserve"> </w:t>
      </w:r>
      <w:r>
        <w:rPr>
          <w:rFonts w:ascii="Times New Roman;sans-serif" w:hAnsi="Times New Roman;sans-serif"/>
          <w:b w:val="false"/>
          <w:color w:val="000000"/>
          <w:sz w:val="20"/>
        </w:rPr>
        <w:t>Our lenders have waived this default through March 1, 2025, and in any event, we expect it to be cured upon the closing of the sale of JRG Re, at which time we expect JRG Re to be removed as a borrower under the 2017 Facility.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The loans and letters of credit made or issued under the revolving line of credit may be used to finance the Borrowers’ general corporate purposes. The 2017 Facility has been amended from time to time since its inception in 2017. On November 8, 2019, the Company entered into a First Amendment to Credit Agreement which, among other things, lowered the applicable interest rate and modified certain negative covenants to be less restrictive. Obligations under the 2017 Facility carry a variable rate of interest subject to terms in the credit agreement which is currently at 1-month SOFR (the Company, per the terms of the credit agreement, can elect between one, two, three, or six month interest periods) plus a 0.1% SOFR index adjustment and a SOFR margin (1.50% at December 31, 2023) and will mature 30 days after notice of termination from the lender. Interest accrues quarterly and is payable in arrears at variable rates which are subject to change according to terms in the credit agreement. At December 31, 2023, unsecured loans of $21.5 million and secured letters of credit totaling $25.5 million were outstanding under the facility. The Company repaid $40.0 million of loans in 2022.</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secure borrowings and letters of credit made or issued under the secured portion of the 2017 Facility, JRG Re entered into a pledge and security agreement on August 2, 2017 with the lender, pursuant to which JRG Re pledged certain investment securities. In the event the Company elects to pledge investment securities as collateral for the secured portion of the revolving credit facility, the Company will enter into a similar pledge and security agreement.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An affiliate of the lender under the 2017 Facility was an underwriter in the December 2014 initial public offering of the Company’s common shares and a joint lead book-running manager in the Company’s May 2021 public offering of the Company’s common shares.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2017 Facility contains certain financial and other covenants with which we are in compliance at December 31, 2023, with the exception of a default of the financial strength rating covenant due to the downgrade of JRG Re by A.M. Best on December 20, 2023 from “A-” (Excellent) to “B++” (good). The financial strength rating covenant requires that each of our regulated insurance subsidiaries maintain an A.M. Best rating not lower than “A-” (Excellent). Our lenders have waived this default through March 1, 2025, and in any event, we expect it to be cured upon the closing of the sale of JRG Re, at which time we expect JRG Re to be removed as a borrower under the 2017 Facility.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On May 26, 2004, James River Group issued $15.0 million of unsecured, floating rate senior debentures (the “Senior Debt”), due April 29, 2034 unless accelerated earlier, through an indenture. The Senior Debt is not redeemable by the holder and is not subject to sinking fund requirements. Interest accrues quarterly and is payable in arrears at a per annum rate of the three-month SOFR on the Determination Date (as defined in the indenture) plus a spread adjustment of 0.26% and a margin of 3.85%. The Senior Debt is redeemable prior to its stated maturity in whole or in part, at the option of James River Group.</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the indenture generally provide that so long as the Senior Debt is outstanding, neither James River Group nor any of its subsidiaries may:</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assume or permit to exist any indebtedness that is secured by any encumbrance on the capital stock of James River Group or any of its subsidiaries which is senior to the Senior Debt; or</w:t>
      </w:r>
    </w:p>
    <w:p>
      <w:pPr>
        <w:pStyle w:val="TextBody"/>
        <w:bidi w:val="0"/>
        <w:spacing w:lineRule="auto" w:line="288" w:before="0" w:after="120"/>
        <w:ind w:left="0" w:right="0" w:hanging="360"/>
        <w:jc w:val="left"/>
        <w:rPr>
          <w:color w:val="000000"/>
        </w:rPr>
      </w:pPr>
      <w:r>
        <w:rPr>
          <w:color w:val="000000"/>
        </w:rPr>
        <w:t>•    </w:t>
      </w:r>
      <w:r>
        <w:rPr>
          <w:rFonts w:ascii="Times New Roman;sans-serif" w:hAnsi="Times New Roman;sans-serif"/>
          <w:b w:val="false"/>
          <w:color w:val="000000"/>
          <w:sz w:val="20"/>
        </w:rPr>
        <w:t>issue, sell, transfer or otherwise dispose of any shares of, securities convertible into, or warrants, rights or options to subscribe for or purchase shares of, capital stock of any subsidiary.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the Senior Debt contain certain covenants, with which the Company was in compliance at December 31, 2023, and which, among other things, restrict our ability to assume senior indebtedness secured by our U.S. holding company's common stock or its subsidiaries' capital stock or to issue shares of its subsidiaries' capital stock.</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is included in “accrued expenses” in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    Junior Subordinated Debt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trust preferred securities (“Trust Preferred Securities”) through James River Capital Trust I, James River Capital Trust II, James River Capital Trust III, James River Capital Trust IV, and Franklin Holdings II (Bermuda) Capital Trust I, (each, a “Trust”; collectively, the “Trusts”). These Delaware statutory trusts are sponsored and wholly-owned by the Company. Each Trust was created solely for the purpose of issuing the Trust Preferred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Each Trust used proceeds from the sale of its Trust Preferred Securities to purchase the Company’s floating rate junior subordinated debentures (the “Junior Subordinated Debt”) issued to the Trust under an indenture (each, an “Indenture”; collectively, the “Indentures”). The Junior Subordinated Debt is the sole asset of each Trust, and the Trust Preferred Securities are the sole liabilities of each Trust. The Company purchased all of the outstanding common stock of the Trusts, and the investment in the Trusts is included in “other assets” in the accompanying consolidated balance sheets.</w:t>
      </w: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nature and terms of the junior subordinated debt and trust preferred securities outstanding at December 31, 2023 (including the Company’s repurchases of a portion of these trust preferred securities):</w:t>
      </w:r>
    </w:p>
    <w:tbl>
      <w:tblPr>
        <w:tblW w:w="10205" w:type="dxa"/>
        <w:jc w:val="left"/>
        <w:tblInd w:w="0" w:type="dxa"/>
        <w:tblLayout w:type="fixed"/>
        <w:tblCellMar>
          <w:top w:w="28" w:type="dxa"/>
          <w:left w:w="28" w:type="dxa"/>
          <w:bottom w:w="28" w:type="dxa"/>
          <w:right w:w="28" w:type="dxa"/>
        </w:tblCellMar>
      </w:tblPr>
      <w:tblGrid>
        <w:gridCol w:w="858"/>
        <w:gridCol w:w="588"/>
        <w:gridCol w:w="580"/>
        <w:gridCol w:w="453"/>
        <w:gridCol w:w="453"/>
        <w:gridCol w:w="458"/>
        <w:gridCol w:w="109"/>
        <w:gridCol w:w="109"/>
        <w:gridCol w:w="109"/>
        <w:gridCol w:w="464"/>
        <w:gridCol w:w="464"/>
        <w:gridCol w:w="435"/>
        <w:gridCol w:w="109"/>
        <w:gridCol w:w="109"/>
        <w:gridCol w:w="109"/>
        <w:gridCol w:w="510"/>
        <w:gridCol w:w="426"/>
        <w:gridCol w:w="428"/>
        <w:gridCol w:w="109"/>
        <w:gridCol w:w="109"/>
        <w:gridCol w:w="109"/>
        <w:gridCol w:w="464"/>
        <w:gridCol w:w="464"/>
        <w:gridCol w:w="435"/>
        <w:gridCol w:w="109"/>
        <w:gridCol w:w="109"/>
        <w:gridCol w:w="109"/>
        <w:gridCol w:w="411"/>
        <w:gridCol w:w="411"/>
        <w:gridCol w:w="595"/>
      </w:tblGrid>
      <w:tr>
        <w:trPr/>
        <w:tc>
          <w:tcPr>
            <w:tcW w:w="8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Franklin</w:t>
              <w:br/>
              <w:t>Holdings II</w:t>
              <w:br/>
              <w:t>(Bermuda)</w:t>
              <w:br/>
              <w:t>Capital</w:t>
              <w:br/>
              <w:t>Trust I</w:t>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 date</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w:t>
              <w:b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15,</w:t>
              <w:b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15,</w:t>
              <w:b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11,</w:t>
              <w:b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10,</w:t>
              <w:br/>
              <w:t>2008</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amount of Trust Preferred Securities</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$30,000</w:t>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amount of Junior Subordinated Debt</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$30,928</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amount of Junior Subordinated Debt net of repurchases</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$15,928</w:t>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date of Junior Subordinated Debt, unless accelerated earlier</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24,</w:t>
              <w:br/>
              <w:t>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15,</w:t>
              <w:br/>
              <w:t>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15,</w:t>
              <w:br/>
              <w:t>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15,</w:t>
              <w:br/>
              <w:t>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15,</w:t>
              <w:br/>
              <w:t>2038</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common stock</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$928</w:t>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per annum</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Three-Month SOFR plus 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Three-Month SOFR plus 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Three-Month SOFR plus 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Three-Month SOFR plus 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Three-Month SOFR plus 4.3%</w:t>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All of the Junior Subordinated Debt is currently redeemable at 100.0% of the unpaid principal amount at the Company’s option. Interest on the Trust Preferred Securities and interest paid to the Trusts on the Junior Subordinated Debt is payable quarterly in arrears at a per annum rate as described in the table above. The Company has the right to defer interest payments on the Junior Subordinated Debt for up to five years without triggering an event of default.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Trust Preferred Securities are subject to mandatory redemption in a like amount (a) upon repayment of all of the Junior Subordinated Debt on the stated maturity date, (b) contemporaneously with the optional prepayment of all of the Junior Subordinated Debt in conjunction with a special event (as defined), and (c) five years or more after the issue date, contemporaneously with the optional prepayment, in whole or in part, of the Junior Subordinated Debt. The Indentures contain certain covenants which the Company is in compliance with as of December 31,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is included in “accrued expenses” on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    Series A Preferred Shares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24, 2022, we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Series A Preferred Shares are entitled to a dividend at the initial rate of 7% of the Liquidation Preference per annum, paid in cash, in-kind in common shares or in Series A Preferred Shares, at the Company's election. On the five-year anniversary of the Series A Closing Date, and each five-year anniversary thereafter, the dividend rate will reset to a rate equal to the five-year U.S. treasury rate plus 5.2%. Dividends accrue and are payable quarterly. For the years ended December 31, 2023 and 2022, cash dividends of $10.5 million and $8.8 million were declared, respectively, of which $2.6 million was payable at December 31 of both years. </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are convertible at the option of the holders thereof at any time into common shares at an initial conversion price of $26.5950, making the Series A Preferred Shares initially convertible into 5,640,158 common shares. The conversion price is subject to customary anti-dilution adjustments, including cash dividends on the common shares above specified levels, as well as certain adjustments in case of net adverse reserve developments in excess of a threshold over a period of time. The measurement period for the adverse reserve development anti-dilution adjustment commenced with the quarter beginning January 1, 2022 and ends with the quarter ending December 31, 2025. As of December 31, 2023, net adverse reserve development exceeded the threshold. If net adverse reserve development exceeds the threshold at the conclusion of the measurement period (or upon a mandatory or optional conversion, if earlier), the conversion price will be adjusted pursuant to the Certificate of Designations and the adjusted conversion price will become effective after the filing of the Company's financial statements for the period ending December 31, 2025 (or immediately after the close of business on the date of the public filing of the Company's financial statements for the most recent quarterly period preceding a mandatory or optional conversion, if earlier). None of the other triggers that would result in additional adjustments to the conversion price have been met at December 31,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setting forth the terms of the Series A Preferred Shares limits our ability to pay dividends to our common shareholders. If we pay cash dividends of more than $0.05 per common share per quarter, without the consent of at least the majority of the Series A Preferred Shares then outstanding, we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to our shareholders also trigger a reduction of the conversion price applicable to the Series A Preferred Shares.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on or after the two year anniversary of the Series A Closing Date, if the volume-weighted average price (“VWAP”) per Common Share is greater than 130% of the then-applicable conversion price for at least twenty (20)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the Series A Preferred Shares may require the Company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the five-year anniversary of the Series A Closing Date, all dividends that would have accrued up to such five-year anniversary, but that have not been paid. The repurchase price will be payable in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consolidated balance sheets and are recognized at fair value of $150.0 million (the proceeds on the date of issuance) less issuance costs of $5.1 million, resulting in a carrying value of $144.9 million.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Investment Agreement, GPC Partners has the right to designate one member of the Board (the “Series A Designee”). GPC Partners has designated Matthew Botein as the Series A Designee and, accordingly, the Board approved the appointment of Mr. Botein to serve as a Class I director with a term expiring at the 2024 annual meeting of the Company’s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    Shareholders' Equity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200,000,000 common shares authorized with $0.0002 par value per share. The following table presents a rollforward of changes in common shares issued and outstanding.</w:t>
      </w:r>
    </w:p>
    <w:tbl>
      <w:tblPr>
        <w:tblW w:w="8146" w:type="dxa"/>
        <w:jc w:val="left"/>
        <w:tblInd w:w="0" w:type="dxa"/>
        <w:tblLayout w:type="fixed"/>
        <w:tblCellMar>
          <w:top w:w="28" w:type="dxa"/>
          <w:left w:w="28" w:type="dxa"/>
          <w:bottom w:w="28" w:type="dxa"/>
          <w:right w:w="28" w:type="dxa"/>
        </w:tblCellMar>
      </w:tblPr>
      <w:tblGrid>
        <w:gridCol w:w="1744"/>
        <w:gridCol w:w="1533"/>
        <w:gridCol w:w="1537"/>
        <w:gridCol w:w="654"/>
        <w:gridCol w:w="427"/>
        <w:gridCol w:w="216"/>
        <w:gridCol w:w="216"/>
        <w:gridCol w:w="216"/>
        <w:gridCol w:w="216"/>
        <w:gridCol w:w="654"/>
        <w:gridCol w:w="427"/>
        <w:gridCol w:w="306"/>
      </w:tblGrid>
      <w:tr>
        <w:trPr/>
        <w:tc>
          <w:tcPr>
            <w:tcW w:w="174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common shares, beginning of year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37,470,237 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37,373,066 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common shares, end of year</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37,641,563 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37,470,237 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On May 10, 2021, the Company closed the offering and public sale (the “Offering”) of an aggregate of 6,497,500 of the Company’s common shares at a public offering price of $31.00 per share. The Company received net proceeds (before expenses) from the Offering of $192.1 million, which were used for general corporate purposes. The common shares were offered and sold pursuant to an underwriting agreement entered into by the Company, Barclays Capital, Inc., and Keefe, Bruyette &amp; Woods, Inc., as representatives of the several underwriters named therein.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5,132,650 common shares reserved for future issuance upon exercise or vesting of equity awards, as applicable, and 5,971,184 common shares reserved for issuance upon conversion of the Series A Preferred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declared the following cash dividends on common shares in 2023, 2022, and 2021:</w:t>
      </w:r>
    </w:p>
    <w:tbl>
      <w:tblPr>
        <w:tblW w:w="10205" w:type="dxa"/>
        <w:jc w:val="left"/>
        <w:tblInd w:w="0" w:type="dxa"/>
        <w:tblLayout w:type="fixed"/>
        <w:tblCellMar>
          <w:top w:w="28" w:type="dxa"/>
          <w:left w:w="28" w:type="dxa"/>
          <w:bottom w:w="28" w:type="dxa"/>
          <w:right w:w="28" w:type="dxa"/>
        </w:tblCellMar>
      </w:tblPr>
      <w:tblGrid>
        <w:gridCol w:w="564"/>
        <w:gridCol w:w="495"/>
        <w:gridCol w:w="498"/>
        <w:gridCol w:w="109"/>
        <w:gridCol w:w="109"/>
        <w:gridCol w:w="109"/>
        <w:gridCol w:w="457"/>
        <w:gridCol w:w="457"/>
        <w:gridCol w:w="459"/>
        <w:gridCol w:w="109"/>
        <w:gridCol w:w="109"/>
        <w:gridCol w:w="109"/>
        <w:gridCol w:w="694"/>
        <w:gridCol w:w="694"/>
        <w:gridCol w:w="696"/>
        <w:gridCol w:w="109"/>
        <w:gridCol w:w="109"/>
        <w:gridCol w:w="109"/>
        <w:gridCol w:w="556"/>
        <w:gridCol w:w="547"/>
        <w:gridCol w:w="549"/>
        <w:gridCol w:w="109"/>
        <w:gridCol w:w="109"/>
        <w:gridCol w:w="109"/>
        <w:gridCol w:w="431"/>
        <w:gridCol w:w="1476"/>
        <w:gridCol w:w="324"/>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w:t>
              <w:br/>
              <w:t>Declaration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w:t>
              <w:br/>
              <w:t>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Payable to Shareholders</w:t>
              <w:br/>
              <w:t>of Record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Amount (thousands)</w:t>
            </w:r>
          </w:p>
        </w:tc>
      </w:tr>
      <w:tr>
        <w:trPr/>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13,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43,210 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the dividends are $159,000, $141,000 and $404,000 of dividend equivalents on RSUs, of which $255,000, $335,000 and $518,000 were payable as of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    Equity Awards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Incentive Plans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Employees are eligible to receive non-qualified stock options, incentive stock options, share appreciation rights, performance shares, restricted shares, RSUs, and other awards under the 2014 LTIP. The 2014 LTIP was amended on October 25, 2022, increasing the number of shares available for issuance under the 2014 LTIP by 811,500 shares. Following the amendment, the maximum number of shares available for issuance under the 2014 LTIP is 4,982,650, and at December 31, 2023, 1,521,880 shares are available for grant.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 Initial awards were granted in the first quarter of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Each PRSU will represent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initial PRSU awards have a performance period of January 1, 2023 through December 31, 2025.</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December 31, 2023, 66,999 shares are available for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Generally, awards issued under the 2014 LTIP and 2014 Director Plan vest immediately in the event that an award recipient is terminated without Cause (as defined), and in the case of the 2014 LTIP for Good Reason (as defined), at any time following a Change in Control (as defined in the applicable plans).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option activity:</w:t>
      </w:r>
    </w:p>
    <w:tbl>
      <w:tblPr>
        <w:tblW w:w="9756" w:type="dxa"/>
        <w:jc w:val="left"/>
        <w:tblInd w:w="0" w:type="dxa"/>
        <w:tblLayout w:type="fixed"/>
        <w:tblCellMar>
          <w:top w:w="28" w:type="dxa"/>
          <w:left w:w="28" w:type="dxa"/>
          <w:bottom w:w="28" w:type="dxa"/>
          <w:right w:w="28" w:type="dxa"/>
        </w:tblCellMar>
      </w:tblPr>
      <w:tblGrid>
        <w:gridCol w:w="743"/>
        <w:gridCol w:w="654"/>
        <w:gridCol w:w="657"/>
        <w:gridCol w:w="449"/>
        <w:gridCol w:w="451"/>
        <w:gridCol w:w="196"/>
        <w:gridCol w:w="109"/>
        <w:gridCol w:w="109"/>
        <w:gridCol w:w="109"/>
        <w:gridCol w:w="211"/>
        <w:gridCol w:w="616"/>
        <w:gridCol w:w="109"/>
        <w:gridCol w:w="109"/>
        <w:gridCol w:w="109"/>
        <w:gridCol w:w="109"/>
        <w:gridCol w:w="413"/>
        <w:gridCol w:w="413"/>
        <w:gridCol w:w="196"/>
        <w:gridCol w:w="109"/>
        <w:gridCol w:w="109"/>
        <w:gridCol w:w="109"/>
        <w:gridCol w:w="211"/>
        <w:gridCol w:w="616"/>
        <w:gridCol w:w="109"/>
        <w:gridCol w:w="109"/>
        <w:gridCol w:w="109"/>
        <w:gridCol w:w="109"/>
        <w:gridCol w:w="449"/>
        <w:gridCol w:w="451"/>
        <w:gridCol w:w="196"/>
        <w:gridCol w:w="109"/>
        <w:gridCol w:w="109"/>
        <w:gridCol w:w="109"/>
        <w:gridCol w:w="211"/>
        <w:gridCol w:w="61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year</w:t>
            </w:r>
          </w:p>
        </w:tc>
        <w:tc>
          <w:tcPr>
            <w:tcW w:w="9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intrinsic value of each option is determined based on the difference between the fair value of the underlying share and the exercise price of the underlying option. The total intrinsic value of options exercised during 2023, 2022 and 2021 was $0, $0 and $1.3 million, respectively. The aggregate intrinsic value of options outstanding and options exercisable was $0 at December 31, 2023, 2022 and 2021. The fair value used for calculating intrinsic values was $9.24, $20.91 and $28.81 at December 31, 2023, 2022 and 2021, respectively.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contractual life of the options outstanding and exercisable at December 31, 2023 is 0.1 years. There were no options granted in 2023, 2022, or 2021. The value of the options granted was estimated at the date of grant using the Black-Scholes-Merton option pricing model.</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RSUs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10205" w:type="dxa"/>
        <w:jc w:val="left"/>
        <w:tblInd w:w="0" w:type="dxa"/>
        <w:tblLayout w:type="fixed"/>
        <w:tblCellMar>
          <w:top w:w="28" w:type="dxa"/>
          <w:left w:w="28" w:type="dxa"/>
          <w:bottom w:w="28" w:type="dxa"/>
          <w:right w:w="28" w:type="dxa"/>
        </w:tblCellMar>
      </w:tblPr>
      <w:tblGrid>
        <w:gridCol w:w="869"/>
        <w:gridCol w:w="764"/>
        <w:gridCol w:w="769"/>
        <w:gridCol w:w="448"/>
        <w:gridCol w:w="450"/>
        <w:gridCol w:w="196"/>
        <w:gridCol w:w="109"/>
        <w:gridCol w:w="109"/>
        <w:gridCol w:w="109"/>
        <w:gridCol w:w="212"/>
        <w:gridCol w:w="621"/>
        <w:gridCol w:w="109"/>
        <w:gridCol w:w="109"/>
        <w:gridCol w:w="109"/>
        <w:gridCol w:w="109"/>
        <w:gridCol w:w="448"/>
        <w:gridCol w:w="450"/>
        <w:gridCol w:w="196"/>
        <w:gridCol w:w="109"/>
        <w:gridCol w:w="109"/>
        <w:gridCol w:w="109"/>
        <w:gridCol w:w="212"/>
        <w:gridCol w:w="621"/>
        <w:gridCol w:w="109"/>
        <w:gridCol w:w="109"/>
        <w:gridCol w:w="109"/>
        <w:gridCol w:w="109"/>
        <w:gridCol w:w="448"/>
        <w:gridCol w:w="450"/>
        <w:gridCol w:w="196"/>
        <w:gridCol w:w="109"/>
        <w:gridCol w:w="109"/>
        <w:gridCol w:w="109"/>
        <w:gridCol w:w="212"/>
        <w:gridCol w:w="621"/>
        <w:gridCol w:w="169"/>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year</w:t>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399,856 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year</w:t>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751,254 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RSUs granted to employees generally vest ratably over a three year vesting period. RSUs granted to non-employee directors generally have a one year vesting period. The total fair value of shares vested in 2023, 2022 and 2021 was $5.6 million, $3.8 million and $9.1 million, respectively. The holders of RSUs are entitled to dividend equivalents. The dividend equivalents are settled in cash at the same time that the underlying RSUs vest and are subject to the same risk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forfeiture as the underlying shares. The fair value of the RSUs granted is based on the market price of the underlying shares at the date of grant. The RSUs granted in 2023 include 91,818 PRSU awards.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Expense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 is recognized on a straight-line basis over the vesting period. Compensation cost for PRSUs is based upon the probable outcome of performance conditions. The amount of expense and related tax benefit is summarized below:</w:t>
      </w:r>
    </w:p>
    <w:tbl>
      <w:tblPr>
        <w:tblW w:w="7991" w:type="dxa"/>
        <w:jc w:val="left"/>
        <w:tblInd w:w="0" w:type="dxa"/>
        <w:tblLayout w:type="fixed"/>
        <w:tblCellMar>
          <w:top w:w="28" w:type="dxa"/>
          <w:left w:w="28" w:type="dxa"/>
          <w:bottom w:w="28" w:type="dxa"/>
          <w:right w:w="28" w:type="dxa"/>
        </w:tblCellMar>
      </w:tblPr>
      <w:tblGrid>
        <w:gridCol w:w="1625"/>
        <w:gridCol w:w="1426"/>
        <w:gridCol w:w="1433"/>
        <w:gridCol w:w="211"/>
        <w:gridCol w:w="616"/>
        <w:gridCol w:w="109"/>
        <w:gridCol w:w="109"/>
        <w:gridCol w:w="109"/>
        <w:gridCol w:w="109"/>
        <w:gridCol w:w="211"/>
        <w:gridCol w:w="616"/>
        <w:gridCol w:w="109"/>
        <w:gridCol w:w="109"/>
        <w:gridCol w:w="109"/>
        <w:gridCol w:w="109"/>
        <w:gridCol w:w="211"/>
        <w:gridCol w:w="61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 benefit on share based compensation expense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$10.2 million of unrecognized share based compensation expense expected to be charged to earnings over a weighted-average period of 1.7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Currently, James River Group Holdings, Ltd. and its Bermuda-based subsidiary, JRG Re, are not subject to income or capital tax.</w:t>
      </w:r>
      <w:r>
        <w:rPr>
          <w:color w:val="000000"/>
        </w:rPr>
        <w:t xml:space="preserve"> </w:t>
      </w:r>
      <w:r>
        <w:rPr>
          <w:rFonts w:ascii="Times New Roman;sans-serif" w:hAnsi="Times New Roman;sans-serif"/>
          <w:b w:val="false"/>
          <w:color w:val="000000"/>
          <w:sz w:val="20"/>
        </w:rPr>
        <w:t>The Companies have obtained from the Bermuda Minister of Finance an assurance that, in the event Bermuda enacts legislation imposing tax, the imposition of any such tax shall not be applicable to the Company until March 31, 2035 (the “EUTP Act”).</w:t>
      </w:r>
      <w:r>
        <w:rPr>
          <w:color w:val="000000"/>
        </w:rPr>
        <w:t xml:space="preserve"> </w:t>
      </w:r>
      <w:r>
        <w:rPr>
          <w:rFonts w:ascii="Times New Roman;sans-serif" w:hAnsi="Times New Roman;sans-serif"/>
          <w:b w:val="false"/>
          <w:color w:val="000000"/>
          <w:sz w:val="20"/>
        </w:rPr>
        <w:t>Effective for tax years beginning on or after January 1, 2025, Bermuda has introduced the Corporate Income Tax Act 2023 ("CIT Act") where a Bermuda Constituent Entity group (BCE) that is part of an “in scope Multi-National Enterprise group” (MNE) will be subject to a 15% corporate income tax. The CIT Act will supersede the assurance received from the Bermuda Minister of Finance under the EUTP Act.</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A MNE group with a limited international footprint is not an in scope MNE, thus not subject to CIT.</w:t>
      </w:r>
      <w:r>
        <w:rPr>
          <w:color w:val="000000"/>
        </w:rPr>
        <w:t xml:space="preserve"> </w:t>
      </w:r>
      <w:r>
        <w:rPr>
          <w:rFonts w:ascii="Times New Roman;sans-serif" w:hAnsi="Times New Roman;sans-serif"/>
          <w:b w:val="false"/>
          <w:color w:val="000000"/>
          <w:sz w:val="20"/>
        </w:rPr>
        <w:t>The limited international footprint exception is a year-by-year test and expires after tax year 2029. James River Group Holdings, Ltd. is expected to meet the criteria of the limited international footprint exception, and as such is not expected to be subject to tax under the CIT act.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the Company’s U.S. subsidiaries to its U.K. intermediate holding company, James River UK, are generally subject to a 5% dividend withholding tax. No distributions occurred in 2023, 2022 or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subsidiaries are subject to federal, state and local corporate income taxes, and other taxes applicable to U.S. corporations. The Company’s U.S.-domiciled subsidiaries file a consolidated U.S. federal income tax return.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U.S.-based subsidiaries are generally no longer subject to income tax examination by U.S. income tax authorities for the tax years ending before January 1, 2020.</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During 2018, the IRS published factors that allowed the Company to adjust its current and deferred tax liabilities based on the provisions of the Tax Act. The Tax Act has specific transition provisions associated with reserve discounting. The initial impact of the proposed regulations in 2018 was an increase to our deferred tax asset for the additional discount as of December 31, 2017 of $8.8 million offset by an increase to our deferred tax liability of $8.8 million representing the 8 year transition provision required by the Tax Act. During 2018, $1.1 million of this transition provision was recognized in our current provision and adjusted out of our deferred tax liability. The regulations were finalized in 2019, and the remaining reserve adjustment at December 31, 2019 based on these final regulations was $5.7 million to be recognized over the six years 2020 - 2025 at $950,000 per year.</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income tax provision computed from pre-tax income at the weighted-average tax rate has been calculated as the sum of the pre-tax income in each jurisdiction multiplied by that jurisdiction’s applicable Federal statutory tax rate. Federal statutory tax rates of 0% and 21% have been used in 2023, 2022 and 2021 for Bermuda and the U.S., respectively. The U.S. income (loss) before Federal income taxes was $119.9 million, $85.9 million, and $(89.3) million for the years ending December 31, 2023, 2022, and 2021, respectively. The Tax Act base-erosion and anti-abuse tax (“BEAT”) provisions impose a minimum tax on applicable taxpayers that make certain payments to related foreign persons. BEAT subjects the modified taxable income of an applicable taxpayer to a specified tax rate (10% in 2023). Modified taxable income is generally calculated by adding back certain payments to related foreign persons to regular taxable income. A reconciliation of the difference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between the Company’s Federal income tax provision on U.S. income and the expected Federal tax provision on U.S. income using the weighted-average tax rate as well as a reconciliation to total tax expense is as follows:</w:t>
      </w:r>
    </w:p>
    <w:tbl>
      <w:tblPr>
        <w:tblW w:w="9282" w:type="dxa"/>
        <w:jc w:val="left"/>
        <w:tblInd w:w="0" w:type="dxa"/>
        <w:tblLayout w:type="fixed"/>
        <w:tblCellMar>
          <w:top w:w="28" w:type="dxa"/>
          <w:left w:w="28" w:type="dxa"/>
          <w:bottom w:w="28" w:type="dxa"/>
          <w:right w:w="28" w:type="dxa"/>
        </w:tblCellMar>
      </w:tblPr>
      <w:tblGrid>
        <w:gridCol w:w="1948"/>
        <w:gridCol w:w="1716"/>
        <w:gridCol w:w="1721"/>
        <w:gridCol w:w="211"/>
        <w:gridCol w:w="721"/>
        <w:gridCol w:w="109"/>
        <w:gridCol w:w="109"/>
        <w:gridCol w:w="109"/>
        <w:gridCol w:w="109"/>
        <w:gridCol w:w="211"/>
        <w:gridCol w:w="721"/>
        <w:gridCol w:w="109"/>
        <w:gridCol w:w="109"/>
        <w:gridCol w:w="109"/>
        <w:gridCol w:w="109"/>
        <w:gridCol w:w="211"/>
        <w:gridCol w:w="796"/>
        <w:gridCol w:w="154"/>
      </w:tblGrid>
      <w:tr>
        <w:trPr/>
        <w:tc>
          <w:tcPr>
            <w:tcW w:w="1948"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expense (benefit) at applicable statutory rates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Tax-exempt 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received deduction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expense (benefits) on share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to return and amended tax returns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§162(m)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expense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net deferred tax assets at the corporate income tax rate of 21% for the years ended December 31, 2023 and 2022 are summarized as follows:</w:t>
      </w:r>
    </w:p>
    <w:tbl>
      <w:tblPr>
        <w:tblW w:w="6443" w:type="dxa"/>
        <w:jc w:val="left"/>
        <w:tblInd w:w="0" w:type="dxa"/>
        <w:tblLayout w:type="fixed"/>
        <w:tblCellMar>
          <w:top w:w="28" w:type="dxa"/>
          <w:left w:w="28" w:type="dxa"/>
          <w:bottom w:w="28" w:type="dxa"/>
          <w:right w:w="28" w:type="dxa"/>
        </w:tblCellMar>
      </w:tblPr>
      <w:tblGrid>
        <w:gridCol w:w="1447"/>
        <w:gridCol w:w="1269"/>
        <w:gridCol w:w="1273"/>
        <w:gridCol w:w="211"/>
        <w:gridCol w:w="721"/>
        <w:gridCol w:w="109"/>
        <w:gridCol w:w="109"/>
        <w:gridCol w:w="109"/>
        <w:gridCol w:w="109"/>
        <w:gridCol w:w="211"/>
        <w:gridCol w:w="721"/>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have not been accrued with respect to certain undistributed earnings of foreign subsidiaries. If the earnings were to be distributed, as dividends or otherwise, such amounts may be subject to withholding taxation in the jurisdiction of the paying entity. The Company asserts that U.S. unremitted earnings as of December 31, 2023 will be permanently reinvested in the U.S. and, accordingly, no provision for withholding taxes arising in respect to U.S. unremitted earnings has been made.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considered a mixed company for net operating loss carryforward rules. A 20-year carryforward without an annual income limitation is applicable for insurance companies. The carryforward period for non-insurance companies is unlimited but limited to 80% of the current year taxable income. At December 31, 2023, the Company has no net operating loss carryforwards.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reserve for future tax contingencies or liabilities (“unrecognized tax benefits”) at December 31, 2023 or 2022.</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U.S. imposes a 1% excise tax on reinsurance premiums paid to non-U.S. reinsurers with respect to risks located in the U.S. The rates of tax are established based on the nature of the risk, unless reduced by an applicable U.S. tax treaty. For the years ended December 31, 2023, 2022, and 2021, the Company paid $0, $0, and $338,000, respectively, of federal excise taxes on its intercompany reinsurance transactions. The Company also paid excise taxes of $194,000, $842,000, and $1.5 million for the years ended December 31, 2023, 2022, and 2021, respectively, on written premiums assumed from third-party insurers with respect to risks located in the U.S. These excise taxes are reflected as “other operating expenses” in the Company’s Consolidated Statements of (Loss) Income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    Other Operating Expenses and Other Expenses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consist of the following:</w:t>
      </w:r>
    </w:p>
    <w:tbl>
      <w:tblPr>
        <w:tblW w:w="9281" w:type="dxa"/>
        <w:jc w:val="left"/>
        <w:tblInd w:w="0" w:type="dxa"/>
        <w:tblLayout w:type="fixed"/>
        <w:tblCellMar>
          <w:top w:w="28" w:type="dxa"/>
          <w:left w:w="28" w:type="dxa"/>
          <w:bottom w:w="28" w:type="dxa"/>
          <w:right w:w="28" w:type="dxa"/>
        </w:tblCellMar>
      </w:tblPr>
      <w:tblGrid>
        <w:gridCol w:w="1863"/>
        <w:gridCol w:w="1636"/>
        <w:gridCol w:w="1645"/>
        <w:gridCol w:w="211"/>
        <w:gridCol w:w="826"/>
        <w:gridCol w:w="109"/>
        <w:gridCol w:w="109"/>
        <w:gridCol w:w="109"/>
        <w:gridCol w:w="109"/>
        <w:gridCol w:w="211"/>
        <w:gridCol w:w="826"/>
        <w:gridCol w:w="109"/>
        <w:gridCol w:w="109"/>
        <w:gridCol w:w="109"/>
        <w:gridCol w:w="109"/>
        <w:gridCol w:w="211"/>
        <w:gridCol w:w="826"/>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 of the insurance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of $3.8 million, $795,000, and $2.6 million for the years ended December 31, 2023, 2022, and 2021, respectively, primarily consist of certain nonoperating expenses including legal fees related to a class action lawsuit, legal and other professional fees related to the Company's May 2021 common share offering, legal and other professional fees and other expenses related to various strategic initiatives including loss portfolio transfers accounted for as retroactive reinsurance, and employee severance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17.    Employee Benefits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offer savings plans (the “Savings Plans”) which qualify under Section 401(k) of the U.S. Internal Revenue Code. Participants may contribute certain percentages of their pre-tax salary to the Savings Plans subject to statutory limitations. The Company and its subsidiaries match employee contributions at various rates up to a maximum contribution of 6.0% of the participant’s earnings subject to certain statutory limits. For the years ended December 31, 2023, 2022, and 2021, the expense associated with the Savings Plans totaled $4.1 million, $3.5 million, and $3.4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    Commitments and Contingent Liabilities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w:t>
      </w:r>
      <w:r>
        <w:rPr>
          <w:rFonts w:ascii="Times New Roman;sans-serif" w:hAnsi="Times New Roman;sans-serif"/>
          <w:b w:val="false"/>
          <w:color w:val="000000"/>
          <w:sz w:val="20"/>
          <w:shd w:fill="FFFFFF" w:val="clear"/>
        </w:rPr>
        <w:t>8</w:t>
      </w:r>
      <w:r>
        <w:rPr>
          <w:rFonts w:ascii="Times New Roman;sans-serif" w:hAnsi="Times New Roman;sans-serif"/>
          <w:b w:val="false"/>
          <w:color w:val="000000"/>
          <w:sz w:val="20"/>
        </w:rPr>
        <w:t xml:space="preserve">,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On August 28, 2023, the Court denied the Second MTD.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Second Amended Complaint asserts claims under Sections 10(b) and 20(a) of the Securities Exchange Act of 1934 on behalf of a putative class of persons and entities that purchased the Company’s stock between February 22, 2019 and October 25, 2021, alleges that Defendants failed to make appropriate disclosures concerning the adequacy of reserves for policies that covered Rasier LLC, a subsidiary of Uber Technologies, Inc., and seeks unspecified damages, costs, attorneys’ fees and such other relief as the court may deem proper. We engaged in mediation in the fourth quarter of 2023 and on December 7, 2023, in connection with the mediation, we reached an agreement in principle to settle the action. On December 22, 2023, the parties submitted the stipulation of settlement to the Court for approval. The settlement provides for a full release of all defendants in connection with the allegations made and a settlement payment to the class of $30 million, inclusive of all Plaintiffs’ attorneys fees and expenses and settlement costs, all of which will be paid by the Company’s insurance carriers. On January 26, 2024 the Court issued an order granting preliminary approval of the settlement and scheduled a final settlement hearing for May 24, 2024.</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2023, a purported class action lawsuit was filed in the U.S. District Court, Southern District of New York, on behalf of Paul Glantz against James River Group Holdings, Ltd. and certain of its officers, asserting claims under Sections 10(b) and 20(a) of the Securities Exchange Act of 1934. Mr. Glantz alleges that he purchased James River common stock between August 7, 2023 and November 7, 2023, inclusive, that the Company failed to disclose that it lacked effective internal controls regarding the recognition of reinstatement premiums for reinsurance and as a result the Company overstated its net income, and that, as a result, Mr. Glantz suffered unspecified damages. On January 12, 2024, both Mr. Glantz and Madhav Ghimire, another individual shareholder, filed an application with the Court for appointment as Lead Plaintiff, and on January 26, 2024 Mr. Glantz filed a notice of non-opposition to Mr. Ghimire's competing motion for appointment as Lead Plaintiff. The court's appointment of Lead Plaintiff is pending. The Company believes that the claims are without merit and intends to vigorously defend this lawsuit.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For the years ended December 31, 2023 and 2022, due to adverse paid and reported loss trends on the legacy Rasier business, the Company recognized adverse prior year development of $64.4 million and $46.7 million, respectively, on the reserves subject to the Commercial Auto LPT, bringing the cumulative amount ceded under the Commercial Auto LPT to $456.2 million at December 31,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Commercial Auto LPT:</w:t>
      </w:r>
    </w:p>
    <w:p>
      <w:pPr>
        <w:pStyle w:val="TextBody"/>
        <w:bidi w:val="0"/>
        <w:spacing w:lineRule="auto" w:line="288" w:before="0" w:after="120"/>
        <w:ind w:left="0" w:right="0" w:firstLine="405"/>
        <w:jc w:val="left"/>
        <w:rPr/>
      </w:pPr>
      <w:r>
        <w:rPr>
          <w:color w:val="000000"/>
        </w:rPr>
        <w:t>•</w:t>
      </w:r>
      <w:r>
        <w:rPr>
          <w:rFonts w:ascii="Times New Roman;sans-serif" w:hAnsi="Times New Roman;sans-serif"/>
          <w:b w:val="false"/>
          <w:color w:val="000000"/>
          <w:sz w:val="20"/>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December 31, 2023, the balance in the Indemnity Trust was $138.4 million, and, together with the balance of the Loss Fund Trust (as defined below) attributable to the Indemnity Agreements as described below, the total balance of collateral securing Rasier’s obligations under the Indemnity Agreements was $183.6 million.</w:t>
      </w:r>
    </w:p>
    <w:p>
      <w:pPr>
        <w:pStyle w:val="TextBody"/>
        <w:bidi w:val="0"/>
        <w:spacing w:lineRule="auto" w:line="288" w:before="0" w:after="120"/>
        <w:ind w:left="0" w:right="0" w:firstLine="405"/>
        <w:jc w:val="left"/>
        <w:rPr/>
      </w:pPr>
      <w:r>
        <w:rPr>
          <w:color w:val="000000"/>
        </w:rPr>
        <w:t>•</w:t>
      </w:r>
      <w:r>
        <w:rPr>
          <w:rFonts w:ascii="Times New Roman;sans-serif" w:hAnsi="Times New Roman;sans-serif"/>
          <w:b w:val="false"/>
          <w:color w:val="000000"/>
          <w:sz w:val="20"/>
        </w:rPr>
        <w:t xml:space="preserve">Pursuant to the Commercial Auto LPT, Aleka is required to post collateral equal to 102% of James River's estimate of Aleka's obligations under the Commercial Auto LPT, calculated in accordance with standard actuarial principles and based on reserves recorded in the Company's statutory financial statements. The collateral is provided through a collateral trust arrangement (the “LPT Trust”) established in favor of James River by Aleka. At December 31, 2023, the balance in the LPT Trust was $63.7 million, and, together with the balance of the Loss Fund Trust (as defined below) attributable to the Commercial Auto LPT as described below, the total balance of collateral securing Aleka’s obligations under the Commercial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Auto LPT was $83.8 million. At December 31, 2023, the total reinsurance recoverables under the Commercial Auto LPT was $84.5 million (including $78.1 million of unpaid recoverables and $6.4 million of paid recoverables).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December 31, 2023, the balance in the Loss Fund Trust was $72.4 million, including $45.2 million representing collateral supporting Rasier’s obligations under the Indemnity Agreements and $20.0 million representing collateral supporting Aleka’s obligations under the Commercial Auto LPT. Funds posted to the Loss Fund Trust are classified as restricted cash equivalents on the Company's balance sheet.</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credit exposure in any of these instances could be material. To mitigate these risks, the Company closely and frequently monitors exposure compared to collateral held, and requests additional collateral in accordance with the terms of the Commercial Auto LPT and Indemnity Agreements when its analysis indicates that the Company has uncollateralized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    Other Comprehensive Income (Loss)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other comprehensive income (loss):</w:t>
      </w:r>
    </w:p>
    <w:tbl>
      <w:tblPr>
        <w:tblW w:w="10205" w:type="dxa"/>
        <w:jc w:val="left"/>
        <w:tblInd w:w="0" w:type="dxa"/>
        <w:tblLayout w:type="fixed"/>
        <w:tblCellMar>
          <w:top w:w="28" w:type="dxa"/>
          <w:left w:w="28" w:type="dxa"/>
          <w:bottom w:w="28" w:type="dxa"/>
          <w:right w:w="28" w:type="dxa"/>
        </w:tblCellMar>
      </w:tblPr>
      <w:tblGrid>
        <w:gridCol w:w="2211"/>
        <w:gridCol w:w="1905"/>
        <w:gridCol w:w="1918"/>
        <w:gridCol w:w="211"/>
        <w:gridCol w:w="826"/>
        <w:gridCol w:w="109"/>
        <w:gridCol w:w="109"/>
        <w:gridCol w:w="109"/>
        <w:gridCol w:w="109"/>
        <w:gridCol w:w="211"/>
        <w:gridCol w:w="894"/>
        <w:gridCol w:w="109"/>
        <w:gridCol w:w="109"/>
        <w:gridCol w:w="109"/>
        <w:gridCol w:w="109"/>
        <w:gridCol w:w="211"/>
        <w:gridCol w:w="789"/>
        <w:gridCol w:w="157"/>
      </w:tblGrid>
      <w:tr>
        <w:trPr/>
        <w:tc>
          <w:tcPr>
            <w:tcW w:w="2211"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before U.S.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net of U.S.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(losses)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investment (losses) gains realized in 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net realized investment (losses) gains of $(339,000), $275,000, and $4.9 million on available-for-sale fixed maturity securities for the years ended December 31, 2023, 2022, and 2021, the Company recognized net realized and unrealized investment gains (losses) in the respective years of $5.5 million, $(5.7) million, and $2.0 million on its investments in bank loan participations and $5.2 million, $(11.1) million, and $4.3 million on its investments in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20.    Segment Information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continuing operations are comprised of three reportable segments, two of which are separately managed business units and the third (“Corporate and Other”) includes the Company’s remaining operations. The Excess and Surplus Lines segment primarily offers commercial excess and surplus lines liability and excess property insurance products. The Specialty Admitted Insurance segment offers specialty admitted fronting and program business and workers’ compensation insurance coverage. The Corporate and Other segment consists of certain management and treasury activities of James River Group, James River UK, and JRG Holdings as well as interest expense associated with senior debt and Junior Subordinated Debt, and investment income. The accounting policies of the reportable segments are the same as those described in the summary of significant accounting policies. Prior to entering into a definitive agreement to sell JRG Re on November 8, 2023, JRG Re was considered a reportable segment (the “Casualty Reinsurance” segment). After entering into the agreement to sell JRG Re, the Company no longer considers Casualty Reinsurance to be a reportable segment, but instead it is reported as discontinued operations. The segment information below excludes discontinued operations for all periods presented.</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 xml:space="preserve">Segment revenues for each reportable segment consist of net earned premiums, net investment income, and realized and unrealized (losses) gains on investments. Segment profit (loss) is measured by underwriting profit (loss), which is generally defined as net earned premiums and gross fee income (in specific instances when the Company is not retaining insurance risk) in “other income” in the Consolidated Statements of (Loss) Income and Comprehensive Loss less loss and loss adjustment expenses on business not subject to retroactive reinsurance accounting for loss portfolio transfers (see </w:t>
      </w:r>
      <w:r>
        <w:rPr>
          <w:rFonts w:ascii="Times New Roman;sans-serif" w:hAnsi="Times New Roman;sans-serif"/>
          <w:b w:val="false"/>
          <w:i/>
          <w:color w:val="000000"/>
          <w:sz w:val="20"/>
        </w:rPr>
        <w:t xml:space="preserve">Loss Portfolio Transfer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i/>
          <w:color w:val="000000"/>
          <w:sz w:val="20"/>
        </w:rPr>
        <w:t>Note 8 - Reserve for Losses and Loss Adjustment Expenses</w:t>
      </w:r>
      <w:r>
        <w:rPr>
          <w:rFonts w:ascii="Times New Roman;sans-serif" w:hAnsi="Times New Roman;sans-serif"/>
          <w:b w:val="false"/>
          <w:color w:val="000000"/>
          <w:sz w:val="20"/>
        </w:rPr>
        <w:t>) and other operating expenses of the operating segments. Gross fee income of $5.3 million, $3.8 million, and $4.5 million from the Specialty Admitted Insurance segment for the years ended December 31, 2023, 2022, and 2021, respectively, was included in other income and in underwriting profit (loss). Segment results are reported prior to the effects of intercompany pooling agreements and intercompany reinsurance agreements. All gross written premiums and net earned premiums for all periods presented were generated from policies issued to U.S. based insureds.</w:t>
      </w:r>
    </w:p>
    <w:tbl>
      <w:tblPr>
        <w:tblW w:w="9378" w:type="dxa"/>
        <w:jc w:val="left"/>
        <w:tblInd w:w="0" w:type="dxa"/>
        <w:tblLayout w:type="fixed"/>
        <w:tblCellMar>
          <w:top w:w="28" w:type="dxa"/>
          <w:left w:w="28" w:type="dxa"/>
          <w:bottom w:w="28" w:type="dxa"/>
          <w:right w:w="28" w:type="dxa"/>
        </w:tblCellMar>
      </w:tblPr>
      <w:tblGrid>
        <w:gridCol w:w="1275"/>
        <w:gridCol w:w="1123"/>
        <w:gridCol w:w="1127"/>
        <w:gridCol w:w="211"/>
        <w:gridCol w:w="976"/>
        <w:gridCol w:w="109"/>
        <w:gridCol w:w="109"/>
        <w:gridCol w:w="109"/>
        <w:gridCol w:w="109"/>
        <w:gridCol w:w="211"/>
        <w:gridCol w:w="826"/>
        <w:gridCol w:w="109"/>
        <w:gridCol w:w="109"/>
        <w:gridCol w:w="109"/>
        <w:gridCol w:w="109"/>
        <w:gridCol w:w="109"/>
        <w:gridCol w:w="109"/>
        <w:gridCol w:w="253"/>
        <w:gridCol w:w="487"/>
        <w:gridCol w:w="131"/>
        <w:gridCol w:w="109"/>
        <w:gridCol w:w="109"/>
        <w:gridCol w:w="109"/>
        <w:gridCol w:w="211"/>
        <w:gridCol w:w="97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668" w:type="dxa"/>
            <w:gridSpan w:val="6"/>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 of and for the Year Ended</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of operating segments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87" w:type="dxa"/>
        <w:jc w:val="left"/>
        <w:tblInd w:w="0" w:type="dxa"/>
        <w:tblLayout w:type="fixed"/>
        <w:tblCellMar>
          <w:top w:w="28" w:type="dxa"/>
          <w:left w:w="28" w:type="dxa"/>
          <w:bottom w:w="28" w:type="dxa"/>
          <w:right w:w="28" w:type="dxa"/>
        </w:tblCellMar>
      </w:tblPr>
      <w:tblGrid>
        <w:gridCol w:w="1275"/>
        <w:gridCol w:w="1123"/>
        <w:gridCol w:w="1127"/>
        <w:gridCol w:w="211"/>
        <w:gridCol w:w="826"/>
        <w:gridCol w:w="109"/>
        <w:gridCol w:w="109"/>
        <w:gridCol w:w="109"/>
        <w:gridCol w:w="109"/>
        <w:gridCol w:w="211"/>
        <w:gridCol w:w="826"/>
        <w:gridCol w:w="109"/>
        <w:gridCol w:w="109"/>
        <w:gridCol w:w="109"/>
        <w:gridCol w:w="109"/>
        <w:gridCol w:w="109"/>
        <w:gridCol w:w="109"/>
        <w:gridCol w:w="246"/>
        <w:gridCol w:w="475"/>
        <w:gridCol w:w="109"/>
        <w:gridCol w:w="109"/>
        <w:gridCol w:w="109"/>
        <w:gridCol w:w="109"/>
        <w:gridCol w:w="211"/>
        <w:gridCol w:w="97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516" w:type="dxa"/>
            <w:gridSpan w:val="20"/>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 of and for the Year Ended</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tbl>
      <w:tblPr>
        <w:tblW w:w="9772" w:type="dxa"/>
        <w:jc w:val="left"/>
        <w:tblInd w:w="0" w:type="dxa"/>
        <w:tblLayout w:type="fixed"/>
        <w:tblCellMar>
          <w:top w:w="28" w:type="dxa"/>
          <w:left w:w="28" w:type="dxa"/>
          <w:bottom w:w="28" w:type="dxa"/>
          <w:right w:w="28" w:type="dxa"/>
        </w:tblCellMar>
      </w:tblPr>
      <w:tblGrid>
        <w:gridCol w:w="1448"/>
        <w:gridCol w:w="1277"/>
        <w:gridCol w:w="1280"/>
        <w:gridCol w:w="211"/>
        <w:gridCol w:w="826"/>
        <w:gridCol w:w="109"/>
        <w:gridCol w:w="109"/>
        <w:gridCol w:w="109"/>
        <w:gridCol w:w="109"/>
        <w:gridCol w:w="211"/>
        <w:gridCol w:w="826"/>
        <w:gridCol w:w="109"/>
        <w:gridCol w:w="109"/>
        <w:gridCol w:w="109"/>
        <w:gridCol w:w="109"/>
        <w:gridCol w:w="109"/>
        <w:gridCol w:w="109"/>
        <w:gridCol w:w="281"/>
        <w:gridCol w:w="545"/>
        <w:gridCol w:w="109"/>
        <w:gridCol w:w="109"/>
        <w:gridCol w:w="109"/>
        <w:gridCol w:w="109"/>
        <w:gridCol w:w="211"/>
        <w:gridCol w:w="976"/>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621" w:type="dxa"/>
            <w:gridSpan w:val="20"/>
            <w:tcBorders/>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As of and for the Year Ended </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(loss) profit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profit (loss) of operating segments by individual segment to consolidated income (loss) from continuing operations before income taxes:</w:t>
      </w:r>
    </w:p>
    <w:tbl>
      <w:tblPr>
        <w:tblW w:w="9131" w:type="dxa"/>
        <w:jc w:val="left"/>
        <w:tblInd w:w="0" w:type="dxa"/>
        <w:tblLayout w:type="fixed"/>
        <w:tblCellMar>
          <w:top w:w="28" w:type="dxa"/>
          <w:left w:w="28" w:type="dxa"/>
          <w:bottom w:w="28" w:type="dxa"/>
          <w:right w:w="28" w:type="dxa"/>
        </w:tblCellMar>
      </w:tblPr>
      <w:tblGrid>
        <w:gridCol w:w="1859"/>
        <w:gridCol w:w="1631"/>
        <w:gridCol w:w="1639"/>
        <w:gridCol w:w="211"/>
        <w:gridCol w:w="721"/>
        <w:gridCol w:w="109"/>
        <w:gridCol w:w="109"/>
        <w:gridCol w:w="109"/>
        <w:gridCol w:w="109"/>
        <w:gridCol w:w="211"/>
        <w:gridCol w:w="721"/>
        <w:gridCol w:w="109"/>
        <w:gridCol w:w="109"/>
        <w:gridCol w:w="109"/>
        <w:gridCol w:w="109"/>
        <w:gridCol w:w="211"/>
        <w:gridCol w:w="901"/>
        <w:gridCol w:w="154"/>
      </w:tblGrid>
      <w:tr>
        <w:trPr/>
        <w:tc>
          <w:tcPr>
            <w:tcW w:w="185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the operating segments: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(loss) of operating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15 underwriting divisions, including 14 in the Excess and Surplus Lines segment, and one in the Specialty Admitted Insurance segment. Each underwriting division focuses on a specific industry group or coverage.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 by segment and underwriting division are presented below:</w:t>
      </w:r>
    </w:p>
    <w:tbl>
      <w:tblPr>
        <w:tblW w:w="7961" w:type="dxa"/>
        <w:jc w:val="left"/>
        <w:tblInd w:w="0" w:type="dxa"/>
        <w:tblLayout w:type="fixed"/>
        <w:tblCellMar>
          <w:top w:w="28" w:type="dxa"/>
          <w:left w:w="28" w:type="dxa"/>
          <w:bottom w:w="28" w:type="dxa"/>
          <w:right w:w="28" w:type="dxa"/>
        </w:tblCellMar>
      </w:tblPr>
      <w:tblGrid>
        <w:gridCol w:w="1219"/>
        <w:gridCol w:w="1076"/>
        <w:gridCol w:w="1079"/>
        <w:gridCol w:w="211"/>
        <w:gridCol w:w="976"/>
        <w:gridCol w:w="109"/>
        <w:gridCol w:w="109"/>
        <w:gridCol w:w="109"/>
        <w:gridCol w:w="109"/>
        <w:gridCol w:w="211"/>
        <w:gridCol w:w="976"/>
        <w:gridCol w:w="109"/>
        <w:gridCol w:w="109"/>
        <w:gridCol w:w="109"/>
        <w:gridCol w:w="109"/>
        <w:gridCol w:w="211"/>
        <w:gridCol w:w="976"/>
        <w:gridCol w:w="154"/>
      </w:tblGrid>
      <w:tr>
        <w:trPr/>
        <w:tc>
          <w:tcPr>
            <w:tcW w:w="121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Contractors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Health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Sciences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and Entertainment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Professionals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Excess and Surplus Lines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 segment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business with three brokers that generated $324.7 million, $246.4 million and $145.2 million of gross written premiums for the Excess and Surplus Lines segment for the year ended December 31, 2023, representing 21.5%, 16.3% and 9.6% of consolidated gross written premiums and 32.2%, 24.5% and 14.4% of the Excess and Surplus Lines segment’s gross written premiums, respectively. The Company has agency contracts with various branches within the aforementioned brokers. No other broker generated 10.0% or more of the gross written premiums for the Excess and Surplus Lines segment for the year ended December 31, 2023. No individual insured generated 10.0% or more of the gross written premiums for the Excess and Surplus Lines segment for the year ended December 31, 2023.</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Specialty Admitted Insurance segment accepts applications for insurance from a variety of sources, including independent retail agents, program administrators and managing general agents (“MGAs”). The Company does business with two agencies that generated $163.1 million and $96.5 million of gross written premiums for the Specialty Admitted Insurance segment for the year ended December 31, 2023, representing 10.8% and 6.4% of consolidated gross written premiums and 32.5% and 19.2% of the Specialty Admitted Insurance segment’s gross written premiums, respectively. No other agency generated 10.0% or more of the gross written premiums for the Specialty Admitted Insurance segment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21.    Fair Value Measurements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in the principal or most advantageous market in an orderly transaction between market participants on the measurement date.</w:t>
      </w:r>
    </w:p>
    <w:p>
      <w:pPr>
        <w:pStyle w:val="TextBody"/>
        <w:bidi w:val="0"/>
        <w:spacing w:lineRule="auto" w:line="288" w:before="0" w:after="120"/>
        <w:ind w:left="0" w:right="0" w:firstLine="405"/>
        <w:jc w:val="left"/>
        <w:rPr/>
      </w:pPr>
      <w:r>
        <w:rPr>
          <w:rFonts w:ascii="Times New Roman;sans-serif" w:hAnsi="Times New Roman;sans-serif"/>
          <w:b w:val="false"/>
          <w:color w:val="000000"/>
          <w:sz w:val="20"/>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 xml:space="preserve">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the investment manager that obtains fair values from independent pricing services.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December 31, 2023 are summarized below:</w:t>
      </w:r>
    </w:p>
    <w:tbl>
      <w:tblPr>
        <w:tblW w:w="10205" w:type="dxa"/>
        <w:jc w:val="left"/>
        <w:tblInd w:w="0" w:type="dxa"/>
        <w:tblLayout w:type="fixed"/>
        <w:tblCellMar>
          <w:top w:w="28" w:type="dxa"/>
          <w:left w:w="28" w:type="dxa"/>
          <w:bottom w:w="28" w:type="dxa"/>
          <w:right w:w="28" w:type="dxa"/>
        </w:tblCellMar>
      </w:tblPr>
      <w:tblGrid>
        <w:gridCol w:w="1726"/>
        <w:gridCol w:w="1305"/>
        <w:gridCol w:w="1313"/>
        <w:gridCol w:w="231"/>
        <w:gridCol w:w="793"/>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8"/>
      </w:tblGrid>
      <w:tr>
        <w:trPr/>
        <w:tc>
          <w:tcPr>
            <w:tcW w:w="172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470" w:type="dxa"/>
            <w:gridSpan w:val="6"/>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6"/>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December 31, 2022 are summarized below:</w:t>
      </w:r>
    </w:p>
    <w:tbl>
      <w:tblPr>
        <w:tblW w:w="10205" w:type="dxa"/>
        <w:jc w:val="left"/>
        <w:tblInd w:w="0" w:type="dxa"/>
        <w:tblLayout w:type="fixed"/>
        <w:tblCellMar>
          <w:top w:w="28" w:type="dxa"/>
          <w:left w:w="28" w:type="dxa"/>
          <w:bottom w:w="28" w:type="dxa"/>
          <w:right w:w="28" w:type="dxa"/>
        </w:tblCellMar>
      </w:tblPr>
      <w:tblGrid>
        <w:gridCol w:w="1726"/>
        <w:gridCol w:w="1305"/>
        <w:gridCol w:w="1313"/>
        <w:gridCol w:w="231"/>
        <w:gridCol w:w="793"/>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8"/>
      </w:tblGrid>
      <w:tr>
        <w:trPr/>
        <w:tc>
          <w:tcPr>
            <w:tcW w:w="172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6"/>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54,281 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95,351 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available-for-sale fixed maturity securities, equity securities, and bank loan participations measured at fair value on a recurring basis using significant unobservable inputs (Level 3) is shown below:</w:t>
      </w:r>
    </w:p>
    <w:tbl>
      <w:tblPr>
        <w:tblW w:w="6401" w:type="dxa"/>
        <w:jc w:val="left"/>
        <w:tblInd w:w="0" w:type="dxa"/>
        <w:tblLayout w:type="fixed"/>
        <w:tblCellMar>
          <w:top w:w="28" w:type="dxa"/>
          <w:left w:w="28" w:type="dxa"/>
          <w:bottom w:w="28" w:type="dxa"/>
          <w:right w:w="28" w:type="dxa"/>
        </w:tblCellMar>
      </w:tblPr>
      <w:tblGrid>
        <w:gridCol w:w="1287"/>
        <w:gridCol w:w="1131"/>
        <w:gridCol w:w="1136"/>
        <w:gridCol w:w="211"/>
        <w:gridCol w:w="361"/>
        <w:gridCol w:w="109"/>
        <w:gridCol w:w="109"/>
        <w:gridCol w:w="109"/>
        <w:gridCol w:w="109"/>
        <w:gridCol w:w="211"/>
        <w:gridCol w:w="361"/>
        <w:gridCol w:w="109"/>
        <w:gridCol w:w="109"/>
        <w:gridCol w:w="109"/>
        <w:gridCol w:w="109"/>
        <w:gridCol w:w="211"/>
        <w:gridCol w:w="46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 to Level 3</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3</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calls and paydowns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gains or losses (realized/unrealized):</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earnings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comprehensive income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one equity security at December 31, 2023 for which the fair value was determined using significant unobservable inputs (Level 3). The fair value of $11,000 for the equity security was obtained from our asset manager and was derived from an internal model.</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one equity security at December 31, 2022 for which the fair value was determined using significant unobservable inputs (Level 3). The fair value of $7,000 for the equity security was obtained from our asset manager and was derived from an internal model.</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held one equity security at December 31, 2021 for which the fair value was determined using significant unobservable inputs (Level 3). The fair value of $39,000 for the equity security was based on expected proceeds from its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2021, one equity security was transferred from Level 2 to Level 3 as the security was no longer actively traded. This security was exchanged for an equity security that was publicly traded and it was transferred from Level 3 to Level 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3 occur when the Company is able to obtain reliable prices from pricing vendors for which the Company was previously unable to obtain reliable prices. Transfers in to Level 3 occur when the Company is unable to obtain reliable prices for securities from pricing vendors and instead must use broker price quotes.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during 2023, 2022 or 2021. The Company recognizes transfers between levels at the beginning of the reporting period.</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investments for which external sources were unavailable to determine fair value as of December 31, 2023 and 2022.</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and fair values of financial instruments are summarized below:</w:t>
      </w:r>
    </w:p>
    <w:tbl>
      <w:tblPr>
        <w:tblW w:w="9840" w:type="dxa"/>
        <w:jc w:val="left"/>
        <w:tblInd w:w="0" w:type="dxa"/>
        <w:tblLayout w:type="fixed"/>
        <w:tblCellMar>
          <w:top w:w="28" w:type="dxa"/>
          <w:left w:w="28" w:type="dxa"/>
          <w:bottom w:w="28" w:type="dxa"/>
          <w:right w:w="28" w:type="dxa"/>
        </w:tblCellMar>
      </w:tblPr>
      <w:tblGrid>
        <w:gridCol w:w="1310"/>
        <w:gridCol w:w="1154"/>
        <w:gridCol w:w="11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 – notes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other invested assets-notes receivable, senior debt, and junior subordinated debt at December 31, 2023 and 2022 were determined by calculating the present value of expected future cash flows under the terms of the note agreements or debt agreements, as applicable, discounted at an estimated market rate of interest at December 31, 2023 and 2022, respectively. The Company also utilized an internally developed valuation model based on the spread of a comparable market index to determine the fair value of certain other invested assets-notes receivable at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senior debt and junior subordinated debt at December 31, 2023 and 2022 were determined using inputs to the valuation methodology that are unobservable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22.    Statutory Matters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U.S.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U.S. state insurance laws and regulations prescribe accounting practices for determining statutory net income and capital and surplus for insurance companies. In addition, state regulators may permit statutory accounting practices that differ from prescribed practices. Statutory accounting practices prescribed or permitted by regulatory authorities for the Company’s 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not admitted for purposes of determining surplus under SAP, (c) the classification and carrying amounts of investments in certain securities are different under SAP and GAAP, and (d) the criteria for providing asset valuation allowances and the methodologies used to determine the amount thereof are different under SAP and GAAP.</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Combined net income, statutory capital and surplus and minimum required statutory capital and surplus, as determined in accordance with statutory accounting practices, for the U.S. insurance subsidiaries as of December 31, 2023, 2022, and 2021 and for the years then ended are summarized as follows:</w:t>
      </w:r>
    </w:p>
    <w:tbl>
      <w:tblPr>
        <w:tblW w:w="7781" w:type="dxa"/>
        <w:jc w:val="left"/>
        <w:tblInd w:w="0" w:type="dxa"/>
        <w:tblLayout w:type="fixed"/>
        <w:tblCellMar>
          <w:top w:w="28" w:type="dxa"/>
          <w:left w:w="28" w:type="dxa"/>
          <w:bottom w:w="28" w:type="dxa"/>
          <w:right w:w="28" w:type="dxa"/>
        </w:tblCellMar>
      </w:tblPr>
      <w:tblGrid>
        <w:gridCol w:w="1442"/>
        <w:gridCol w:w="1269"/>
        <w:gridCol w:w="1278"/>
        <w:gridCol w:w="211"/>
        <w:gridCol w:w="721"/>
        <w:gridCol w:w="109"/>
        <w:gridCol w:w="109"/>
        <w:gridCol w:w="109"/>
        <w:gridCol w:w="109"/>
        <w:gridCol w:w="211"/>
        <w:gridCol w:w="721"/>
        <w:gridCol w:w="109"/>
        <w:gridCol w:w="109"/>
        <w:gridCol w:w="109"/>
        <w:gridCol w:w="109"/>
        <w:gridCol w:w="211"/>
        <w:gridCol w:w="691"/>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capital and surplus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required statutory capital and surplus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Risk-Based Capital (“RBC”) requirements promulgated by the National Association of Insurance Commissioners require property-casualty insurers to maintain minimum capitalization levels determined based on formulas incorporating various business risks of the insurance subsidiaries. As of December 31, 2023, the insurance subsidiaries’ adjusted capital and surplus exceeds their authorized control level RBC.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23.    Dividend Restrictions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U.S.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statutes of the U.S.-based insurance subsidiaries’ states of domicile limit the amount of dividends that they may pay annually without first obtaining regulatory approval. Generally, the limitations are based on the greater of statutory net income for the preceding year or 10.0% of statutory surplus at the end of the preceding year. The maximum amount of dividends available to James River Group from its U.S. insurance subsidiaries during 2024 without regulatory approval is $107.1 million. However, U.S. insurance regulators have broad powers to prevent the reduction of statutory surplus to inadequate levels and could refuse to permit the payment of dividends.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the Company’s U.S.-based subsidiaries to its U.K. intermediate holding company, James River UK, are generally subject to a 5% dividend withholding tax. The payment of any dividends by the Company’s U.S.-based subsidiaries directly to a Bermuda-based entity is subject to U.S. taxes at a 30.0% tax rate. JRG Holdings has determined that earnings of its U.S. subsidiaries have been and will be indefinitely reinvested in U.S.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24.    Other Related Party Transactions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a commercial office building which houses the Company’s Richmond, Virginia operations under the terms of a non-cancelable lease from an entity with which it is affiliated. The term of the lease, which has been amended from time to time, runs through 2026. Operating costs under the lease were $2.1 million for each of the years ended December 31, 2023, 2022, and 2021, respectively.</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Upon retiring effective July 31, 2021, the Company’s former President and Chief Operating Officer entered into a consulting agreement with the Company to provide consulting services as requested by the Company’s Chief Executive Officer during the period August 1, 2021 through December 31, 2021. The Company incurred expenses of $146,000 in 2021 as compensation for rendering these consulting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25.    Subsequent Events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2024, the Board of Directors declared a cash dividend of $0.05 per common share. The dividend is payable on March 29, 2024 to shareholders of record on March 11,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2024, the Board of Directors declared a quarterly dividend on the Series A Preferred Shares. The dividend of $2.6 million will be payable in cash on April 1, 2024 to shareholders of record on March 15,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2024, the Board of Directors approved awards under the 2014 LTIP and the 2014 Director Plan to the Company’s employees and directors with an aggregate fair value of $9.4 million and a grant date of March 1, 2024.</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2013 Facility and 2017 Facility contain certain financial and other covenants with which we are in compliance at December 31, 2023, with the exception of a default of the financial strength rating covenant due to the downgrade of JRG Re by A.M. Best on December 20, 2023 from “A-” (Excellent) to “B++” (good). The financial strength rating covenant requires that each of our regulated insurance subsidiaries maintain an A.M. Best rating not lower than “A-” (Excellent). On February 26, 2024, our lenders waived this default through March 1, 2025, which, in any event, we expect to be cured upon the closing of the sale of JRG Re, at which time we expect JRG Re to be removed as a borrower under the 2013 Facility and 2017 Facility.</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26, 2024, JRGH received $5.8 million from JRG Re representing the cash portion of the pre-closing dividend pursuant to the Stock Purchase Agreement covering the sale of JRG Re. See Note 2 - Discontinued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26.    Unaudited Selected Quarterly Financial Data</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unaudited quarterly results of operations:</w:t>
      </w:r>
    </w:p>
    <w:tbl>
      <w:tblPr>
        <w:tblW w:w="10205" w:type="dxa"/>
        <w:jc w:val="left"/>
        <w:tblInd w:w="0" w:type="dxa"/>
        <w:tblLayout w:type="fixed"/>
        <w:tblCellMar>
          <w:top w:w="28" w:type="dxa"/>
          <w:left w:w="28" w:type="dxa"/>
          <w:bottom w:w="28" w:type="dxa"/>
          <w:right w:w="28" w:type="dxa"/>
        </w:tblCellMar>
      </w:tblPr>
      <w:tblGrid>
        <w:gridCol w:w="1297"/>
        <w:gridCol w:w="1105"/>
        <w:gridCol w:w="110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6"/>
      </w:tblGrid>
      <w:tr>
        <w:trPr/>
        <w:tc>
          <w:tcPr>
            <w:tcW w:w="12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per share data)</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written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Underwriting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(107,684)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available to common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tbl>
      <w:tblPr>
        <w:tblW w:w="10205" w:type="dxa"/>
        <w:jc w:val="left"/>
        <w:tblInd w:w="0" w:type="dxa"/>
        <w:tblLayout w:type="fixed"/>
        <w:tblCellMar>
          <w:top w:w="28" w:type="dxa"/>
          <w:left w:w="28" w:type="dxa"/>
          <w:bottom w:w="28" w:type="dxa"/>
          <w:right w:w="28" w:type="dxa"/>
        </w:tblCellMar>
      </w:tblPr>
      <w:tblGrid>
        <w:gridCol w:w="1297"/>
        <w:gridCol w:w="1105"/>
        <w:gridCol w:w="1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5"/>
      </w:tblGrid>
      <w:tr>
        <w:trPr/>
        <w:tc>
          <w:tcPr>
            <w:tcW w:w="12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r>
      <w:tr>
        <w:trPr/>
        <w:tc>
          <w:tcPr>
            <w:tcW w:w="3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per share data)</w:t>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written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1,411,372 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Underwriting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income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available to common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Summary of Investments—Other than Investments in Related Parties</w:t>
      </w:r>
    </w:p>
    <w:tbl>
      <w:tblPr>
        <w:tblW w:w="10205" w:type="dxa"/>
        <w:jc w:val="left"/>
        <w:tblInd w:w="0" w:type="dxa"/>
        <w:tblLayout w:type="fixed"/>
        <w:tblCellMar>
          <w:top w:w="28" w:type="dxa"/>
          <w:left w:w="28" w:type="dxa"/>
          <w:bottom w:w="28" w:type="dxa"/>
          <w:right w:w="28" w:type="dxa"/>
        </w:tblCellMar>
      </w:tblPr>
      <w:tblGrid>
        <w:gridCol w:w="2057"/>
        <w:gridCol w:w="1720"/>
        <w:gridCol w:w="1729"/>
        <w:gridCol w:w="109"/>
        <w:gridCol w:w="109"/>
        <w:gridCol w:w="109"/>
        <w:gridCol w:w="226"/>
        <w:gridCol w:w="886"/>
        <w:gridCol w:w="116"/>
        <w:gridCol w:w="109"/>
        <w:gridCol w:w="109"/>
        <w:gridCol w:w="109"/>
        <w:gridCol w:w="211"/>
        <w:gridCol w:w="826"/>
        <w:gridCol w:w="109"/>
        <w:gridCol w:w="109"/>
        <w:gridCol w:w="109"/>
        <w:gridCol w:w="109"/>
        <w:gridCol w:w="211"/>
        <w:gridCol w:w="976"/>
        <w:gridCol w:w="157"/>
      </w:tblGrid>
      <w:tr>
        <w:trPr/>
        <w:tc>
          <w:tcPr>
            <w:tcW w:w="205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 of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 at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which shown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Balance</w:t>
            </w:r>
          </w:p>
          <w:p>
            <w:pPr>
              <w:pStyle w:val="TableContents"/>
              <w:bidi w:val="0"/>
              <w:spacing w:lineRule="auto" w:line="240" w:before="0" w:after="0"/>
              <w:jc w:val="center"/>
              <w:rPr/>
            </w:pPr>
            <w:r>
              <w:rPr>
                <w:rFonts w:ascii="Times New Roman;sans-serif" w:hAnsi="Times New Roman;sans-serif"/>
                <w:b/>
                <w:color w:val="000000"/>
                <w:sz w:val="16"/>
              </w:rPr>
              <w:t>Sheet</w:t>
            </w:r>
            <w:r>
              <w:rPr>
                <w:rFonts w:ascii="Times New Roman;sans-serif" w:hAnsi="Times New Roman;sans-serif"/>
                <w:b/>
                <w:color w:val="000000"/>
                <w:sz w:val="10"/>
              </w:rPr>
              <w:t>(1)</w:t>
            </w:r>
          </w:p>
        </w:tc>
      </w:tr>
      <w:tr>
        <w:trPr/>
        <w:tc>
          <w:tcPr>
            <w:tcW w:w="5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1,405,136 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1,696,110 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Differences between the amounts in this column and the amounts in the consolidated balance sheet are due to this schedule excluding investments in related parties.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Balance Sheets (Parent Company)</w:t>
      </w:r>
    </w:p>
    <w:tbl>
      <w:tblPr>
        <w:tblW w:w="9308" w:type="dxa"/>
        <w:jc w:val="left"/>
        <w:tblInd w:w="0" w:type="dxa"/>
        <w:tblLayout w:type="fixed"/>
        <w:tblCellMar>
          <w:top w:w="28" w:type="dxa"/>
          <w:left w:w="28" w:type="dxa"/>
          <w:bottom w:w="28" w:type="dxa"/>
          <w:right w:w="28" w:type="dxa"/>
        </w:tblCellMar>
      </w:tblPr>
      <w:tblGrid>
        <w:gridCol w:w="2347"/>
        <w:gridCol w:w="2064"/>
        <w:gridCol w:w="2083"/>
        <w:gridCol w:w="211"/>
        <w:gridCol w:w="826"/>
        <w:gridCol w:w="109"/>
        <w:gridCol w:w="109"/>
        <w:gridCol w:w="109"/>
        <w:gridCol w:w="109"/>
        <w:gridCol w:w="211"/>
        <w:gridCol w:w="976"/>
        <w:gridCol w:w="154"/>
      </w:tblGrid>
      <w:tr>
        <w:trPr/>
        <w:tc>
          <w:tcPr>
            <w:tcW w:w="2347"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49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9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in subsidiaries</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Series A redeemable preferred shares,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Statements of (Loss) Income and Comprehensive Loss (Parent Company)</w:t>
      </w:r>
    </w:p>
    <w:tbl>
      <w:tblPr>
        <w:tblW w:w="9582" w:type="dxa"/>
        <w:jc w:val="left"/>
        <w:tblInd w:w="0" w:type="dxa"/>
        <w:tblLayout w:type="fixed"/>
        <w:tblCellMar>
          <w:top w:w="28" w:type="dxa"/>
          <w:left w:w="28" w:type="dxa"/>
          <w:bottom w:w="28" w:type="dxa"/>
          <w:right w:w="28" w:type="dxa"/>
        </w:tblCellMar>
      </w:tblPr>
      <w:tblGrid>
        <w:gridCol w:w="1891"/>
        <w:gridCol w:w="1658"/>
        <w:gridCol w:w="1671"/>
        <w:gridCol w:w="211"/>
        <w:gridCol w:w="901"/>
        <w:gridCol w:w="109"/>
        <w:gridCol w:w="109"/>
        <w:gridCol w:w="109"/>
        <w:gridCol w:w="109"/>
        <w:gridCol w:w="211"/>
        <w:gridCol w:w="901"/>
        <w:gridCol w:w="109"/>
        <w:gridCol w:w="109"/>
        <w:gridCol w:w="109"/>
        <w:gridCol w:w="109"/>
        <w:gridCol w:w="211"/>
        <w:gridCol w:w="901"/>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2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2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equity in net income of subsidiaries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in net (loss) income of subsidiaries </w:t>
            </w:r>
            <w:r>
              <w:rPr>
                <w:rFonts w:ascii="Times New Roman;sans-serif" w:hAnsi="Times New Roman;sans-serif"/>
                <w:b w:val="false"/>
                <w:color w:val="000000"/>
                <w:sz w:val="13"/>
              </w:rPr>
              <w:t>(1)</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other comprehensive earnings (losses) of subsidiaries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(162,049)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(224,720)</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(1) Includes amounts for JRG Re which is classified as held for sale on our Consolidated Balance Sheets. Operating results of JRG Re are included in discontinued operations in our Consolidated Statements of (Loss) Income and Comprehensive Loss. See Note 2 - Discontinued Operations.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Statements of Cash Flows (Parent Company)</w:t>
      </w:r>
    </w:p>
    <w:tbl>
      <w:tblPr>
        <w:tblW w:w="10205" w:type="dxa"/>
        <w:jc w:val="left"/>
        <w:tblInd w:w="0" w:type="dxa"/>
        <w:tblLayout w:type="fixed"/>
        <w:tblCellMar>
          <w:top w:w="28" w:type="dxa"/>
          <w:left w:w="28" w:type="dxa"/>
          <w:bottom w:w="28" w:type="dxa"/>
          <w:right w:w="28" w:type="dxa"/>
        </w:tblCellMar>
      </w:tblPr>
      <w:tblGrid>
        <w:gridCol w:w="2225"/>
        <w:gridCol w:w="1903"/>
        <w:gridCol w:w="1917"/>
        <w:gridCol w:w="211"/>
        <w:gridCol w:w="889"/>
        <w:gridCol w:w="109"/>
        <w:gridCol w:w="109"/>
        <w:gridCol w:w="109"/>
        <w:gridCol w:w="109"/>
        <w:gridCol w:w="211"/>
        <w:gridCol w:w="721"/>
        <w:gridCol w:w="109"/>
        <w:gridCol w:w="109"/>
        <w:gridCol w:w="109"/>
        <w:gridCol w:w="109"/>
        <w:gridCol w:w="211"/>
        <w:gridCol w:w="889"/>
        <w:gridCol w:w="156"/>
      </w:tblGrid>
      <w:tr>
        <w:trPr/>
        <w:tc>
          <w:tcPr>
            <w:tcW w:w="2225"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4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45"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provided by operating activities: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depreciation and amortization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earnings of subsidiaries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repayments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note repayments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subsidiary</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Series A preferred shares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shares - public offering</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shares under equity incentive plans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withheld and remitted on net settlement of RSUs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    Accounting Policies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(the “Company”) is an exempted holding company registered in Bermuda, organized for the purpose of acquiring and managing insurance and reinsurance entities.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Estimates and Assumptions</w:t>
      </w:r>
    </w:p>
    <w:p>
      <w:pPr>
        <w:pStyle w:val="TextBody"/>
        <w:bidi w:val="0"/>
        <w:spacing w:lineRule="auto" w:line="288" w:before="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Preparation of the financial statements in conformity with GAAP requires management to make estimates and assumptions that affect the amounts reported in the financial statements and accompanying disclosures. Those estimates are inherently subject to change, and actual results may ultimately differ from those estimates.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Adopted Accounting Standards</w:t>
      </w:r>
    </w:p>
    <w:p>
      <w:pPr>
        <w:pStyle w:val="TextBody"/>
        <w:bidi w:val="0"/>
        <w:spacing w:lineRule="auto" w:line="288" w:before="0" w:after="120"/>
        <w:ind w:left="0" w:right="0" w:firstLine="405"/>
        <w:jc w:val="left"/>
        <w:rPr/>
      </w:pPr>
      <w:r>
        <w:rPr>
          <w:rFonts w:ascii="Times New Roman;sans-serif" w:hAnsi="Times New Roman;sans-serif"/>
          <w:b w:val="false"/>
          <w:color w:val="000000"/>
          <w:sz w:val="20"/>
          <w:shd w:fill="FFFFFF" w:val="clear"/>
        </w:rPr>
        <w:t xml:space="preserve">No accounting standards were adopted during the year ended </w:t>
      </w:r>
      <w:r>
        <w:rPr>
          <w:rFonts w:ascii="Times New Roman;sans-serif" w:hAnsi="Times New Roman;sans-serif"/>
          <w:b w:val="false"/>
          <w:color w:val="000000"/>
          <w:sz w:val="20"/>
        </w:rPr>
        <w:t>December 31, 2023 that had a material impact on our financial statements.</w:t>
      </w:r>
    </w:p>
    <w:p>
      <w:pPr>
        <w:pStyle w:val="TextBody"/>
        <w:bidi w:val="0"/>
        <w:spacing w:before="0" w:after="120"/>
        <w:ind w:left="0" w:right="0" w:firstLine="36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III</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Supplementary Insurance Information</w:t>
      </w:r>
    </w:p>
    <w:p>
      <w:pPr>
        <w:pStyle w:val="TextBody"/>
        <w:bidi w:val="0"/>
        <w:spacing w:lineRule="auto" w:line="288" w:before="0" w:after="12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12781" w:type="dxa"/>
        <w:jc w:val="left"/>
        <w:tblInd w:w="0" w:type="dxa"/>
        <w:tblLayout w:type="fixed"/>
        <w:tblCellMar>
          <w:top w:w="28" w:type="dxa"/>
          <w:left w:w="28" w:type="dxa"/>
          <w:bottom w:w="28" w:type="dxa"/>
          <w:right w:w="28" w:type="dxa"/>
        </w:tblCellMar>
      </w:tblPr>
      <w:tblGrid>
        <w:gridCol w:w="321"/>
        <w:gridCol w:w="282"/>
        <w:gridCol w:w="283"/>
        <w:gridCol w:w="196"/>
        <w:gridCol w:w="64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Deferred</w:t>
              <w:br/>
              <w:t>Policy</w:t>
              <w:br/>
              <w:t>Acquisition</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Reserve</w:t>
              <w:br/>
              <w:t>for Losses</w:t>
              <w:br/>
              <w:t>and Loss</w:t>
              <w:br/>
              <w:t>Adjustment</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Unearned</w:t>
              <w:b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Earned</w:t>
              <w:b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Investment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Losses</w:t>
              <w:br/>
              <w:t>and Loss</w:t>
              <w:br/>
              <w:t>Adjustment</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Amortization</w:t>
              <w:br/>
              <w:t>of Policy</w:t>
              <w:br/>
              <w:t>Acquisition</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br/>
              <w:t>Operating</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Written</w:t>
              <w:br/>
              <w:t>Premiums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Excess and Surplus Lines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Specialty Admitted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2,606,107 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587,899 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708,005 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693,901 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Excess and Surplus Lines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589,056 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Specialty Admitted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2,340,963 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629,734 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665,446 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Excess and Surplus Lines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Specialty Admitted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2,310,278 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561,371 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572,174 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585,185 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IV</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Reinsurance</w:t>
      </w:r>
    </w:p>
    <w:tbl>
      <w:tblPr>
        <w:tblW w:w="10205" w:type="dxa"/>
        <w:jc w:val="left"/>
        <w:tblInd w:w="0" w:type="dxa"/>
        <w:tblLayout w:type="fixed"/>
        <w:tblCellMar>
          <w:top w:w="28" w:type="dxa"/>
          <w:left w:w="28" w:type="dxa"/>
          <w:bottom w:w="28" w:type="dxa"/>
          <w:right w:w="28" w:type="dxa"/>
        </w:tblCellMar>
      </w:tblPr>
      <w:tblGrid>
        <w:gridCol w:w="1225"/>
        <w:gridCol w:w="1080"/>
        <w:gridCol w:w="1083"/>
        <w:gridCol w:w="211"/>
        <w:gridCol w:w="976"/>
        <w:gridCol w:w="109"/>
        <w:gridCol w:w="109"/>
        <w:gridCol w:w="109"/>
        <w:gridCol w:w="109"/>
        <w:gridCol w:w="211"/>
        <w:gridCol w:w="826"/>
        <w:gridCol w:w="109"/>
        <w:gridCol w:w="109"/>
        <w:gridCol w:w="109"/>
        <w:gridCol w:w="109"/>
        <w:gridCol w:w="212"/>
        <w:gridCol w:w="621"/>
        <w:gridCol w:w="109"/>
        <w:gridCol w:w="109"/>
        <w:gridCol w:w="109"/>
        <w:gridCol w:w="109"/>
        <w:gridCol w:w="211"/>
        <w:gridCol w:w="826"/>
        <w:gridCol w:w="109"/>
        <w:gridCol w:w="109"/>
        <w:gridCol w:w="109"/>
        <w:gridCol w:w="109"/>
        <w:gridCol w:w="203"/>
        <w:gridCol w:w="203"/>
        <w:gridCol w:w="573"/>
      </w:tblGrid>
      <w:tr>
        <w:trPr/>
        <w:tc>
          <w:tcPr>
            <w:tcW w:w="122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Ceded</w:t>
              <w:br/>
              <w:t>to Other</w:t>
              <w:br/>
              <w:t>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Assumed</w:t>
              <w:br/>
              <w:t>from Other</w:t>
              <w:br/>
              <w:t>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of Amount</w:t>
              <w:br/>
              <w:t>Assumed</w:t>
              <w:br/>
              <w:t>to Net</w:t>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Written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Written Premiums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Written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Written Premiums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Written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Written Premiums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V</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tbl>
      <w:tblPr>
        <w:tblW w:w="10205" w:type="dxa"/>
        <w:jc w:val="left"/>
        <w:tblInd w:w="0" w:type="dxa"/>
        <w:tblLayout w:type="fixed"/>
        <w:tblCellMar>
          <w:top w:w="28" w:type="dxa"/>
          <w:left w:w="28" w:type="dxa"/>
          <w:bottom w:w="28" w:type="dxa"/>
          <w:right w:w="28" w:type="dxa"/>
        </w:tblCellMar>
      </w:tblPr>
      <w:tblGrid>
        <w:gridCol w:w="1887"/>
        <w:gridCol w:w="1634"/>
        <w:gridCol w:w="1640"/>
        <w:gridCol w:w="211"/>
        <w:gridCol w:w="721"/>
        <w:gridCol w:w="109"/>
        <w:gridCol w:w="109"/>
        <w:gridCol w:w="109"/>
        <w:gridCol w:w="109"/>
        <w:gridCol w:w="211"/>
        <w:gridCol w:w="616"/>
        <w:gridCol w:w="109"/>
        <w:gridCol w:w="109"/>
        <w:gridCol w:w="109"/>
        <w:gridCol w:w="109"/>
        <w:gridCol w:w="211"/>
        <w:gridCol w:w="678"/>
        <w:gridCol w:w="109"/>
        <w:gridCol w:w="109"/>
        <w:gridCol w:w="109"/>
        <w:gridCol w:w="109"/>
        <w:gridCol w:w="211"/>
        <w:gridCol w:w="721"/>
        <w:gridCol w:w="156"/>
      </w:tblGrid>
      <w:tr>
        <w:trPr/>
        <w:tc>
          <w:tcPr>
            <w:tcW w:w="188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Additions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Charged to</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Deductions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Written Off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 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End</w:t>
              <w:br/>
              <w:t>of Period</w:t>
            </w:r>
          </w:p>
        </w:tc>
      </w:tr>
      <w:tr>
        <w:trPr/>
        <w:tc>
          <w:tcPr>
            <w:tcW w:w="5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Premiums Receivable and Agents' Balances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Reinsurance Balances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Premiums Receivable and Agents' Balances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Reinsurance Balances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Premiums Receivable and Agents' Balances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Reinsurance Balances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F-66</w:t>
                      </w:r>
                    </w:p>
                  </w:txbxContent>
                </v:textbox>
                <w10:wrap type="none"/>
              </v:rect>
            </w:pict>
          </mc:Fallback>
        </mc:AlternateContent>
      </w:r>
    </w:p>
    <w:p>
      <w:pPr>
        <w:pStyle w:val="TextBody"/>
        <w:bidi w:val="0"/>
        <w:spacing w:lineRule="auto" w:line="288" w:before="0" w:after="0"/>
        <w:jc w:val="left"/>
        <w:rPr/>
      </w:pPr>
      <w:hyperlink w:anchor="i2e242ce95bf441e9bfd64c4176f339b2_7">
        <w:r>
          <w:rPr>
            <w:rStyle w:val="InternetLink"/>
            <w:rFonts w:ascii="Times New Roman;sans-serif" w:hAnsi="Times New Roman;sans-serif"/>
            <w:b w:val="false"/>
            <w:color w:val="0000FF"/>
            <w:sz w:val="14"/>
            <w:u w:val="single"/>
          </w:rPr>
          <w:t>TABLE OF CONTENTS</w:t>
        </w:r>
      </w:hyperlink>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SCHEDULE VI</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Supplementary Information Concerning Property Casualty Insurance Operations</w:t>
      </w:r>
    </w:p>
    <w:tbl>
      <w:tblPr>
        <w:tblW w:w="8919" w:type="dxa"/>
        <w:jc w:val="left"/>
        <w:tblInd w:w="0" w:type="dxa"/>
        <w:tblLayout w:type="fixed"/>
        <w:tblCellMar>
          <w:top w:w="28" w:type="dxa"/>
          <w:left w:w="28" w:type="dxa"/>
          <w:bottom w:w="28" w:type="dxa"/>
          <w:right w:w="28" w:type="dxa"/>
        </w:tblCellMar>
      </w:tblPr>
      <w:tblGrid>
        <w:gridCol w:w="1797"/>
        <w:gridCol w:w="1582"/>
        <w:gridCol w:w="1586"/>
        <w:gridCol w:w="220"/>
        <w:gridCol w:w="756"/>
        <w:gridCol w:w="109"/>
        <w:gridCol w:w="109"/>
        <w:gridCol w:w="109"/>
        <w:gridCol w:w="109"/>
        <w:gridCol w:w="220"/>
        <w:gridCol w:w="756"/>
        <w:gridCol w:w="109"/>
        <w:gridCol w:w="109"/>
        <w:gridCol w:w="109"/>
        <w:gridCol w:w="109"/>
        <w:gridCol w:w="220"/>
        <w:gridCol w:w="756"/>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incurred:</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retroactive reinsurance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excluding retroactive reinsurance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losses and loss adjustment expenses incurred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losses and loss adjustment expenses, net of reinsurance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10.35</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F-67</w:t>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SEPARATION AND RELEASE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Separation and Release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into between</w:t>
      </w:r>
      <w:r>
        <w:rPr>
          <w:color w:val="000000"/>
        </w:rPr>
        <w:t xml:space="preserve"> </w:t>
      </w:r>
      <w:r>
        <w:rPr>
          <w:rFonts w:ascii="Times New Roman;sans-serif" w:hAnsi="Times New Roman;sans-serif"/>
          <w:b w:val="false"/>
          <w:color w:val="000000"/>
          <w:sz w:val="24"/>
        </w:rPr>
        <w:t>James River Group,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Stonewood Insurance Company (“</w:t>
      </w:r>
      <w:r>
        <w:rPr>
          <w:rFonts w:ascii="Times New Roman;sans-serif" w:hAnsi="Times New Roman;sans-serif"/>
          <w:b w:val="false"/>
          <w:color w:val="000000"/>
          <w:sz w:val="24"/>
          <w:u w:val="single"/>
        </w:rPr>
        <w:t>SIC</w:t>
      </w:r>
      <w:r>
        <w:rPr>
          <w:color w:val="000000"/>
        </w:rPr>
        <w:t>”</w:t>
      </w:r>
      <w:r>
        <w:rPr>
          <w:rFonts w:ascii="Times New Roman;sans-serif" w:hAnsi="Times New Roman;sans-serif"/>
          <w:b w:val="false"/>
          <w:color w:val="000000"/>
          <w:sz w:val="24"/>
        </w:rPr>
        <w:t>), Falls Lake Insurance Management Company, Inc. (“</w:t>
      </w:r>
      <w:r>
        <w:rPr>
          <w:rFonts w:ascii="Times New Roman;sans-serif" w:hAnsi="Times New Roman;sans-serif"/>
          <w:b w:val="false"/>
          <w:color w:val="000000"/>
          <w:sz w:val="24"/>
          <w:u w:val="single"/>
        </w:rPr>
        <w:t>FLIMC</w:t>
      </w:r>
      <w:r>
        <w:rPr>
          <w:color w:val="000000"/>
        </w:rPr>
        <w:t>”</w:t>
      </w:r>
      <w:r>
        <w:rPr>
          <w:rFonts w:ascii="Times New Roman;sans-serif" w:hAnsi="Times New Roman;sans-serif"/>
          <w:b w:val="false"/>
          <w:color w:val="000000"/>
          <w:sz w:val="24"/>
        </w:rPr>
        <w:t>), Falls Lake National Insurance Company (“</w:t>
      </w:r>
      <w:r>
        <w:rPr>
          <w:rFonts w:ascii="Times New Roman;sans-serif" w:hAnsi="Times New Roman;sans-serif"/>
          <w:b w:val="false"/>
          <w:color w:val="000000"/>
          <w:sz w:val="24"/>
          <w:u w:val="single"/>
        </w:rPr>
        <w:t>FLNIC</w:t>
      </w:r>
      <w:r>
        <w:rPr>
          <w:color w:val="000000"/>
        </w:rPr>
        <w:t>”</w:t>
      </w:r>
      <w:r>
        <w:rPr>
          <w:rFonts w:ascii="Times New Roman;sans-serif" w:hAnsi="Times New Roman;sans-serif"/>
          <w:b w:val="false"/>
          <w:color w:val="000000"/>
          <w:sz w:val="24"/>
        </w:rPr>
        <w:t>), Falls Lake Fire and Casualty Company (“</w:t>
      </w:r>
      <w:r>
        <w:rPr>
          <w:rFonts w:ascii="Times New Roman;sans-serif" w:hAnsi="Times New Roman;sans-serif"/>
          <w:b w:val="false"/>
          <w:color w:val="000000"/>
          <w:sz w:val="24"/>
          <w:u w:val="single"/>
        </w:rPr>
        <w:t>FLFCC,</w:t>
      </w:r>
      <w:r>
        <w:rPr>
          <w:color w:val="000000"/>
        </w:rPr>
        <w:t xml:space="preserve">” </w:t>
      </w:r>
      <w:r>
        <w:rPr>
          <w:rFonts w:ascii="Times New Roman;sans-serif" w:hAnsi="Times New Roman;sans-serif"/>
          <w:b w:val="false"/>
          <w:color w:val="000000"/>
          <w:sz w:val="24"/>
        </w:rPr>
        <w:t>and together with the Company, SIC, FLIMC, and FLNIC, the “Companies”), and Terry McCafferty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(the Companies and Employee will be collectively referred to hereinafter as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Employee was employed by the Companies pursuant to that certain Letter Agreement dated June 7, 2023 (the “</w:t>
      </w:r>
      <w:r>
        <w:rPr>
          <w:rFonts w:ascii="Times New Roman;sans-serif" w:hAnsi="Times New Roman;sans-serif"/>
          <w:b w:val="false"/>
          <w:color w:val="000000"/>
          <w:sz w:val="24"/>
          <w:u w:val="single"/>
        </w:rPr>
        <w:t>Employment 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the Parties agree that Employee separated from his employment, effective December 2, 2023 (the “</w:t>
      </w:r>
      <w:r>
        <w:rPr>
          <w:rFonts w:ascii="Times New Roman;sans-serif" w:hAnsi="Times New Roman;sans-serif"/>
          <w:b w:val="false"/>
          <w:color w:val="000000"/>
          <w:sz w:val="24"/>
          <w:u w:val="single"/>
        </w:rPr>
        <w:t>Separation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seek to fully and finally settle all existing claims, whether or not now known, arising out of Employee’s employment and termination of employment on the terms set forth herein, subject to the terms and conditions set forth herein;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mutually understand and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Separation Date</w:t>
      </w:r>
      <w:r>
        <w:rPr>
          <w:rFonts w:ascii="Times New Roman;sans-serif" w:hAnsi="Times New Roman;sans-serif"/>
          <w:b w:val="false"/>
          <w:color w:val="000000"/>
          <w:sz w:val="24"/>
        </w:rPr>
        <w:t>. Employee’s separation will be effective, the employment of Employee by the Companies shall end, and Employee shall cease to be an officer of the Companies and any and all Affiliates (as defined below), on the Separation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Paid Time Off (“PTO”)</w:t>
      </w:r>
      <w:r>
        <w:rPr>
          <w:rFonts w:ascii="Times New Roman;sans-serif" w:hAnsi="Times New Roman;sans-serif"/>
          <w:b w:val="false"/>
          <w:color w:val="000000"/>
          <w:sz w:val="24"/>
        </w:rPr>
        <w:t>. The Parties agree that, as of the Separation Date, Employee had (22.85) days of accrued but unused PTO, which he has received as of the date of his execution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2023 Annual Bonus and Outstanding Equity Awards</w:t>
      </w:r>
      <w:r>
        <w:rPr>
          <w:rFonts w:ascii="Times New Roman;sans-serif" w:hAnsi="Times New Roman;sans-serif"/>
          <w:b w:val="false"/>
          <w:color w:val="000000"/>
          <w:sz w:val="24"/>
        </w:rPr>
        <w:t>. The Parties acknowledge and agree that Employee’s entitlement to all or any portion of his FY2023 annual bonus (the “</w:t>
      </w:r>
      <w:r>
        <w:rPr>
          <w:rFonts w:ascii="Times New Roman;sans-serif" w:hAnsi="Times New Roman;sans-serif"/>
          <w:b w:val="false"/>
          <w:color w:val="000000"/>
          <w:sz w:val="24"/>
          <w:u w:val="single"/>
        </w:rPr>
        <w:t>STIP Award</w:t>
      </w:r>
      <w:r>
        <w:rPr>
          <w:color w:val="000000"/>
        </w:rPr>
        <w:t>”</w:t>
      </w:r>
      <w:r>
        <w:rPr>
          <w:rFonts w:ascii="Times New Roman;sans-serif" w:hAnsi="Times New Roman;sans-serif"/>
          <w:b w:val="false"/>
          <w:color w:val="000000"/>
          <w:sz w:val="24"/>
        </w:rPr>
        <w:t>) and to vest in all or any portion of his outstanding equity awards (collectively, the “</w:t>
      </w:r>
      <w:r>
        <w:rPr>
          <w:rFonts w:ascii="Times New Roman;sans-serif" w:hAnsi="Times New Roman;sans-serif"/>
          <w:b w:val="false"/>
          <w:color w:val="000000"/>
          <w:sz w:val="24"/>
          <w:u w:val="single"/>
        </w:rPr>
        <w:t>LTIP Award</w:t>
      </w:r>
      <w:r>
        <w:rPr>
          <w:color w:val="000000"/>
        </w:rPr>
        <w:t>”</w:t>
      </w:r>
      <w:r>
        <w:rPr>
          <w:rFonts w:ascii="Times New Roman;sans-serif" w:hAnsi="Times New Roman;sans-serif"/>
          <w:b w:val="false"/>
          <w:color w:val="000000"/>
          <w:sz w:val="24"/>
        </w:rPr>
        <w:t>) would be governed, respectively, by the Employment Agreement; and the terms of the James River Group Holdings, Ltd. Short-Term Incentive Plan and the terms of the James River Group Holdings, Ltd. 2014 Long-Term Incentive Plan (collectively, the “</w:t>
      </w:r>
      <w:r>
        <w:rPr>
          <w:rFonts w:ascii="Times New Roman;sans-serif" w:hAnsi="Times New Roman;sans-serif"/>
          <w:b w:val="false"/>
          <w:color w:val="000000"/>
          <w:sz w:val="24"/>
          <w:u w:val="single"/>
        </w:rPr>
        <w:t>Compensatory Plans</w:t>
      </w:r>
      <w:r>
        <w:rPr>
          <w:color w:val="000000"/>
        </w:rPr>
        <w:t>”</w:t>
      </w:r>
      <w:r>
        <w:rPr>
          <w:rFonts w:ascii="Times New Roman;sans-serif" w:hAnsi="Times New Roman;sans-serif"/>
          <w:b w:val="false"/>
          <w:color w:val="000000"/>
          <w:sz w:val="24"/>
        </w:rPr>
        <w:t>). The Companies acknowledge and agree that Employee’s separation from employment will qualify as a “retirement” for purposes of applying the provisions of the Compensatory Plans (collectively, the “</w:t>
      </w:r>
      <w:r>
        <w:rPr>
          <w:rFonts w:ascii="Times New Roman;sans-serif" w:hAnsi="Times New Roman;sans-serif"/>
          <w:b w:val="false"/>
          <w:color w:val="000000"/>
          <w:sz w:val="24"/>
          <w:u w:val="single"/>
        </w:rPr>
        <w:t>Compensatory Awards</w:t>
      </w:r>
      <w:r>
        <w:rPr>
          <w:color w:val="000000"/>
        </w:rPr>
        <w:t>”</w:t>
      </w:r>
      <w:r>
        <w:rPr>
          <w:rFonts w:ascii="Times New Roman;sans-serif" w:hAnsi="Times New Roman;sans-serif"/>
          <w:b w:val="false"/>
          <w:color w:val="000000"/>
          <w:sz w:val="24"/>
        </w:rPr>
        <w:t>) to Employee’s separation. The Parties further acknowledge and agree that this Agreement shall not adversely affect, alter, or extinguish any vested right that Employee may have with respect to any pension or other retirement benefits to which Employee is or will be entitled by virtue of Employee’s employment with the Companies. For the avoidance of any doubt, the above means that Employee: (i) shall receive the pro-rata payout of 11/12th of his STIP Award and a pro-rata settlement of the performance-based LTIP Award granted in 2023 (the “</w:t>
      </w:r>
      <w:r>
        <w:rPr>
          <w:rFonts w:ascii="Times New Roman;sans-serif" w:hAnsi="Times New Roman;sans-serif"/>
          <w:b w:val="false"/>
          <w:color w:val="000000"/>
          <w:sz w:val="24"/>
          <w:u w:val="single"/>
        </w:rPr>
        <w:t>2023 Performance LTIP Award</w:t>
      </w:r>
      <w:r>
        <w:rPr>
          <w:color w:val="000000"/>
        </w:rPr>
        <w:t>”</w:t>
      </w:r>
      <w:r>
        <w:rPr>
          <w:rFonts w:ascii="Times New Roman;sans-serif" w:hAnsi="Times New Roman;sans-serif"/>
          <w:b w:val="false"/>
          <w:color w:val="000000"/>
          <w:sz w:val="24"/>
        </w:rPr>
        <w:t>) to the extent the STIP Award and the</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2023 Performance LTIP Award are otherwise earned pursuant to their respective terms, which will be determined and paid to Employee pursuant to a good-faith implementation of the Compensatory Plans; (ii) shall be deemed vested in the 2023 Performance LTIP Award; (iii) with respect to the service-based LTIP Award granted in 2023 (the “</w:t>
      </w:r>
      <w:r>
        <w:rPr>
          <w:rFonts w:ascii="Times New Roman;sans-serif" w:hAnsi="Times New Roman;sans-serif"/>
          <w:b w:val="false"/>
          <w:color w:val="000000"/>
          <w:sz w:val="24"/>
          <w:u w:val="single"/>
        </w:rPr>
        <w:t>2023 Service LTIP Award</w:t>
      </w:r>
      <w:r>
        <w:rPr>
          <w:color w:val="000000"/>
        </w:rPr>
        <w:t>”</w:t>
      </w:r>
      <w:r>
        <w:rPr>
          <w:rFonts w:ascii="Times New Roman;sans-serif" w:hAnsi="Times New Roman;sans-serif"/>
          <w:b w:val="false"/>
          <w:color w:val="000000"/>
          <w:sz w:val="24"/>
        </w:rPr>
        <w:t>), for purposes of determining its vested status only, shall be deemed to have remained in the service of the Companies through the vesting date immediately following the Separation Date and shall receive settlement of such award within thirty (30) days immediately following the Separation Date in the number of common shares that he would have otherwise been entitled to on such vesting date; and (iv) the STIP Award and 2023 Performance LTIP Award shall be paid or otherwise settled in accordance with their existing terms. For purposes of clarity, the Parties acknowledge that the unvested portions of the RSU awards granted to Employee on February 17, 2021 and March 2, 2022 and the unvested portions of the 2023 Service- LITP Award (other than as provided in clause (iii) above), as determined as of the Separation Date, shall be forfeited and cancelled without payment on the Separation Date or otherwise in accordance with their terms.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Expense Reimbursement</w:t>
      </w:r>
      <w:r>
        <w:rPr>
          <w:rFonts w:ascii="Times New Roman;sans-serif" w:hAnsi="Times New Roman;sans-serif"/>
          <w:b w:val="false"/>
          <w:color w:val="000000"/>
          <w:sz w:val="24"/>
        </w:rPr>
        <w:t>. Within fourteen (14) calendar days of the later of the Company’s receipt of this Agreement executed by Employee and the expiration of the period within which Employee may revoke Employee’s acceptance of this Agreement as explained below (and provided Employee has not exercised such right of revocation), the Company shall pay one hundred, ten thousand dollars and zero cents ($110,000.00) (the “</w:t>
      </w:r>
      <w:r>
        <w:rPr>
          <w:rFonts w:ascii="Times New Roman;sans-serif" w:hAnsi="Times New Roman;sans-serif"/>
          <w:b w:val="false"/>
          <w:color w:val="000000"/>
          <w:sz w:val="24"/>
          <w:u w:val="single"/>
        </w:rPr>
        <w:t>Expense Payment</w:t>
      </w:r>
      <w:r>
        <w:rPr>
          <w:color w:val="000000"/>
        </w:rPr>
        <w:t>”</w:t>
      </w:r>
      <w:r>
        <w:rPr>
          <w:rFonts w:ascii="Times New Roman;sans-serif" w:hAnsi="Times New Roman;sans-serif"/>
          <w:b w:val="false"/>
          <w:color w:val="000000"/>
          <w:sz w:val="24"/>
        </w:rPr>
        <w:t>) to Employee or one or more third parties designated by Employee in writing. This payment is for certain reimbursable expenses incurred by Employee as agreed-upon by the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color w:val="000000"/>
        </w:rPr>
        <w:t xml:space="preserve"> </w:t>
      </w:r>
      <w:r>
        <w:rPr>
          <w:rFonts w:ascii="Times New Roman;sans-serif" w:hAnsi="Times New Roman;sans-serif"/>
          <w:b w:val="false"/>
          <w:color w:val="000000"/>
          <w:sz w:val="24"/>
          <w:u w:val="single"/>
        </w:rPr>
        <w:t>Material Breach(es) of Agreement.</w:t>
      </w:r>
      <w:r>
        <w:rPr>
          <w:color w:val="000000"/>
        </w:rPr>
        <w:t xml:space="preserve"> </w:t>
      </w:r>
      <w:r>
        <w:rPr>
          <w:rFonts w:ascii="Times New Roman;sans-serif" w:hAnsi="Times New Roman;sans-serif"/>
          <w:b w:val="false"/>
          <w:color w:val="000000"/>
          <w:sz w:val="24"/>
        </w:rPr>
        <w:t>If a court of competent jurisdiction concludes that a party to this Agreement has materially violated any material term of this Agreement, the non-breaching party may seek all damages (monetary and/or non-monetary) under applicable law. These damages may include, but are not limited to, attempting to recover from Employee (but not any third party) the Expense Payment provided in Section 4 of this Agreement. The “prevailing party” in any lawsuit filed under this Section 5 and/or to otherwise enforce this Agreement shall be entitled to recover his/its reasonable legal fees.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Medical and Welfare Benefit Continuation</w:t>
      </w:r>
      <w:r>
        <w:rPr>
          <w:rFonts w:ascii="Times New Roman;sans-serif" w:hAnsi="Times New Roman;sans-serif"/>
          <w:b w:val="false"/>
          <w:color w:val="000000"/>
          <w:sz w:val="24"/>
        </w:rPr>
        <w:t>. Employee will receive a notice under separate cover regarding the terms of continued insurance coverage under the Consolidated Omnibus Budget Reconciliation Act or applicable state law (the “</w:t>
      </w:r>
      <w:r>
        <w:rPr>
          <w:rFonts w:ascii="Times New Roman;sans-serif" w:hAnsi="Times New Roman;sans-serif"/>
          <w:b w:val="false"/>
          <w:color w:val="000000"/>
          <w:sz w:val="24"/>
          <w:u w:val="single"/>
        </w:rPr>
        <w:t>COBRA Notice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Waiver and Release of the Companies</w:t>
      </w:r>
      <w:r>
        <w:rPr>
          <w:rFonts w:ascii="Times New Roman;sans-serif" w:hAnsi="Times New Roman;sans-serif"/>
          <w:b w:val="false"/>
          <w:color w:val="000000"/>
          <w:sz w:val="24"/>
        </w:rPr>
        <w:t>. For valuable consideration from the Companies, receipt of which is hereby acknowledged, Employee waives, releases, and forever discharges the Companies and their current and former parents, subsidiaries, affiliates, divisions, shareholders, owners, members, officers, directors, attorneys, agents, employees, insurers, successors, and assigns, and the Companies’ parents’, subsidiaries’, and affiliates’ divisions, shareholders, owners, members, officers, directors, attorneys, agents, employees, insurers, successors, and assigns (collectively referred to as the “</w:t>
      </w:r>
      <w:r>
        <w:rPr>
          <w:rFonts w:ascii="Times New Roman;sans-serif" w:hAnsi="Times New Roman;sans-serif"/>
          <w:b w:val="false"/>
          <w:color w:val="000000"/>
          <w:sz w:val="24"/>
          <w:u w:val="single"/>
        </w:rPr>
        <w:t>Company Releasees</w:t>
      </w:r>
      <w:r>
        <w:rPr>
          <w:color w:val="000000"/>
        </w:rPr>
        <w:t>”</w:t>
      </w:r>
      <w:r>
        <w:rPr>
          <w:rFonts w:ascii="Times New Roman;sans-serif" w:hAnsi="Times New Roman;sans-serif"/>
          <w:b w:val="false"/>
          <w:color w:val="000000"/>
          <w:sz w:val="24"/>
        </w:rPr>
        <w:t>) from any and all rights, causes of action, claims or demands, whether express or implied, known or unknown, that arise on or before the date that Employee executes this Agreement, which Employee has or may have</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against the Company and/or the Company Releasees relating in any way to Employee’s employment with the Companies or any Company Releasees, including, without limitation, all claims relating to the Employment Agreement (including, without limitation, any claim for severance or any other benefits that would have been due to him under the Employment Agreement if he had resigned for Good Reason or had been terminated by the Companies without Cause) and any rights, causes of action, claims, or demands relating to or arising out of the following: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(a)anti-discrimination, anti-harassment, and anti-retaliation laws, such as the Age Discrimination in Employment Act, the Older Workers Benefit Protection Act, and Executive Order 11141, which prohibit employment discrimination based on age; Title VII of the Civil Rights Act of 1964, the Civil Rights Act of 1866 (42 U.S.C. §1981), the Equal Pay Act, and Executive Order 11246, which prohibit discrimination based on race, color, national origin, religion, or sex (including sexual harassment or sexual abuse); the Genetic Information Nondiscrimination Act, which prohibits discrimination on the basis of genetic information; the Americans with Disabilities Act and §§503 and 504 of the Rehabilitation Act of 1973, which prohibit discrimination based on disability; and any other federal, state, or local laws prohibiting employment discrimination, harassment, and/or retaliation;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(b)other employment laws, such as the Worker Adjustment and Retraining Notification Act, which requires that advance notice be given of certain workforce reductions; the Employee Retirement Income Security Act of 1974, which, among other things, protects employee benefits; the Family and Medical Leave Act, which requires employers to provide leaves of absence under certain circumstances; federal, state, and local laws which regulate wage and hour matters, including all forms of compensation, vacation pay, sick pay, compensatory time, overtime, commissions, bonuses, other incentive compensation, wage statements, scheduling, meal periods, and rest periods; federal, state, and local family, medical, and military leave laws, which require employers to provide leaves of absence and reinstatement under certain circumstances; the Sarbanes Oxley Act; and any other federal, state, or local laws relating to employment which—to the extent Employee performed work for the Company in New Jersey—would include, without limitation, the New Jersey Conscientious Employee Protection Act;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(c)tort, contract, and quasi-contract claims, such as claims for wrongful discharge, physical or personal injury, sexual harassment or sexual abuse, intentional or negligent infliction of emotional distress, fraud, fraud in the inducement, negligent misrepresentation, defamation, invasion of privacy, tortious interference with contract or with prospective economic advantage, breach of express or implied contract, unjust enrichment, promissory estoppel, breach of covenants of good faith and fair dealing, negligent hiring, negligent supervision, negligent retention, and similar or related claims; and</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(d)all remedies of any type, including, without limitation, damages and injunctive relief, in any action that may be brought on Employee’s behalf against the Company and/or the Company Releasees by any government agency or other entity or person.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Employee understands that Employee is releasing claims about which Employee may not know anything at the time Employee executes this Agreement. Employee acknowledges that it is Employee’s intent to release such unknown claims, even though Employee recognizes that someday Employee might learn new facts relating to Employee’s employment or learn that some or all of the facts Employee currently believes to be true are untrue, and even though Employee might then regret having signed this Agreement. Nevertheless, Employee acknowledges Employee’s awareness of that risk and agrees that this Agreement shall remain effective in all respects in any such case. Employee expressly waives all rights Employee might have under any laws intended to protect Employee from waiving unknown claims.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Excluded Claims</w:t>
      </w:r>
      <w:r>
        <w:rPr>
          <w:rFonts w:ascii="Times New Roman;sans-serif" w:hAnsi="Times New Roman;sans-serif"/>
          <w:b w:val="false"/>
          <w:color w:val="000000"/>
          <w:sz w:val="24"/>
        </w:rPr>
        <w:t>. Notwithstanding anything to the contrary in this Agreement, the waiver and release contained in this Agreement shall exclude awards to Employee from or by a government agency for providing information, as well as any rights or claims that (a) may arise after the date on which Employee executes this Agreement; or (b) cannot be released under applicable law, such as unemployment insurance and worker’s compensation claims (excluding claims under any worker’s compensation law for discriminatory/retaliatory termination, which are included in the release). In addition, the Parties agree that this Agreement shall not adversely affect, alter, or extinguish any vested right that Employee may have with respect to any pension or other retirement benefits to which Employee is or will be entitled by virtue of Employee’s employment with the Companies, and nothing in this Agreement shall prohibit Employee from enforcing such rights. Moreover, nothing in this Agreement shall preclude Employee from challenging in good faith the validity of this Agreement, nor does it impose any conditions precedent, penalties, or costs for doing so, unless specifically authorized by applicable law. Nothing in this Agreement prevents Employee from filing a charge for discrimination with, cooperating with, or participating in any investigation or proceeding before, the Equal Employment Opportunity Commission or any other applicable state fair employment practices agency, but Employee waives any rights or claims to any remedial relief in connection with any such charge, investigation, or proceeding (including any payment, benefit, or attorneys’ fees).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Other Claims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(a)No Claims Have Been Filed. Except to the extent previously disclosed by Employee in writing to the Companies or expressly described in this Agreement, Employee represents and warrants that Employee has filed no claims, lawsuits, charges, grievances, or causes of action of any kind against the Company and/or any of the Company Releasees.</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(b)No Compensation/Leave Claims. Except to the extent previously disclosed by Employee in writing to the Companies or expressly described in this Agreement, Employee represents and warrants that, to the best of Employee’s knowledge (i) Employee possesses no claims for violation of federal, state, or local laws that govern compensation, work hours, paid or unpaid leaves of absence, or other benefits, including, without limitation, vacation pay, sick pay, compensatory time, overtime, commissions, bonuses, other incentive compensation, family/medical/military leave, wage statements, scheduling, meal periods, or rest periods, (ii) Employee has received all compensation (including, without limitation, any overtime compensation, bonuses, and commissions), meal periods, rest periods, and paid and unpaid leave to which Employee may have been entitled (excluding Employee’s base compensation pay for Employee’s final payroll period, to the extent Employee signs this Agreement prior to the final payday covering such final payroll period), and (iii) Employee has not suffered any work-related injury or illness within the twelve (12) months preceding Employee’s execution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(c)No Sexual Harassment or Sexual Abuse Claims. This Agreement has been offered to Employee based on the Company’s understanding that Employee has not suffered any sexual harassment or sexual abuse in connection with Employee’s employment by the Companies or services rendered in connection with the Companies, including by any owner, director, officer, partner, manager, employee, agent, client, potential client, customer, potential customer, vendor, or supplier of the Companies.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(d)Providing Information to the Company. If any of the representations in Subsections (a), (b) or (c) of this Section 9 is incomplete or incorrect, then Employee must promptly provide to the Company contact identified on the cover page of this Agreement (the “</w:t>
      </w:r>
      <w:r>
        <w:rPr>
          <w:rFonts w:ascii="Times New Roman;sans-serif" w:hAnsi="Times New Roman;sans-serif"/>
          <w:b w:val="false"/>
          <w:color w:val="000000"/>
          <w:sz w:val="24"/>
          <w:u w:val="single"/>
        </w:rPr>
        <w:t>Company Contact</w:t>
      </w:r>
      <w:r>
        <w:rPr>
          <w:color w:val="000000"/>
        </w:rPr>
        <w:t>”</w:t>
      </w:r>
      <w:r>
        <w:rPr>
          <w:rFonts w:ascii="Times New Roman;sans-serif" w:hAnsi="Times New Roman;sans-serif"/>
          <w:b w:val="false"/>
          <w:color w:val="000000"/>
          <w:sz w:val="24"/>
        </w:rPr>
        <w:t>) a written statement completing and/or correcting (as the case may be) the representation(s) at issue (the “</w:t>
      </w:r>
      <w:r>
        <w:rPr>
          <w:rFonts w:ascii="Times New Roman;sans-serif" w:hAnsi="Times New Roman;sans-serif"/>
          <w:b w:val="false"/>
          <w:color w:val="000000"/>
          <w:sz w:val="24"/>
          <w:u w:val="single"/>
        </w:rPr>
        <w:t>Correcting Statement</w:t>
      </w:r>
      <w:r>
        <w:rPr>
          <w:color w:val="000000"/>
        </w:rPr>
        <w:t>”</w:t>
      </w:r>
      <w:r>
        <w:rPr>
          <w:rFonts w:ascii="Times New Roman;sans-serif" w:hAnsi="Times New Roman;sans-serif"/>
          <w:b w:val="false"/>
          <w:color w:val="000000"/>
          <w:sz w:val="24"/>
        </w:rPr>
        <w:t xml:space="preserve">), which Correcting Statement must be delivered at least (3) business days before Employee executes this Agreement and tenders it to the Company Contact. The disclosure of such information will not adversely affect the terms of this Agreement, nor will it extend the time periods described in the “Review and Revocation Periods” Section below absent written notice to Employee of any such extension. Notwithstanding the foregoing, the Companies reserve the right to revise this Agreement to address the issues raised in any Correcting Statement submitted by Employee in order to provide the Company and the Company Releasees with the broadest release of claims and maximum rights and protections available under applicable law. Under such circumstances, the revised Agreement shall not become effective unless and until authorized representatives of the Companies execute the revised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Waiver and Release of Employee</w:t>
      </w:r>
      <w:r>
        <w:rPr>
          <w:rFonts w:ascii="Times New Roman;sans-serif" w:hAnsi="Times New Roman;sans-serif"/>
          <w:b w:val="false"/>
          <w:color w:val="000000"/>
          <w:sz w:val="24"/>
        </w:rPr>
        <w:t>. For valuable consideration from Employee, the receipt of which is hereby acknowledged, the Companies (for themselves and their current and former parents, subsidiaries, divisions, affiliates, successors, assigns, and anyone else claiming by or through it) waive, release, and forever discharge Employee and his heirs, personal representatives, successors, attorneys, agents and representatives (“</w:t>
      </w:r>
      <w:r>
        <w:rPr>
          <w:rFonts w:ascii="Times New Roman;sans-serif" w:hAnsi="Times New Roman;sans-serif"/>
          <w:b w:val="false"/>
          <w:color w:val="000000"/>
          <w:sz w:val="24"/>
          <w:u w:val="single"/>
        </w:rPr>
        <w:t>Employee Releasees</w:t>
      </w:r>
      <w:r>
        <w:rPr>
          <w:color w:val="000000"/>
        </w:rPr>
        <w:t>”</w:t>
      </w:r>
      <w:r>
        <w:rPr>
          <w:rFonts w:ascii="Times New Roman;sans-serif" w:hAnsi="Times New Roman;sans-serif"/>
          <w:b w:val="false"/>
          <w:color w:val="000000"/>
          <w:sz w:val="24"/>
        </w:rPr>
        <w:t xml:space="preserve">) from any and all rights, causes of action, claims or demands, whether express or implied, known or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unknown, that arise on or before the date that the Companies execute this Agreement, which the Companies have or may have against Employee or the Employee Releasees; provided, however, notwithstanding the foregoing or any other term of this Agreement, such release shall not apply to (and no claim shall be waived) in respect of (a) any claim that may arise after the date on which the authorized Company representatives execute this Agreement, (b) any claim for recovery of any amount payable under the Compensatory Awards, or (c) any claim, matter, or circumstance which is subject to coverage pursuant to any policy of insurance maintained by, for the benefit of, or is paid or payable to Employee or the Companies, to the extent of such coverage.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Companies understand that they are releasing claims about which the Companies may not know anything at the time the Companies execute this Agreement. The Companies acknowledge that it is their intent to release such unknown claims, even though the Companies recognize that someday the Companies might learn new facts relating to Employee’s employment or learn that some or all of the facts the Companies currently believe to be true are untrue, and even though the Companies might then regret having signed this Agreement. Nevertheless, the Companies acknowledge their awareness of that risk and agree that this Agreement shall remain effective in all respects in any such case. The Companies expressly waive all rights the Companies might have under any laws intended to protect the Companies from waiving unknown claims.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Duty to Cooperate</w:t>
      </w:r>
      <w:r>
        <w:rPr>
          <w:rFonts w:ascii="Times New Roman;sans-serif" w:hAnsi="Times New Roman;sans-serif"/>
          <w:b w:val="false"/>
          <w:color w:val="000000"/>
          <w:sz w:val="24"/>
        </w:rPr>
        <w:t>. Employee agrees that Employee will remain reasonably available to the Company and the Affiliates as needed to assist in the smooth transition of Employee’s duties to one or more other employees of the Company and the Affiliates and without additional compensation to Employee. In addition, upon the receipt of reasonable notice from the Company or the Affiliates (including outside counsel), Employee agrees Employee will reasonably respond and provide information with regard to matters in which Employee has knowledge as a result of the Employee’s employment with the Companies or any of the Affiliates, and will provide reasonable assistance to the Company, the Affiliates, and their respective representatives in defense of all claims that may be made against the Company or any of the Affiliates, and will reasonably assist the Company and the Affiliates in the prosecution of all claims that may be made by the Company or any of the Affiliates, to the extent that such claims may relate to the period of the Employee’s employment with the Companies or any of the Affiliates. Employee agrees to promptly inform the Company if Employee becomes aware of any lawsuit involving such claims that may be filed or threatened against the Company or any of the Affiliates. Employee also agrees to promptly inform the Company (to the extent that the Employee is legally permitted to do so) if Employee is asked to assist in any investigation of the Company or any of the Affiliates (or their actions), regardless of whether a lawsuit or other proceeding has then been filed against the Company or any of the Affiliates with respect to such investigation, and shall not do so unless legally required. Upon presentation of appropriate documentation, the Company shall pay or reimburse the Employee for all reasonable out-of-pocket travel, duplicating, or telephonic expenses incurred by the Employee in complying with this Section 11. It is expressly understood and agreed by the Parties that nothing herein shall preclude or discourage Employee from giving truthful testimony in any trial or hearing, whether such testimony is helpful or harmful to the Company or any of the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Subject to the exceptions in Section 16 below, Employee will refrain from making disparaging remarks, orally, in writing, or by any other means, including, without limitation, on or through any kind of Internet social media sites (such as Twitter, Facebook, Instagram, LinkedIn, and Glassdoor), blogs, or any other kind of electronic communication, about the Company or any of the Company Releasees, including, without limitation, disparaging details regarding any claim that Employee is releasing under this Agreement. The Company will provide, in response to any request to the Human Resources Department for an employment reference or verification, only Employee’s dates of employment and positions held. The Company also will instruct its C-Suite executives to refrain from making disparaging remarks, orally, in writing, or by any other means, about Employee to any third party. The Parties acknowledge that it is their respective preference that this Agreement includes non-disparagement provisions and that such provisions are mutually beneficial to both Employee and the Companies/the Affiliates.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Confidentiality of the Separation Negotiations</w:t>
      </w:r>
      <w:r>
        <w:rPr>
          <w:rFonts w:ascii="Times New Roman;sans-serif" w:hAnsi="Times New Roman;sans-serif"/>
          <w:b w:val="false"/>
          <w:color w:val="000000"/>
          <w:sz w:val="24"/>
        </w:rPr>
        <w:t>. Subject to the exceptions in Section 16 below, Employee agrees that going forward, Employee will keep confidential the terms and substance of the negotiations leading up to this Agreement (the “</w:t>
      </w:r>
      <w:r>
        <w:rPr>
          <w:rFonts w:ascii="Times New Roman;sans-serif" w:hAnsi="Times New Roman;sans-serif"/>
          <w:b w:val="false"/>
          <w:color w:val="000000"/>
          <w:sz w:val="24"/>
          <w:u w:val="single"/>
        </w:rPr>
        <w:t>Separation Negotiations</w:t>
      </w:r>
      <w:r>
        <w:rPr>
          <w:color w:val="000000"/>
        </w:rPr>
        <w:t>”</w:t>
      </w:r>
      <w:r>
        <w:rPr>
          <w:rFonts w:ascii="Times New Roman;sans-serif" w:hAnsi="Times New Roman;sans-serif"/>
          <w:b w:val="false"/>
          <w:color w:val="000000"/>
          <w:sz w:val="24"/>
        </w:rPr>
        <w:t>), and any factual information concerning any claim by Employee involving discrimination or retaliation in violation of any laws that Employee disclosed to the Company, the Affiliates, or their agents in connection with the Separation Negotiations (the “</w:t>
      </w:r>
      <w:r>
        <w:rPr>
          <w:rFonts w:ascii="Times New Roman;sans-serif" w:hAnsi="Times New Roman;sans-serif"/>
          <w:b w:val="false"/>
          <w:color w:val="000000"/>
          <w:sz w:val="24"/>
          <w:u w:val="single"/>
        </w:rPr>
        <w:t>Disclosed Facts</w:t>
      </w:r>
      <w:r>
        <w:rPr>
          <w:color w:val="000000"/>
        </w:rPr>
        <w:t>”</w:t>
      </w:r>
      <w:r>
        <w:rPr>
          <w:rFonts w:ascii="Times New Roman;sans-serif" w:hAnsi="Times New Roman;sans-serif"/>
          <w:b w:val="false"/>
          <w:color w:val="000000"/>
          <w:sz w:val="24"/>
        </w:rPr>
        <w:t>). Employee agrees not to disclose such information to anyone outside of the above-described groups other than members of Employee’s immediate family and/or Employee’s financial advisors. If Employee advises any member of Employee’s immediate family and/or any of Employee’s financial advisors about the Separation Negotiations, or any of the Disclosed Facts, Employee agrees to advise that person of the confidentiality of the same and to instruct that person not to disclose such information to anyone; provided, however, that Employee will not otherwise be responsible for third-parties’ actions concerning same. If Employee is asked about such information, Employee agrees to limit any response to, “The matter has been settled and that is all that I can say about it,” or similar words to that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Capitalized terms used herein but not otherwise defined shall have their respective meanings set forth in the Employment Agreement. The following capitalized terms when used herein shall have their respective meaning set forth below.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u w:val="single"/>
        </w:rPr>
        <w:t>Active Tenure</w:t>
      </w:r>
      <w:r>
        <w:rPr>
          <w:color w:val="000000"/>
        </w:rPr>
        <w:t xml:space="preserve">” </w:t>
      </w:r>
      <w:r>
        <w:rPr>
          <w:rFonts w:ascii="Times New Roman;sans-serif" w:hAnsi="Times New Roman;sans-serif"/>
          <w:b w:val="false"/>
          <w:color w:val="000000"/>
          <w:sz w:val="24"/>
        </w:rPr>
        <w:t>means the time period that began upon the commencement of Employee’s employment with the Company (or any predecessor or any of the Affiliates) and ending on the Separation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Affiliates</w:t>
      </w:r>
      <w:r>
        <w:rPr>
          <w:color w:val="000000"/>
        </w:rPr>
        <w:t xml:space="preserve">” </w:t>
      </w:r>
      <w:r>
        <w:rPr>
          <w:rFonts w:ascii="Times New Roman;sans-serif" w:hAnsi="Times New Roman;sans-serif"/>
          <w:b w:val="false"/>
          <w:color w:val="000000"/>
          <w:sz w:val="24"/>
        </w:rPr>
        <w:t>means FLFCC, SIC, FLIMC, FLNIC, and any and all entities directly or indirectly controlling or controlled by or under direct or indirect common control with the Company (including its respective members, shareholders, officers, directors and employees). For this purpose, “control” means the power to direct the management and policies of a person through the ownership of securities, by contract or otherwise and the terms “controlling” and “controlled” have meanings correlative to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shall include, but is not limited to, all confidential information of the Company and its Affiliates, regardless of the form or medium in which was created, stored, reflected, or preserved (including in Employee’s memory), and includes trade secret information and all confidential information relating to or reflecting the Company’s or any of the Affiliates’ research and development plans and activities; compilations of data; product plans; sales, marketing, and business plans and strategies; pricing, price lists, pricing methodologies, and profit margins; personnel; inventions, concepts, ideas, designs, and formulae; current, past, and prospective customer lists; current, past, and anticipated customer and prospective customer needs, preferences, and requirements; market studies; computer software and programs (including object code and source code); and computer and database technologies, systems, structures, and architectures. Employee understands that Confidential Information may or may not be labeled as “confidential.”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Restrictions and Obligations Relating to Confidential Information, Other Company Property, and Employee’s Personal Electronic Equipment and Accounts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(a)All Confidential Information is the property of the Company, and Employee shall use Employee’s best efforts to protect the Confidential Information. Employee shall not, directly or indirectly, use or disclose any Confidential Information.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(b)Each of Employee’s obligations in this Section 15 shall also apply to all confidential, trade secret, and proprietary information learned or acquired by Employee, as a result of Employee’s employment with the Companies or any of the Affiliates, from or about others with whom the Company or any of the Affiliates has, had, or contemplated having a business relationship.</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(c)Employee’s obligations under this Section 15 shall continue after the Separation Date; provided, however, that Employee’s post-employment obligations not to use or disclose Confidential Information shall not apply if and to the extent Employee demonstrates that: (i) the same information was in Employee’s possession prior to the commencement of the Active Tenure; (ii) the same information is or becomes generally available to the public and such public availability is not the result, directly or indirectly, of any fault of, or improper taking, use, re-creating (e.g., through memory), or disclosure by, Employee or anyone working in concert or participation with Employee; or (iii) Employee obtains the information properly, from a source that was free to disclose it, and under circumstances such that Employee neither knew nor had reason to know that such information had been acquired, used, or disclosed improperly. In addition, nothing herein shall prohibit Employee from assisting the Company or any of the Affiliates after the Separation Date in response to a request for such assistance by an authorized representative of the Company or any of the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(d)Employee agrees to notify the Company promptly of any intended or unintended, unauthorized disclosure or use of any Confidential Information by Employee or any other person or entity of which Employee becomes aware. Employee further agrees to assist and cooperate with the Company and the Affiliates in their efforts to protect the Company’s and the Affiliates’ rights in and to the Confidential Information.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(e)If Employee becomes legally compelled (including by deposition, interrogatory, request for documents, subpoena, civil investigative, demand, or similar process) to disclose any of the Confidential Information, Employee will provide the Company with prompt written notice as soon as practicable, but in no event fewer than thirty (30) days’ notice (if possible) prior to such disclosure so that the Company (or any of the Affiliates, as applicable) may seek a protective order or other appropriate remedy and/or waive compliance with the terms of this Agreement. If such a protective order or other remedy is not obtained, or if the Company (or any of the Affiliates, as applicable) waives compliance with the provisions hereof, Employee agrees to disclose only that portion of the Confidential Information that he/she is legally required to disclose.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Right to Communicate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(a)Employee Right to Communicate. Notwithstanding any provision of this Agreement or any other agreement executed by Employee to the contrary, there shall be no restriction on Employee’s ability to (i) speak with law enforcement, the United States Equal Employment Opportunity Commission, any state or local agency charged with the investigation or enforcement of equal employment opportunity, or an attorney retained by Employee; (ii) report violations of any law or regulation to, or initiate, testify, assist, comply with a subpoena from, or participate in any manner with an investigation conducted by, a local, state, or federal agency; (iii) testify in an administrative, legislative, or judicial proceeding concerning alleged criminal conduct or alleged sexual harassment on the part of any of the Company Releasees or any agent or employee of the Company or any of the Company Releasees, when Employee has been required or requested to attend the proceeding pursuant to a court order, subpoena, or written request from an administrative agency or the legislature, or otherwise provide truthful testimony or information pursuant to subpoena, court order, or similar legal process; (iv) otherwise engage in whistleblower activity protected by the Securities Exchange Act of 1934, the Dodd-Frank Wall Street Reform and Consumer Protection Act, or any rules or regulations issued thereunder, including, without limitation, Rule 21F-17; (v) file or disclose any facts necessary to receive unemployment insurance, Medicaid, or other public benefits to which Employee is entitled; or (vi) respond to inquiries from James River Group Holdings, Ltd. Chief Executive Officer or Board of Directors regarding matters which relate to events that occurred during Executive’s employment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(b)Trade Secrets. In addition, 18 U.S.C. §1833(b) provides,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any other agreement executed by Employee, or any policy of the Company of any of the Affiliates is intended to conflict with this statutory protection.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Waiver of Future Employment with the Companies</w:t>
      </w:r>
      <w:r>
        <w:rPr>
          <w:rFonts w:ascii="Times New Roman;sans-serif" w:hAnsi="Times New Roman;sans-serif"/>
          <w:b w:val="false"/>
          <w:color w:val="000000"/>
          <w:sz w:val="24"/>
        </w:rPr>
        <w:t>. Employee agrees not to apply for employment, or seek reinstatement, with the Company or any of its Affiliates (“</w:t>
      </w:r>
      <w:r>
        <w:rPr>
          <w:rFonts w:ascii="Times New Roman;sans-serif" w:hAnsi="Times New Roman;sans-serif"/>
          <w:b w:val="false"/>
          <w:color w:val="000000"/>
          <w:sz w:val="24"/>
          <w:u w:val="single"/>
        </w:rPr>
        <w:t>Restricted Employer(s)</w:t>
      </w:r>
      <w:r>
        <w:rPr>
          <w:color w:val="000000"/>
        </w:rPr>
        <w:t>”</w:t>
      </w:r>
      <w:r>
        <w:rPr>
          <w:rFonts w:ascii="Times New Roman;sans-serif" w:hAnsi="Times New Roman;sans-serif"/>
          <w:b w:val="false"/>
          <w:color w:val="000000"/>
          <w:sz w:val="24"/>
        </w:rPr>
        <w:t>), and further agrees that the Company (and Restricted Employers) has no obligation to hire or rehire Employee at any time in the future. Employee forever releases, waives, and relinquishes any right or claim to be hired by, or to reinstatement with, the Company (or any Restricted Employer). Employee agrees that this Agreement is a lawful, non-discriminatory, and non-retaliatory basis upon which the Company (or any Restricted Employer) may refuse to hire or rehire Employee.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Consideration</w:t>
      </w:r>
      <w:r>
        <w:rPr>
          <w:rFonts w:ascii="Times New Roman;sans-serif" w:hAnsi="Times New Roman;sans-serif"/>
          <w:b w:val="false"/>
          <w:color w:val="000000"/>
          <w:sz w:val="24"/>
        </w:rPr>
        <w:t>. The Parties acknowledge they are providing one another with consideration that otherwise may not be entitled to each Party absent signing this Agreement. Irrespective of whether the Parties fully-execute this Agreement, Employee will be paid all compensation earned through the Separation Date and will retain any rights Employee may otherwise have to medical, dental, and vision benefits continuation coverage pursuant to applicable law (which rights will be explained in greater detail in the COBRA Notice).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Non-Admission of Liability</w:t>
      </w:r>
      <w:r>
        <w:rPr>
          <w:rFonts w:ascii="Times New Roman;sans-serif" w:hAnsi="Times New Roman;sans-serif"/>
          <w:b w:val="false"/>
          <w:color w:val="000000"/>
          <w:sz w:val="24"/>
        </w:rPr>
        <w:t>. The Parties agree that nothing contained in this Agreement is to be construed as an admission of liability, fault, or improper action on the part of either of the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Return of Company Property</w:t>
      </w:r>
      <w:r>
        <w:rPr>
          <w:rFonts w:ascii="Times New Roman;sans-serif" w:hAnsi="Times New Roman;sans-serif"/>
          <w:b w:val="false"/>
          <w:color w:val="000000"/>
          <w:sz w:val="24"/>
        </w:rPr>
        <w:t>. Employee represents that Employee has returned all property of the Company and the Affiliates, including, without limitation, (a) all Company computers, smartphones, cell phones, pagers, tablets, and any other electronic communication and/or memory devices of the Company or any of the Affiliates (the “</w:t>
      </w:r>
      <w:r>
        <w:rPr>
          <w:rFonts w:ascii="Times New Roman;sans-serif" w:hAnsi="Times New Roman;sans-serif"/>
          <w:b w:val="false"/>
          <w:color w:val="000000"/>
          <w:sz w:val="24"/>
          <w:u w:val="single"/>
        </w:rPr>
        <w:t>Company Devices</w:t>
      </w:r>
      <w:r>
        <w:rPr>
          <w:color w:val="000000"/>
        </w:rPr>
        <w:t>”</w:t>
      </w:r>
      <w:r>
        <w:rPr>
          <w:rFonts w:ascii="Times New Roman;sans-serif" w:hAnsi="Times New Roman;sans-serif"/>
          <w:b w:val="false"/>
          <w:color w:val="000000"/>
          <w:sz w:val="24"/>
        </w:rPr>
        <w:t xml:space="preserve">), and (b) all other equipment, tools, keys, and key cards of the Company and any of the Affiliates. Employee warrants that Employee has not altered, transferred, deleted, or destroyed (as applicable) any Confidential Information or Company Devices prior to delivering the same to the Company. If Employee cannot make the warranty set forth in the immediately preceding sentence, Employee has attached a document to this Agreement describing in reasonable detail why Employee cannot do so, in which case Employee agrees to cooperate with the Company and the Affiliates in its rectification efforts. To the extent any Confidential Information is stored on any device or in any medium over which Employee has control, including, without limitation, in any personal cloud-based storage system or on any personal computer, personal data assistant, personal smartphones, personal cell phones, personal pagers, personal tablets, or any other personal electronic communication and/or memory device, Employee has attached a document to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advising the Company of that fact in reasonable detail. Upon request, Employee agrees to cooperate with the Company and the Affiliates to allow them to locate, extract, and/or delete such Confidential Information, including providing them with any login or access credentials needed for this purpose.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Consultation with Legal Counsel</w:t>
      </w:r>
      <w:r>
        <w:rPr>
          <w:rFonts w:ascii="Times New Roman;sans-serif" w:hAnsi="Times New Roman;sans-serif"/>
          <w:b w:val="false"/>
          <w:color w:val="000000"/>
          <w:sz w:val="24"/>
        </w:rPr>
        <w:t>. The Companies hereby advise Employee to consult with an attorney prior to signing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Review and Revocation Periods</w:t>
      </w:r>
      <w:r>
        <w:rPr>
          <w:rFonts w:ascii="Times New Roman;sans-serif" w:hAnsi="Times New Roman;sans-serif"/>
          <w:b w:val="false"/>
          <w:color w:val="000000"/>
          <w:sz w:val="24"/>
        </w:rPr>
        <w:t>. Employee acknowledges that Employee has been given at least twenty-one (21) days to consider this Agreement from the date that it was first tendered to Employee. Employee agrees that changes in the terms of any version(s) of this Agreement, whether material or immaterial, do not restart the running of the twenty-one (21)-day consideration period. Employee may accept the Agreement by executing this Agreement within the designated time period. Employee shall have seven (7) days from the date that Employee executes the Agreement to revoke Employee’s acceptance of the Agreement by delivering written notice of revocation within the seven (7)-day period to the following Company Contact:</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Angie Burnett, SPHR</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SVP, Chief Human Resources &amp; Operations Officer</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James River Group, Inc.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(804) 289-2723</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angie.burnett@james-river-group.com</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Employee does not revoke acceptance, this Agreement will become effective and irrevocable by Employee on the eighth day after Employee has executed it.</w:t>
      </w:r>
    </w:p>
    <w:p>
      <w:pPr>
        <w:pStyle w:val="TextBody"/>
        <w:bidi w:val="0"/>
        <w:spacing w:lineRule="auto" w:line="288" w:before="0" w:after="240"/>
        <w:jc w:val="both"/>
        <w:rPr/>
      </w:pPr>
      <w:r>
        <w:rPr>
          <w:rFonts w:ascii="Times New Roman;sans-serif" w:hAnsi="Times New Roman;sans-serif"/>
          <w:b w:val="false"/>
          <w:color w:val="000000"/>
          <w:sz w:val="24"/>
        </w:rPr>
        <w:t>For the avoidance of doubt, if Employee elects not to execute this Agreement and return it to the Company by December 26, 2023 (the “</w:t>
      </w:r>
      <w:r>
        <w:rPr>
          <w:rFonts w:ascii="Times New Roman;sans-serif" w:hAnsi="Times New Roman;sans-serif"/>
          <w:b w:val="false"/>
          <w:color w:val="000000"/>
          <w:sz w:val="24"/>
          <w:u w:val="single"/>
        </w:rPr>
        <w:t>Expiration Date</w:t>
      </w:r>
      <w:r>
        <w:rPr>
          <w:color w:val="000000"/>
        </w:rPr>
        <w:t>”</w:t>
      </w:r>
      <w:r>
        <w:rPr>
          <w:rFonts w:ascii="Times New Roman;sans-serif" w:hAnsi="Times New Roman;sans-serif"/>
          <w:b w:val="false"/>
          <w:color w:val="000000"/>
          <w:sz w:val="24"/>
        </w:rPr>
        <w:t>), this offer will automatically expire on the Expiration Date. If Employee or Employee’s agent proposes new or different terms to the Companies from those contained in this Agreement, such proposal will nullify this offer unless and until the Companies renew their offer or makes a subsequent offer, in which case the terms of the renewed or subsequent offer (if any) will control. If Employee exercises any right of revocation Employee has under this Agreement, this offer will expire on the date of such revocation.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Choice of Law; Choice of Venue</w:t>
      </w:r>
      <w:r>
        <w:rPr>
          <w:rFonts w:ascii="Times New Roman;sans-serif" w:hAnsi="Times New Roman;sans-serif"/>
          <w:b w:val="false"/>
          <w:color w:val="000000"/>
          <w:sz w:val="24"/>
        </w:rPr>
        <w:t>. This Agreement is made and entered into in North Carolina and, to the extent the interpretation of this Agreement is not governed by applicable federal law, shall be interpreted and enforced under and shall be governed by the laws of that state. Any litigation arising out of or relating to this Agreement shall be filed and pursued exclusively in the state or federal courts encompassing Raleigh, North Carolina, and the Parties hereto consent to the jurisdiction of and venue in such courts.</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Injunctive Relief.</w:t>
      </w:r>
      <w:r>
        <w:rPr>
          <w:color w:val="000000"/>
        </w:rPr>
        <w:t xml:space="preserve"> </w:t>
      </w:r>
      <w:r>
        <w:rPr>
          <w:rFonts w:ascii="Times New Roman;sans-serif" w:hAnsi="Times New Roman;sans-serif"/>
          <w:b w:val="false"/>
          <w:color w:val="000000"/>
          <w:sz w:val="24"/>
        </w:rPr>
        <w:t>In the event of a material breach or threatened material breach of any provision of this Agreement, the non-breaching Party shall be entitled to pursue, in addition to any other legal or equitable rights or remedies it may have (including any right to damages), to temporary, preliminary, and permanent injunctive relief restraining such material breach or threatened material breach without the need to post any injunction bond or other security.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Should any provision of this Agreement be held to be illegal, void, or unenforceable, such provision shall be of no force and effect. However, the illegality or unenforceability of any such provision shall have no effect upon, and shall not impair the enforceability of, any other provision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each of which shall be deemed an original, but all of which shall constitute one and the same instrument. A signed counterpart delivered as a PDF by email, by facsimile, or digitally (e.g., DocuSign) shall be as valid and binding as the original.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xml:space="preserve">. This Agreement shall be binding upon and inure to the benefit of Employee, the Company, the Affiliates, and the Company Releasees, and their respective representatives, predecessors, heirs, successors, and permitted assigns (including without limitation, as applicable, any successor to the Company’s or Companies’ business as the result of a purchase, merger, consolidation or otherwise of the Company or Companies, regardless of whether the Company or Companies survive such action). Successors to the Company or Companies shall include, without limitation, any corporation or corporations acquiring, directly or indirectly, all or substantially all of the assets of the Company or Companies whether by merger, consolidation, purchase or otherwise and such successor shall thereafter be deemed the “Company” or “Companies” for purposes of this Agreement. This Agreement may not be assigned by Employee without the prior written authorization of the Companies, and any unauthorized assignment by Employee shall be null and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28.</w:t>
      </w:r>
      <w:r>
        <w:rPr>
          <w:rFonts w:ascii="Times New Roman;sans-serif" w:hAnsi="Times New Roman;sans-serif"/>
          <w:b w:val="false"/>
          <w:color w:val="000000"/>
          <w:sz w:val="24"/>
          <w:u w:val="single"/>
        </w:rPr>
        <w:t>Entire Agreement and Release from Non-Competition Restriction</w:t>
      </w:r>
      <w:r>
        <w:rPr>
          <w:rFonts w:ascii="Times New Roman;sans-serif" w:hAnsi="Times New Roman;sans-serif"/>
          <w:b w:val="false"/>
          <w:color w:val="000000"/>
          <w:sz w:val="24"/>
        </w:rPr>
        <w:t>. This Agreement contains the complete understanding between the Parties as to the subject matter contained herein, and no other promises or agreements shall be binding unless signed by both authorized representatives of the Companies and Employee. In signing this Agreement, the Parties are not relying on any fact, statement, or assumption not set forth in this Agreement. Notwithstanding the foregoing, this Agreement does not replace, supersede, or modify the Employment Agreement or any other existing agreement executed by Employee to which the Company or any of the Affiliates is a party, a successor, an assign, or a third-party beneficiary concerning non-disclosure of confidential information, non-competition, non-solicitation, tuition reimbursement, loan repayment, deductions from final compensation, ownership of inventions or intellectual property, equity or stock plans, or the like; provided, further, that in the case of any conflict between any provision in such prior or concurrent agreement and this Agreement relating to restrictive covenants, the provision that is lawfully more restrictive shall control. In addition, the Parties agree that Subsections 5(b)(i) and 5(b)(ii) of the Employment Agreement shall be deemed stricken, effective as of the Separation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29.</w:t>
      </w:r>
      <w:r>
        <w:rPr>
          <w:rFonts w:ascii="Times New Roman;sans-serif" w:hAnsi="Times New Roman;sans-serif"/>
          <w:b w:val="false"/>
          <w:color w:val="000000"/>
          <w:sz w:val="24"/>
          <w:u w:val="single"/>
        </w:rPr>
        <w:t>Code Section 409A Compliance</w:t>
      </w:r>
      <w:r>
        <w:rPr>
          <w:rFonts w:ascii="Times New Roman;sans-serif" w:hAnsi="Times New Roman;sans-serif"/>
          <w:b w:val="false"/>
          <w:color w:val="000000"/>
          <w:sz w:val="24"/>
        </w:rPr>
        <w:t>. It is intended that this Agreement shall comply with the provisions of Section 409A of the Internal Revenue Code of 1986, as amended, and the regulations and other guidance promulgated thereunder (“</w:t>
      </w:r>
      <w:r>
        <w:rPr>
          <w:rFonts w:ascii="Times New Roman;sans-serif" w:hAnsi="Times New Roman;sans-serif"/>
          <w:b w:val="false"/>
          <w:color w:val="000000"/>
          <w:sz w:val="24"/>
          <w:u w:val="single"/>
        </w:rPr>
        <w:t>Code Section 409A</w:t>
      </w:r>
      <w:r>
        <w:rPr>
          <w:color w:val="000000"/>
        </w:rPr>
        <w:t>”</w:t>
      </w:r>
      <w:r>
        <w:rPr>
          <w:rFonts w:ascii="Times New Roman;sans-serif" w:hAnsi="Times New Roman;sans-serif"/>
          <w:b w:val="false"/>
          <w:color w:val="000000"/>
          <w:sz w:val="24"/>
        </w:rPr>
        <w:t>), or be exempt from the application of Code Section 409A. For purposes of Code Section 409A, the right to a series of installment payments hereunder shall be treated as a right to a series of separate payments. In no event may Employee, directly or indirectly, designate the calendar year of any payment under this Agreement. Notwithstanding any provision in this Agreement to the contrary, any references to termination of employment or Separation Date shall mean and refer to “separation from service” and the date of such “separation from service” as that term is defined in Code Section 409A.</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30.</w:t>
      </w:r>
      <w:r>
        <w:rPr>
          <w:rFonts w:ascii="Times New Roman;sans-serif" w:hAnsi="Times New Roman;sans-serif"/>
          <w:b w:val="false"/>
          <w:color w:val="000000"/>
          <w:sz w:val="24"/>
          <w:u w:val="single"/>
        </w:rPr>
        <w:t>Specified Employee</w:t>
      </w:r>
      <w:r>
        <w:rPr>
          <w:rFonts w:ascii="Times New Roman;sans-serif" w:hAnsi="Times New Roman;sans-serif"/>
          <w:b w:val="false"/>
          <w:color w:val="000000"/>
          <w:sz w:val="24"/>
        </w:rPr>
        <w:t>. Notwithstanding any other provision of this Agreement to the contrary, if Employee is considered a “specified employee” for purposes of Code Section 409A, any payment that constitutes “deferred compensation” within the meaning of Code Section 409A that is otherwise due to Employee as a result of such Employee’s “separation from service” under this Agreement during the six (6)-month period immediately following Employee’s “separation from service” shall be accumulated and paid to Employee on the first day of the seventh month following such “separation from service” (“</w:t>
      </w:r>
      <w:r>
        <w:rPr>
          <w:rFonts w:ascii="Times New Roman;sans-serif" w:hAnsi="Times New Roman;sans-serif"/>
          <w:b w:val="false"/>
          <w:color w:val="000000"/>
          <w:sz w:val="24"/>
          <w:u w:val="single"/>
        </w:rPr>
        <w:t>Delayed Payment Date</w:t>
      </w:r>
      <w:r>
        <w:rPr>
          <w:color w:val="000000"/>
        </w:rPr>
        <w:t>”</w:t>
      </w:r>
      <w:r>
        <w:rPr>
          <w:rFonts w:ascii="Times New Roman;sans-serif" w:hAnsi="Times New Roman;sans-serif"/>
          <w:b w:val="false"/>
          <w:color w:val="000000"/>
          <w:sz w:val="24"/>
        </w:rPr>
        <w:t>), provided that if Employee dies prior to the payment of such amounts, such amounts shall be paid to the personal representative of Employee’s estate on the first to occur of the Delayed Payment Date or ten (10) days following the date of Employee’s death.</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Representation and Warranty of Understanding</w:t>
      </w:r>
      <w:r>
        <w:rPr>
          <w:rFonts w:ascii="Times New Roman;sans-serif" w:hAnsi="Times New Roman;sans-serif"/>
          <w:b w:val="false"/>
          <w:color w:val="000000"/>
          <w:sz w:val="24"/>
        </w:rPr>
        <w:t>. By signing below, each Party represents and warrants that he/it: (a) has carefully read and understands the terms of this Agreement; (b) is entering into the Agreement knowingly, voluntarily and of Employee’s own free will; (c) understands its terms and significance and intends to abide by its provisions without exception; (d) has not made any false statements or representations in connection with this Agreement; and (e) has not transferred or assigned to any person or entity not a Party to this Agreement any claim or right released hereunder, and each transferring Party agrees to indemnify the other Party (and any of the Affiliates, as applicable) and hold it harmless against any claim (including claims for attorneys’ fees or costs actually incurred, regardless of whether litigation has commenced) based on or arising out of any alleged assignment or transfer of a claim by the transferring Party.</w:t>
      </w:r>
    </w:p>
    <w:p>
      <w:pPr>
        <w:pStyle w:val="TextBody"/>
        <w:bidi w:val="0"/>
        <w:spacing w:lineRule="auto" w:line="288" w:before="0" w:after="12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[signatures on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tbl>
      <w:tblPr>
        <w:tblW w:w="6475" w:type="dxa"/>
        <w:jc w:val="left"/>
        <w:tblInd w:w="0" w:type="dxa"/>
        <w:tblLayout w:type="fixed"/>
        <w:tblCellMar>
          <w:top w:w="28" w:type="dxa"/>
          <w:left w:w="28" w:type="dxa"/>
          <w:bottom w:w="28" w:type="dxa"/>
          <w:right w:w="28" w:type="dxa"/>
        </w:tblCellMar>
      </w:tblPr>
      <w:tblGrid>
        <w:gridCol w:w="1492"/>
        <w:gridCol w:w="1313"/>
        <w:gridCol w:w="1319"/>
        <w:gridCol w:w="109"/>
        <w:gridCol w:w="109"/>
        <w:gridCol w:w="109"/>
        <w:gridCol w:w="591"/>
        <w:gridCol w:w="591"/>
        <w:gridCol w:w="842"/>
      </w:tblGrid>
      <w:tr>
        <w:trPr/>
        <w:tc>
          <w:tcPr>
            <w:tcW w:w="149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Terry McCafferty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26, 2023</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Terry McCafferty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James River Group, Inc.</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Frank N. D'Orazio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 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December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Stonewood Insurance Company</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Sarah C. Doran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 Chairperson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December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Falls Lake Insurance Management Company, Inc.</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Sarah C. Doran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 Chairperson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December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Falls Lake National Insurance Company</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Sarah C. Doran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 Chairperson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December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Falls Lake Fire and Casualty Company</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Sarah C. Doran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 Chairperson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December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SUBSIDIARIES OF JAMES RIVER GROUP HOLDINGS, LTD. </w:t>
      </w:r>
    </w:p>
    <w:p>
      <w:pPr>
        <w:pStyle w:val="TextBody"/>
        <w:bidi w:val="0"/>
        <w:spacing w:lineRule="auto" w:line="288" w:before="0" w:after="0"/>
        <w:jc w:val="left"/>
        <w:rPr>
          <w:color w:val="000000"/>
        </w:rPr>
      </w:pPr>
      <w:r>
        <w:rPr>
          <w:color w:val="000000"/>
        </w:rPr>
        <w:t> </w:t>
      </w:r>
    </w:p>
    <w:tbl>
      <w:tblPr>
        <w:tblW w:w="8275" w:type="dxa"/>
        <w:jc w:val="center"/>
        <w:tblInd w:w="0" w:type="dxa"/>
        <w:tblLayout w:type="fixed"/>
        <w:tblCellMar>
          <w:top w:w="28" w:type="dxa"/>
          <w:left w:w="28" w:type="dxa"/>
          <w:bottom w:w="28" w:type="dxa"/>
          <w:right w:w="28" w:type="dxa"/>
        </w:tblCellMar>
      </w:tblPr>
      <w:tblGrid>
        <w:gridCol w:w="1493"/>
        <w:gridCol w:w="1313"/>
        <w:gridCol w:w="1318"/>
        <w:gridCol w:w="109"/>
        <w:gridCol w:w="109"/>
        <w:gridCol w:w="109"/>
        <w:gridCol w:w="1118"/>
        <w:gridCol w:w="1118"/>
        <w:gridCol w:w="1588"/>
      </w:tblGrid>
      <w:tr>
        <w:trPr/>
        <w:tc>
          <w:tcPr>
            <w:tcW w:w="149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 or Formation</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Falls Lake Fire and Casualty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Falls Lake Insurance Management Company,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Falls Lake National Insurance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Franklin Holdings II (Bermuda) Capital 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Capital 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Capital Trust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Capital Trust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Capital Trust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Casualty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Insurance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Management Company,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Richmond Real Estate,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JRG Reinsurance Company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River TPA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Stonewood Insurance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tbl>
      <w:tblPr>
        <w:tblW w:w="10205" w:type="dxa"/>
        <w:jc w:val="left"/>
        <w:tblInd w:w="0" w:type="dxa"/>
        <w:tblLayout w:type="fixed"/>
        <w:tblCellMar>
          <w:top w:w="28" w:type="dxa"/>
          <w:left w:w="28" w:type="dxa"/>
          <w:bottom w:w="28" w:type="dxa"/>
          <w:right w:w="28" w:type="dxa"/>
        </w:tblCellMar>
      </w:tblPr>
      <w:tblGrid>
        <w:gridCol w:w="162"/>
        <w:gridCol w:w="143"/>
        <w:gridCol w:w="109"/>
        <w:gridCol w:w="109"/>
        <w:gridCol w:w="109"/>
        <w:gridCol w:w="109"/>
        <w:gridCol w:w="2871"/>
        <w:gridCol w:w="2723"/>
        <w:gridCol w:w="3870"/>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Registration Statement (Form S-3 No. 333-255789) of James River Group Holdings, Ltd., and</w:t>
            </w:r>
          </w:p>
        </w:tc>
      </w:tr>
      <w:tr>
        <w:trPr/>
        <w:tc>
          <w:tcPr>
            <w:tcW w:w="3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(Form S-8 Nos. 333-200995, 333-217743, 333-231200, and 333-268114) pertaining to the Amended and Restated Equity Incentive Plan, 2014 Long-Term Incentive Plan, as amended, and 2014 Non-Employee Director Incentive Plan, as amended, of James River Group Holdings, Ltd.;</w:t>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29, 2024, with respect to the consolidated financial statements and schedules of James River Group Holdings, Ltd. and the effectiveness of internal control over financial reporting of James River Group Holdings, Ltd. included in this Annual Report (Form 10-K) of James River Group Holdings, Ltd. for the year ended December 31, 2023.</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Frank N. D'Orazio,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James River Group Holdings, Ltd.;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p>
      <w:pPr>
        <w:pStyle w:val="TextBody"/>
        <w:bidi w:val="0"/>
        <w:spacing w:lineRule="auto" w:line="288" w:before="0" w:after="0"/>
        <w:jc w:val="left"/>
        <w:rPr>
          <w:color w:val="000000"/>
        </w:rPr>
      </w:pPr>
      <w:r>
        <w:rPr>
          <w:color w:val="000000"/>
        </w:rPr>
        <w:t> </w:t>
      </w:r>
    </w:p>
    <w:tbl>
      <w:tblPr>
        <w:tblW w:w="2816" w:type="dxa"/>
        <w:jc w:val="center"/>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Sarah C. Doran,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James River Group Holdings, Ltd.;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p>
      <w:pPr>
        <w:pStyle w:val="TextBody"/>
        <w:bidi w:val="0"/>
        <w:spacing w:before="0" w:after="0"/>
        <w:jc w:val="left"/>
        <w:rPr/>
      </w:pPr>
      <w:r>
        <w:rPr/>
      </w:r>
    </w:p>
    <w:tbl>
      <w:tblPr>
        <w:tblW w:w="2757" w:type="dxa"/>
        <w:jc w:val="center"/>
        <w:tblInd w:w="0" w:type="dxa"/>
        <w:tblLayout w:type="fixed"/>
        <w:tblCellMar>
          <w:top w:w="28" w:type="dxa"/>
          <w:left w:w="28" w:type="dxa"/>
          <w:bottom w:w="28" w:type="dxa"/>
          <w:right w:w="28" w:type="dxa"/>
        </w:tblCellMar>
      </w:tblPr>
      <w:tblGrid>
        <w:gridCol w:w="863"/>
        <w:gridCol w:w="759"/>
        <w:gridCol w:w="763"/>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James River Group Holdings, Ltd. (the “Company”) on Form 10-K for the period ended December 31, 2023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pStyle w:val="TextBody"/>
        <w:bidi w:val="0"/>
        <w:spacing w:lineRule="auto" w:line="288" w:before="120" w:after="12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16" w:type="dxa"/>
        <w:jc w:val="center"/>
        <w:tblInd w:w="0" w:type="dxa"/>
        <w:tblLayout w:type="fixed"/>
        <w:tblCellMar>
          <w:top w:w="28" w:type="dxa"/>
          <w:left w:w="28" w:type="dxa"/>
          <w:bottom w:w="28" w:type="dxa"/>
          <w:right w:w="28" w:type="dxa"/>
        </w:tblCellMar>
      </w:tblPr>
      <w:tblGrid>
        <w:gridCol w:w="124"/>
        <w:gridCol w:w="109"/>
        <w:gridCol w:w="109"/>
        <w:gridCol w:w="722"/>
        <w:gridCol w:w="722"/>
        <w:gridCol w:w="10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 xml:space="preserve">JAMES RIVER GROUP HOLDINGS, LTD. </w:t>
        <w:br/>
        <w:t>EXECUTIVE OFFICER</w:t>
        <w:br/>
        <w:t>INCENTIVE COMPENSATION RECOVERY POLICY</w:t>
      </w:r>
    </w:p>
    <w:p>
      <w:pPr>
        <w:pStyle w:val="TextBody"/>
        <w:bidi w:val="0"/>
        <w:spacing w:lineRule="auto" w:line="288" w:before="0" w:after="240"/>
        <w:jc w:val="both"/>
        <w:rPr/>
      </w:pPr>
      <w:r>
        <w:rPr>
          <w:rFonts w:ascii="Times New Roman;sans-serif" w:hAnsi="Times New Roman;sans-serif"/>
          <w:b/>
          <w:color w:val="000000"/>
          <w:sz w:val="23"/>
        </w:rPr>
        <w:t>I.</w:t>
      </w:r>
      <w:r>
        <w:rPr>
          <w:rFonts w:ascii="Times New Roman;sans-serif" w:hAnsi="Times New Roman;sans-serif"/>
          <w:b/>
          <w:color w:val="000000"/>
          <w:sz w:val="23"/>
          <w:u w:val="single"/>
        </w:rPr>
        <w:t>Introduction</w:t>
      </w:r>
    </w:p>
    <w:p>
      <w:pPr>
        <w:pStyle w:val="TextBody"/>
        <w:bidi w:val="0"/>
        <w:spacing w:lineRule="auto" w:line="288" w:before="0" w:after="240"/>
        <w:jc w:val="both"/>
        <w:rPr/>
      </w:pPr>
      <w:r>
        <w:rPr>
          <w:rFonts w:ascii="Times New Roman;sans-serif" w:hAnsi="Times New Roman;sans-serif"/>
          <w:b w:val="false"/>
          <w:color w:val="000000"/>
          <w:sz w:val="23"/>
        </w:rPr>
        <w:t>The non-executive members of the board of directors (the “</w:t>
      </w:r>
      <w:r>
        <w:rPr>
          <w:rFonts w:ascii="Times New Roman;sans-serif" w:hAnsi="Times New Roman;sans-serif"/>
          <w:b/>
          <w:color w:val="000000"/>
          <w:sz w:val="23"/>
        </w:rPr>
        <w:t>Board</w:t>
      </w:r>
      <w:r>
        <w:rPr>
          <w:color w:val="000000"/>
        </w:rPr>
        <w:t>”</w:t>
      </w:r>
      <w:r>
        <w:rPr>
          <w:rFonts w:ascii="Times New Roman;sans-serif" w:hAnsi="Times New Roman;sans-serif"/>
          <w:b w:val="false"/>
          <w:color w:val="000000"/>
          <w:sz w:val="23"/>
        </w:rPr>
        <w:t>) of James River Group Holdings, Ltd. (the “</w:t>
      </w:r>
      <w:r>
        <w:rPr>
          <w:rFonts w:ascii="Times New Roman;sans-serif" w:hAnsi="Times New Roman;sans-serif"/>
          <w:b/>
          <w:color w:val="000000"/>
          <w:sz w:val="23"/>
        </w:rPr>
        <w:t>Company</w:t>
      </w:r>
      <w:r>
        <w:rPr>
          <w:color w:val="000000"/>
        </w:rPr>
        <w:t>”</w:t>
      </w:r>
      <w:r>
        <w:rPr>
          <w:rFonts w:ascii="Times New Roman;sans-serif" w:hAnsi="Times New Roman;sans-serif"/>
          <w:b w:val="false"/>
          <w:color w:val="000000"/>
          <w:sz w:val="23"/>
        </w:rPr>
        <w:t>), upon the recommendation of the Compensation and Human Capital Committee of the Board, has adopted this Executive Officer Incentive Compensation Recovery Policy (this “</w:t>
      </w:r>
      <w:r>
        <w:rPr>
          <w:rFonts w:ascii="Times New Roman;sans-serif" w:hAnsi="Times New Roman;sans-serif"/>
          <w:b/>
          <w:color w:val="000000"/>
          <w:sz w:val="23"/>
        </w:rPr>
        <w:t>Policy</w:t>
      </w:r>
      <w:r>
        <w:rPr>
          <w:color w:val="000000"/>
        </w:rPr>
        <w:t>”</w:t>
      </w:r>
      <w:r>
        <w:rPr>
          <w:rFonts w:ascii="Times New Roman;sans-serif" w:hAnsi="Times New Roman;sans-serif"/>
          <w:b w:val="false"/>
          <w:color w:val="000000"/>
          <w:sz w:val="23"/>
        </w:rPr>
        <w:t>) to comply with NASDAQ Listed Company Rule 5608 which requires listed companies to provide for the recovery of certain executive compensation in the event of an Accounting Restatement (as defined below) resulting from material noncompliance with financial reporting requirements under the U.S. federal securities laws.</w:t>
      </w:r>
    </w:p>
    <w:p>
      <w:pPr>
        <w:pStyle w:val="TextBody"/>
        <w:bidi w:val="0"/>
        <w:spacing w:lineRule="auto" w:line="288" w:before="0" w:after="240"/>
        <w:jc w:val="both"/>
        <w:rPr/>
      </w:pPr>
      <w:r>
        <w:rPr>
          <w:rFonts w:ascii="Times New Roman;sans-serif" w:hAnsi="Times New Roman;sans-serif"/>
          <w:b/>
          <w:color w:val="000000"/>
          <w:sz w:val="23"/>
        </w:rPr>
        <w:t>II.</w:t>
      </w:r>
      <w:r>
        <w:rPr>
          <w:rFonts w:ascii="Times New Roman;sans-serif" w:hAnsi="Times New Roman;sans-serif"/>
          <w:b/>
          <w:color w:val="000000"/>
          <w:sz w:val="23"/>
          <w:u w:val="single"/>
        </w:rPr>
        <w:t>Administration</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This Policy shall be administered by the Committee. Any determinations made by the Committee shall be final and binding on all affected individuals.</w:t>
      </w:r>
    </w:p>
    <w:p>
      <w:pPr>
        <w:pStyle w:val="TextBody"/>
        <w:bidi w:val="0"/>
        <w:spacing w:lineRule="auto" w:line="288" w:before="0" w:after="240"/>
        <w:jc w:val="both"/>
        <w:rPr/>
      </w:pPr>
      <w:r>
        <w:rPr>
          <w:rFonts w:ascii="Times New Roman;sans-serif" w:hAnsi="Times New Roman;sans-serif"/>
          <w:b/>
          <w:color w:val="000000"/>
          <w:sz w:val="23"/>
        </w:rPr>
        <w:t>III.</w:t>
      </w:r>
      <w:r>
        <w:rPr>
          <w:rFonts w:ascii="Times New Roman;sans-serif" w:hAnsi="Times New Roman;sans-serif"/>
          <w:b/>
          <w:color w:val="000000"/>
          <w:sz w:val="23"/>
          <w:u w:val="single"/>
        </w:rPr>
        <w:t>Definitions</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For purposes of this Policy, the following capitalized terms shall have the meanings set forth below:</w:t>
      </w:r>
    </w:p>
    <w:p>
      <w:pPr>
        <w:pStyle w:val="TextBody"/>
        <w:bidi w:val="0"/>
        <w:spacing w:lineRule="auto" w:line="288" w:before="0" w:after="240"/>
        <w:jc w:val="both"/>
        <w:rPr/>
      </w:pPr>
      <w:r>
        <w:rPr>
          <w:rFonts w:ascii="Times New Roman;sans-serif" w:hAnsi="Times New Roman;sans-serif"/>
          <w:b w:val="false"/>
          <w:color w:val="000000"/>
          <w:sz w:val="23"/>
        </w:rPr>
        <w:t>(a)</w:t>
      </w:r>
      <w:r>
        <w:rPr>
          <w:color w:val="000000"/>
        </w:rPr>
        <w:t>“</w:t>
      </w:r>
      <w:r>
        <w:rPr>
          <w:rFonts w:ascii="Times New Roman;sans-serif" w:hAnsi="Times New Roman;sans-serif"/>
          <w:b/>
          <w:color w:val="000000"/>
          <w:sz w:val="23"/>
        </w:rPr>
        <w:t>Accounting Restatement</w:t>
      </w:r>
      <w:r>
        <w:rPr>
          <w:color w:val="000000"/>
        </w:rPr>
        <w:t xml:space="preserve">” </w:t>
      </w:r>
      <w:r>
        <w:rPr>
          <w:rFonts w:ascii="Times New Roman;sans-serif" w:hAnsi="Times New Roman;sans-serif"/>
          <w:b w:val="false"/>
          <w:color w:val="000000"/>
          <w:sz w:val="23"/>
        </w:rPr>
        <w:t>means an accounting restatement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(sometimes known as a “Big R” restatement), or that would result in a material misstatement if the error were corrected in the current period or left uncorrected in the current period (sometimes known as a “little r” restatement).</w:t>
      </w:r>
    </w:p>
    <w:p>
      <w:pPr>
        <w:pStyle w:val="TextBody"/>
        <w:bidi w:val="0"/>
        <w:spacing w:lineRule="auto" w:line="288" w:before="0" w:after="240"/>
        <w:jc w:val="both"/>
        <w:rPr/>
      </w:pPr>
      <w:r>
        <w:rPr>
          <w:rFonts w:ascii="Times New Roman;sans-serif" w:hAnsi="Times New Roman;sans-serif"/>
          <w:b w:val="false"/>
          <w:color w:val="000000"/>
          <w:sz w:val="23"/>
        </w:rPr>
        <w:t>(b)</w:t>
      </w:r>
      <w:r>
        <w:rPr>
          <w:color w:val="000000"/>
        </w:rPr>
        <w:t>“</w:t>
      </w:r>
      <w:r>
        <w:rPr>
          <w:rFonts w:ascii="Times New Roman;sans-serif" w:hAnsi="Times New Roman;sans-serif"/>
          <w:b/>
          <w:color w:val="000000"/>
          <w:sz w:val="23"/>
        </w:rPr>
        <w:t>Committee</w:t>
      </w:r>
      <w:r>
        <w:rPr>
          <w:color w:val="000000"/>
        </w:rPr>
        <w:t xml:space="preserve">” </w:t>
      </w:r>
      <w:r>
        <w:rPr>
          <w:rFonts w:ascii="Times New Roman;sans-serif" w:hAnsi="Times New Roman;sans-serif"/>
          <w:b w:val="false"/>
          <w:color w:val="000000"/>
          <w:sz w:val="23"/>
        </w:rPr>
        <w:t>means the Compensation and Human Capital Committee of the Board.</w:t>
      </w:r>
    </w:p>
    <w:p>
      <w:pPr>
        <w:pStyle w:val="TextBody"/>
        <w:bidi w:val="0"/>
        <w:spacing w:lineRule="auto" w:line="288" w:before="0" w:after="240"/>
        <w:jc w:val="both"/>
        <w:rPr/>
      </w:pPr>
      <w:r>
        <w:rPr>
          <w:rFonts w:ascii="Times New Roman;sans-serif" w:hAnsi="Times New Roman;sans-serif"/>
          <w:b w:val="false"/>
          <w:color w:val="000000"/>
          <w:sz w:val="23"/>
        </w:rPr>
        <w:t>(c)</w:t>
      </w:r>
      <w:r>
        <w:rPr>
          <w:color w:val="000000"/>
        </w:rPr>
        <w:t>“</w:t>
      </w:r>
      <w:r>
        <w:rPr>
          <w:rFonts w:ascii="Times New Roman;sans-serif" w:hAnsi="Times New Roman;sans-serif"/>
          <w:b/>
          <w:color w:val="000000"/>
          <w:sz w:val="23"/>
        </w:rPr>
        <w:t>Covered Executives</w:t>
      </w:r>
      <w:r>
        <w:rPr>
          <w:color w:val="000000"/>
        </w:rPr>
        <w:t xml:space="preserve">” </w:t>
      </w:r>
      <w:r>
        <w:rPr>
          <w:rFonts w:ascii="Times New Roman;sans-serif" w:hAnsi="Times New Roman;sans-serif"/>
          <w:b w:val="false"/>
          <w:color w:val="000000"/>
          <w:sz w:val="23"/>
        </w:rPr>
        <w:t>means the Company’s current and former Executive Officers, as determined by the Committee in accordance with Section 10D of the Exchange Act and the listing standards of NASDAQ.</w:t>
      </w:r>
    </w:p>
    <w:p>
      <w:pPr>
        <w:pStyle w:val="TextBody"/>
        <w:bidi w:val="0"/>
        <w:spacing w:lineRule="auto" w:line="288" w:before="0" w:after="240"/>
        <w:jc w:val="both"/>
        <w:rPr/>
      </w:pPr>
      <w:r>
        <w:rPr>
          <w:rFonts w:ascii="Times New Roman;sans-serif" w:hAnsi="Times New Roman;sans-serif"/>
          <w:b w:val="false"/>
          <w:color w:val="000000"/>
          <w:sz w:val="23"/>
        </w:rPr>
        <w:t>(d)</w:t>
      </w:r>
      <w:r>
        <w:rPr>
          <w:color w:val="000000"/>
        </w:rPr>
        <w:t>“</w:t>
      </w:r>
      <w:r>
        <w:rPr>
          <w:rFonts w:ascii="Times New Roman;sans-serif" w:hAnsi="Times New Roman;sans-serif"/>
          <w:b/>
          <w:color w:val="000000"/>
          <w:sz w:val="23"/>
        </w:rPr>
        <w:t>Effective Date</w:t>
      </w:r>
      <w:r>
        <w:rPr>
          <w:color w:val="000000"/>
        </w:rPr>
        <w:t xml:space="preserve">” </w:t>
      </w:r>
      <w:r>
        <w:rPr>
          <w:rFonts w:ascii="Times New Roman;sans-serif" w:hAnsi="Times New Roman;sans-serif"/>
          <w:b w:val="false"/>
          <w:color w:val="000000"/>
          <w:sz w:val="23"/>
        </w:rPr>
        <w:t>means October 2, 2023.</w:t>
      </w:r>
    </w:p>
    <w:p>
      <w:pPr>
        <w:pStyle w:val="TextBody"/>
        <w:bidi w:val="0"/>
        <w:spacing w:lineRule="auto" w:line="288" w:before="0" w:after="240"/>
        <w:jc w:val="both"/>
        <w:rPr/>
      </w:pPr>
      <w:r>
        <w:rPr>
          <w:rFonts w:ascii="Times New Roman;sans-serif" w:hAnsi="Times New Roman;sans-serif"/>
          <w:b w:val="false"/>
          <w:color w:val="000000"/>
          <w:sz w:val="23"/>
        </w:rPr>
        <w:t>(e)</w:t>
      </w:r>
      <w:r>
        <w:rPr>
          <w:color w:val="000000"/>
        </w:rPr>
        <w:t>“</w:t>
      </w:r>
      <w:r>
        <w:rPr>
          <w:rFonts w:ascii="Times New Roman;sans-serif" w:hAnsi="Times New Roman;sans-serif"/>
          <w:b/>
          <w:color w:val="000000"/>
          <w:sz w:val="23"/>
        </w:rPr>
        <w:t>Erroneously Awarded Compensation</w:t>
      </w:r>
      <w:r>
        <w:rPr>
          <w:color w:val="000000"/>
        </w:rPr>
        <w:t xml:space="preserve">” </w:t>
      </w:r>
      <w:r>
        <w:rPr>
          <w:rFonts w:ascii="Times New Roman;sans-serif" w:hAnsi="Times New Roman;sans-serif"/>
          <w:b w:val="false"/>
          <w:color w:val="000000"/>
          <w:sz w:val="23"/>
        </w:rPr>
        <w:t>means, with respect to each Covered Executive in connection with an Accounting Restatement, the amount by which Recovery Eligible Incentive-based Compensation exceeds the amount of Incentive-based Compensation that otherwise would have been Received had it been determined based on the restated amounts, computed without regard to any taxes paid.</w:t>
      </w:r>
    </w:p>
    <w:p>
      <w:pPr>
        <w:pStyle w:val="TextBody"/>
        <w:bidi w:val="0"/>
        <w:spacing w:lineRule="auto" w:line="288" w:before="0" w:after="240"/>
        <w:jc w:val="both"/>
        <w:rPr/>
      </w:pPr>
      <w:r>
        <w:rPr>
          <w:rFonts w:ascii="Times New Roman;sans-serif" w:hAnsi="Times New Roman;sans-serif"/>
          <w:b w:val="false"/>
          <w:color w:val="000000"/>
          <w:sz w:val="23"/>
        </w:rPr>
        <w:t>(f)</w:t>
      </w:r>
      <w:r>
        <w:rPr>
          <w:color w:val="000000"/>
        </w:rPr>
        <w:t>“</w:t>
      </w:r>
      <w:r>
        <w:rPr>
          <w:rFonts w:ascii="Times New Roman;sans-serif" w:hAnsi="Times New Roman;sans-serif"/>
          <w:b/>
          <w:color w:val="000000"/>
          <w:sz w:val="23"/>
        </w:rPr>
        <w:t>Exchange Act</w:t>
      </w:r>
      <w:r>
        <w:rPr>
          <w:color w:val="000000"/>
        </w:rPr>
        <w:t xml:space="preserve">” </w:t>
      </w:r>
      <w:r>
        <w:rPr>
          <w:rFonts w:ascii="Times New Roman;sans-serif" w:hAnsi="Times New Roman;sans-serif"/>
          <w:b w:val="false"/>
          <w:color w:val="000000"/>
          <w:sz w:val="23"/>
        </w:rPr>
        <w:t>means the Securities Exchange Act of 1934, as amended.</w:t>
      </w:r>
    </w:p>
    <w:p>
      <w:pPr>
        <w:pStyle w:val="TextBody"/>
        <w:bidi w:val="0"/>
        <w:spacing w:before="0" w:after="16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(g)</w:t>
      </w:r>
      <w:r>
        <w:rPr>
          <w:color w:val="000000"/>
        </w:rPr>
        <w:t>“</w:t>
      </w:r>
      <w:r>
        <w:rPr>
          <w:rFonts w:ascii="Times New Roman;sans-serif" w:hAnsi="Times New Roman;sans-serif"/>
          <w:b/>
          <w:color w:val="000000"/>
          <w:sz w:val="23"/>
        </w:rPr>
        <w:t>Executive Officer</w:t>
      </w:r>
      <w:r>
        <w:rPr>
          <w:color w:val="000000"/>
        </w:rPr>
        <w:t xml:space="preserve">” </w:t>
      </w:r>
      <w:r>
        <w:rPr>
          <w:rFonts w:ascii="Times New Roman;sans-serif" w:hAnsi="Times New Roman;sans-serif"/>
          <w:b w:val="false"/>
          <w:color w:val="000000"/>
          <w:sz w:val="23"/>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(including any executive officer of the Company’s affiliates) who performs similar policy-making functions for the Company. The term “Executive Officer” includes, without limitation, those officers identified by the Company in any disclosure made pursuant to the requirements of Regulation S-K Item 401(b).</w:t>
      </w:r>
    </w:p>
    <w:p>
      <w:pPr>
        <w:pStyle w:val="TextBody"/>
        <w:bidi w:val="0"/>
        <w:spacing w:lineRule="auto" w:line="288" w:before="0" w:after="240"/>
        <w:jc w:val="both"/>
        <w:rPr/>
      </w:pPr>
      <w:r>
        <w:rPr>
          <w:rFonts w:ascii="Times New Roman;sans-serif" w:hAnsi="Times New Roman;sans-serif"/>
          <w:b w:val="false"/>
          <w:color w:val="000000"/>
          <w:sz w:val="23"/>
        </w:rPr>
        <w:t>(h)</w:t>
      </w:r>
      <w:r>
        <w:rPr>
          <w:color w:val="000000"/>
        </w:rPr>
        <w:t>“</w:t>
      </w:r>
      <w:r>
        <w:rPr>
          <w:rFonts w:ascii="Times New Roman;sans-serif" w:hAnsi="Times New Roman;sans-serif"/>
          <w:b/>
          <w:color w:val="000000"/>
          <w:sz w:val="23"/>
        </w:rPr>
        <w:t>Financial Reporting Measures</w:t>
      </w:r>
      <w:r>
        <w:rPr>
          <w:color w:val="000000"/>
        </w:rPr>
        <w:t xml:space="preserve">” </w:t>
      </w:r>
      <w:r>
        <w:rPr>
          <w:rFonts w:ascii="Times New Roman;sans-serif" w:hAnsi="Times New Roman;sans-serif"/>
          <w:b w:val="false"/>
          <w:color w:val="000000"/>
          <w:sz w:val="23"/>
        </w:rPr>
        <w:t>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spacing w:lineRule="auto" w:line="288" w:before="0" w:after="240"/>
        <w:jc w:val="both"/>
        <w:rPr/>
      </w:pPr>
      <w:r>
        <w:rPr>
          <w:rFonts w:ascii="Times New Roman;sans-serif" w:hAnsi="Times New Roman;sans-serif"/>
          <w:b w:val="false"/>
          <w:color w:val="000000"/>
          <w:sz w:val="23"/>
        </w:rPr>
        <w:t>(i)</w:t>
      </w:r>
      <w:r>
        <w:rPr>
          <w:color w:val="000000"/>
        </w:rPr>
        <w:t>“</w:t>
      </w:r>
      <w:r>
        <w:rPr>
          <w:rFonts w:ascii="Times New Roman;sans-serif" w:hAnsi="Times New Roman;sans-serif"/>
          <w:b/>
          <w:color w:val="000000"/>
          <w:sz w:val="23"/>
        </w:rPr>
        <w:t>Incentive-based Compensation</w:t>
      </w:r>
      <w:r>
        <w:rPr>
          <w:color w:val="000000"/>
        </w:rPr>
        <w:t xml:space="preserve">” </w:t>
      </w:r>
      <w:r>
        <w:rPr>
          <w:rFonts w:ascii="Times New Roman;sans-serif" w:hAnsi="Times New Roman;sans-serif"/>
          <w:b w:val="false"/>
          <w:color w:val="000000"/>
          <w:sz w:val="23"/>
        </w:rPr>
        <w:t>means any compensation that is granted, is earned or becomes vested based wholly or in part upon the attainment of a Financial Reporting Measure. For the avoidance of doubt, the term Incentive-based Compensation shall not include annual base salary or any compensation that is not based in whole or in part upon the attainment of a Financial Reporting Measure, such as awards that are earned, become vested or are paid solely based on time in service.</w:t>
      </w:r>
    </w:p>
    <w:p>
      <w:pPr>
        <w:pStyle w:val="TextBody"/>
        <w:bidi w:val="0"/>
        <w:spacing w:lineRule="auto" w:line="288" w:before="0" w:after="240"/>
        <w:jc w:val="both"/>
        <w:rPr/>
      </w:pPr>
      <w:r>
        <w:rPr>
          <w:rFonts w:ascii="Times New Roman;sans-serif" w:hAnsi="Times New Roman;sans-serif"/>
          <w:b w:val="false"/>
          <w:color w:val="000000"/>
          <w:sz w:val="23"/>
        </w:rPr>
        <w:t>(j)</w:t>
      </w:r>
      <w:r>
        <w:rPr>
          <w:color w:val="000000"/>
        </w:rPr>
        <w:t>“</w:t>
      </w:r>
      <w:r>
        <w:rPr>
          <w:rFonts w:ascii="Times New Roman;sans-serif" w:hAnsi="Times New Roman;sans-serif"/>
          <w:b/>
          <w:color w:val="000000"/>
          <w:sz w:val="23"/>
        </w:rPr>
        <w:t>NASDAQ</w:t>
      </w:r>
      <w:r>
        <w:rPr>
          <w:color w:val="000000"/>
        </w:rPr>
        <w:t xml:space="preserve">” </w:t>
      </w:r>
      <w:r>
        <w:rPr>
          <w:rFonts w:ascii="Times New Roman;sans-serif" w:hAnsi="Times New Roman;sans-serif"/>
          <w:b w:val="false"/>
          <w:color w:val="000000"/>
          <w:sz w:val="23"/>
        </w:rPr>
        <w:t>means The NASDAQ Stock Market.</w:t>
      </w:r>
    </w:p>
    <w:p>
      <w:pPr>
        <w:pStyle w:val="TextBody"/>
        <w:bidi w:val="0"/>
        <w:spacing w:lineRule="auto" w:line="288" w:before="0" w:after="240"/>
        <w:jc w:val="both"/>
        <w:rPr/>
      </w:pPr>
      <w:r>
        <w:rPr>
          <w:rFonts w:ascii="Times New Roman;sans-serif" w:hAnsi="Times New Roman;sans-serif"/>
          <w:b w:val="false"/>
          <w:color w:val="000000"/>
          <w:sz w:val="23"/>
        </w:rPr>
        <w:t>(k)</w:t>
      </w:r>
      <w:r>
        <w:rPr>
          <w:color w:val="000000"/>
        </w:rPr>
        <w:t>“</w:t>
      </w:r>
      <w:r>
        <w:rPr>
          <w:rFonts w:ascii="Times New Roman;sans-serif" w:hAnsi="Times New Roman;sans-serif"/>
          <w:b/>
          <w:color w:val="000000"/>
          <w:sz w:val="23"/>
        </w:rPr>
        <w:t>Received</w:t>
      </w:r>
      <w:r>
        <w:rPr>
          <w:color w:val="000000"/>
        </w:rPr>
        <w:t xml:space="preserve">” </w:t>
      </w:r>
      <w:r>
        <w:rPr>
          <w:rFonts w:ascii="Times New Roman;sans-serif" w:hAnsi="Times New Roman;sans-serif"/>
          <w:b w:val="false"/>
          <w:color w:val="000000"/>
          <w:sz w:val="23"/>
        </w:rPr>
        <w:t>Incentive-based Compensation shall be deemed “Received” in the Company’s fiscal period during which the Financial Reporting Measure specified in the Incentive-based Compensation award is deemed attained, even if payment or grant of the Incentive-based Compensation occurs after the end of that period.</w:t>
      </w:r>
    </w:p>
    <w:p>
      <w:pPr>
        <w:pStyle w:val="TextBody"/>
        <w:bidi w:val="0"/>
        <w:spacing w:lineRule="auto" w:line="288" w:before="0" w:after="240"/>
        <w:jc w:val="both"/>
        <w:rPr/>
      </w:pPr>
      <w:r>
        <w:rPr>
          <w:rFonts w:ascii="Times New Roman;sans-serif" w:hAnsi="Times New Roman;sans-serif"/>
          <w:b w:val="false"/>
          <w:color w:val="000000"/>
          <w:sz w:val="23"/>
        </w:rPr>
        <w:t>(l)</w:t>
      </w:r>
      <w:r>
        <w:rPr>
          <w:color w:val="000000"/>
        </w:rPr>
        <w:t>“</w:t>
      </w:r>
      <w:r>
        <w:rPr>
          <w:rFonts w:ascii="Times New Roman;sans-serif" w:hAnsi="Times New Roman;sans-serif"/>
          <w:b/>
          <w:color w:val="000000"/>
          <w:sz w:val="23"/>
        </w:rPr>
        <w:t>Recovery Eligible Incentive-based Compensation</w:t>
      </w:r>
      <w:r>
        <w:rPr>
          <w:color w:val="000000"/>
        </w:rPr>
        <w:t xml:space="preserve">” </w:t>
      </w:r>
      <w:r>
        <w:rPr>
          <w:rFonts w:ascii="Times New Roman;sans-serif" w:hAnsi="Times New Roman;sans-serif"/>
          <w:b w:val="false"/>
          <w:color w:val="000000"/>
          <w:sz w:val="23"/>
        </w:rPr>
        <w:t>means, in connection with an Accounting Restatement and with respect to each individual who served as a Covered Executive at any time during the applicable performance period for any Incentive-based Compensation (whether or not such Covered Executive is serving in such capacity at the time the Erroneously Awarded Compensation is required to be repaid to the Company), all Incentive-based Compensation Received by such Covered Executive (i) on or after the Effective Date, (ii) after beginning service as a Covered Executive, (iii) while the Company has a class of securities listed on a national securities exchange or a national securities association, and (iv) during the applicable Recovery Period.</w:t>
      </w:r>
    </w:p>
    <w:p>
      <w:pPr>
        <w:pStyle w:val="TextBody"/>
        <w:bidi w:val="0"/>
        <w:spacing w:lineRule="auto" w:line="288" w:before="0" w:after="240"/>
        <w:jc w:val="both"/>
        <w:rPr/>
      </w:pPr>
      <w:r>
        <w:rPr>
          <w:rFonts w:ascii="Times New Roman;sans-serif" w:hAnsi="Times New Roman;sans-serif"/>
          <w:b w:val="false"/>
          <w:color w:val="000000"/>
          <w:sz w:val="23"/>
        </w:rPr>
        <w:t>(m)</w:t>
      </w:r>
      <w:r>
        <w:rPr>
          <w:color w:val="000000"/>
        </w:rPr>
        <w:t>“</w:t>
      </w:r>
      <w:r>
        <w:rPr>
          <w:rFonts w:ascii="Times New Roman;sans-serif" w:hAnsi="Times New Roman;sans-serif"/>
          <w:b/>
          <w:color w:val="000000"/>
          <w:sz w:val="23"/>
        </w:rPr>
        <w:t>Recovery Period</w:t>
      </w:r>
      <w:r>
        <w:rPr>
          <w:color w:val="000000"/>
        </w:rPr>
        <w:t xml:space="preserve">” </w:t>
      </w:r>
      <w:r>
        <w:rPr>
          <w:rFonts w:ascii="Times New Roman;sans-serif" w:hAnsi="Times New Roman;sans-serif"/>
          <w:b w:val="false"/>
          <w:color w:val="000000"/>
          <w:sz w:val="23"/>
        </w:rPr>
        <w:t>means,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before="0" w:after="16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60655"/>
                <wp:effectExtent l="0" t="0" r="0" b="0"/>
                <wp:wrapNone/>
                <wp:docPr id="204" name="Frame2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(n)</w:t>
      </w:r>
      <w:r>
        <w:rPr>
          <w:color w:val="000000"/>
        </w:rPr>
        <w:t>“</w:t>
      </w:r>
      <w:r>
        <w:rPr>
          <w:rFonts w:ascii="Times New Roman;sans-serif" w:hAnsi="Times New Roman;sans-serif"/>
          <w:b/>
          <w:color w:val="000000"/>
          <w:sz w:val="23"/>
        </w:rPr>
        <w:t>Restatement Date</w:t>
      </w:r>
      <w:r>
        <w:rPr>
          <w:color w:val="000000"/>
        </w:rPr>
        <w:t xml:space="preserve">” </w:t>
      </w:r>
      <w:r>
        <w:rPr>
          <w:rFonts w:ascii="Times New Roman;sans-serif" w:hAnsi="Times New Roman;sans-serif"/>
          <w:b w:val="false"/>
          <w:color w:val="000000"/>
          <w:sz w:val="23"/>
        </w:rPr>
        <w:t>means the earlier to occur of the date (i) (A) the Board, or (B) a committee of the Board or (C) the officers of the Company authorized to take such action if Board or Board committee action is not required, concludes, or reasonably should have concluded, that the Company is required to prepare an Accounting Restatement, and (ii) the date a court, regulator or other legally authorized body directs the Company to prepare an Accounting Restatement.</w:t>
      </w:r>
    </w:p>
    <w:p>
      <w:pPr>
        <w:pStyle w:val="TextBody"/>
        <w:bidi w:val="0"/>
        <w:spacing w:lineRule="auto" w:line="288" w:before="0" w:after="240"/>
        <w:jc w:val="both"/>
        <w:rPr/>
      </w:pPr>
      <w:r>
        <w:rPr>
          <w:rFonts w:ascii="Times New Roman;sans-serif" w:hAnsi="Times New Roman;sans-serif"/>
          <w:b w:val="false"/>
          <w:color w:val="000000"/>
          <w:sz w:val="23"/>
        </w:rPr>
        <w:t>(o)</w:t>
      </w:r>
      <w:r>
        <w:rPr>
          <w:color w:val="000000"/>
        </w:rPr>
        <w:t>“</w:t>
      </w:r>
      <w:r>
        <w:rPr>
          <w:rFonts w:ascii="Times New Roman;sans-serif" w:hAnsi="Times New Roman;sans-serif"/>
          <w:b/>
          <w:color w:val="000000"/>
          <w:sz w:val="23"/>
        </w:rPr>
        <w:t>SEC</w:t>
      </w:r>
      <w:r>
        <w:rPr>
          <w:color w:val="000000"/>
        </w:rPr>
        <w:t xml:space="preserve">” </w:t>
      </w:r>
      <w:r>
        <w:rPr>
          <w:rFonts w:ascii="Times New Roman;sans-serif" w:hAnsi="Times New Roman;sans-serif"/>
          <w:b w:val="false"/>
          <w:color w:val="000000"/>
          <w:sz w:val="23"/>
        </w:rPr>
        <w:t>means the U.S. Securities and Exchange Commission.</w:t>
      </w:r>
    </w:p>
    <w:p>
      <w:pPr>
        <w:pStyle w:val="TextBody"/>
        <w:bidi w:val="0"/>
        <w:spacing w:lineRule="auto" w:line="288" w:before="0" w:after="240"/>
        <w:jc w:val="both"/>
        <w:rPr/>
      </w:pPr>
      <w:r>
        <w:rPr>
          <w:rFonts w:ascii="Times New Roman;sans-serif" w:hAnsi="Times New Roman;sans-serif"/>
          <w:b/>
          <w:color w:val="000000"/>
          <w:sz w:val="23"/>
        </w:rPr>
        <w:t>IV.</w:t>
      </w:r>
      <w:r>
        <w:rPr>
          <w:rFonts w:ascii="Times New Roman;sans-serif" w:hAnsi="Times New Roman;sans-serif"/>
          <w:b/>
          <w:color w:val="000000"/>
          <w:sz w:val="23"/>
          <w:u w:val="single"/>
        </w:rPr>
        <w:t>Repayment/Forfeiture of Erroneously Awarded Compensation</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(a)In the event of an Accounting Restatement, the Committee shall take reasonably prompt action after the Restatement Date to determine the amount of any Erroneously Awarded Compensation for each Covered Executive in connection with such Accounting Restatement and, thereafter, shall promptly provide each Covered Executive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NASDAQ).</w:t>
      </w:r>
    </w:p>
    <w:p>
      <w:pPr>
        <w:pStyle w:val="TextBody"/>
        <w:bidi w:val="0"/>
        <w:spacing w:lineRule="auto" w:line="288" w:before="0" w:after="240"/>
        <w:jc w:val="both"/>
        <w:rPr/>
      </w:pPr>
      <w:r>
        <w:rPr>
          <w:rFonts w:ascii="Times New Roman;sans-serif" w:hAnsi="Times New Roman;sans-serif"/>
          <w:b w:val="false"/>
          <w:color w:val="000000"/>
          <w:sz w:val="23"/>
        </w:rPr>
        <w:t xml:space="preserve">(b)The Committee shall have broad discretion to determine the appropriate means of recovery of Erroneously Awarded Compensation based on all applicable facts and circumstances and taking into account the time value of money and the cost to shareholders of delaying recovery, including without limitation (i) requiring reimbursement of cash Incentive-based Compensation previously paid; (ii) seeking recovery of any gain realized on the vesting, exercise, settlement, sale, transfer, or other disposition of any equity-based awards; (iii) offsetting the amount of any Erroneously Awarded Compensation from any compensation otherwise owed by the Company to the Covered Executive; (iv) cancelling outstanding vested or unvested equity awards or other outstanding compensatory awards; and/or (v) taking any other remedial and recovery action permitted by law. For the avoidance of doubt, except as set forth in </w:t>
      </w:r>
      <w:r>
        <w:rPr>
          <w:rFonts w:ascii="Times New Roman;sans-serif" w:hAnsi="Times New Roman;sans-serif"/>
          <w:b w:val="false"/>
          <w:color w:val="000000"/>
          <w:sz w:val="23"/>
          <w:u w:val="single"/>
        </w:rPr>
        <w:t>Section IV(d)</w:t>
      </w:r>
      <w:r>
        <w:rPr>
          <w:color w:val="000000"/>
        </w:rPr>
        <w:t xml:space="preserve"> </w:t>
      </w:r>
      <w:r>
        <w:rPr>
          <w:rFonts w:ascii="Times New Roman;sans-serif" w:hAnsi="Times New Roman;sans-serif"/>
          <w:b w:val="false"/>
          <w:color w:val="000000"/>
          <w:sz w:val="23"/>
        </w:rPr>
        <w:t>below, in no event may the Company accept an amount that is less than the amount of Erroneously Awarded Compensation in satisfaction of a Covered Executive’s obligations hereunder.</w:t>
      </w:r>
    </w:p>
    <w:p>
      <w:pPr>
        <w:pStyle w:val="TextBody"/>
        <w:bidi w:val="0"/>
        <w:spacing w:lineRule="auto" w:line="288" w:before="0" w:after="240"/>
        <w:jc w:val="both"/>
        <w:rPr/>
      </w:pPr>
      <w:r>
        <w:rPr>
          <w:rFonts w:ascii="Times New Roman;sans-serif" w:hAnsi="Times New Roman;sans-serif"/>
          <w:b w:val="false"/>
          <w:color w:val="000000"/>
          <w:sz w:val="23"/>
        </w:rPr>
        <w:t xml:space="preserve">(c)To the extent that a Covered Executive fails to repay all Erroneously Awarded Compensation to the Company when due (as determined in accordance with </w:t>
      </w:r>
      <w:r>
        <w:rPr>
          <w:rFonts w:ascii="Times New Roman;sans-serif" w:hAnsi="Times New Roman;sans-serif"/>
          <w:b w:val="false"/>
          <w:color w:val="000000"/>
          <w:sz w:val="23"/>
          <w:u w:val="single"/>
        </w:rPr>
        <w:t>Section IV(b)</w:t>
      </w:r>
      <w:r>
        <w:rPr>
          <w:color w:val="000000"/>
        </w:rPr>
        <w:t xml:space="preserve"> </w:t>
      </w:r>
      <w:r>
        <w:rPr>
          <w:rFonts w:ascii="Times New Roman;sans-serif" w:hAnsi="Times New Roman;sans-serif"/>
          <w:b w:val="false"/>
          <w:color w:val="000000"/>
          <w:sz w:val="23"/>
        </w:rPr>
        <w:t>above), the Company shall take all actions reasonable and appropriate to recover such Erroneously Awarded Compensation from the applicable Covered Executive. The applicable Covered Executive shall be required to reimburse the Company for any and all expenses reasonably incurred (including legal fees) by the Company in recovering such Erroneously Awarded Compensation in accordance with the immediately preceding sentence.</w:t>
      </w:r>
    </w:p>
    <w:p>
      <w:pPr>
        <w:pStyle w:val="TextBody"/>
        <w:bidi w:val="0"/>
        <w:spacing w:before="0" w:after="16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60655"/>
                <wp:effectExtent l="0" t="0" r="0" b="0"/>
                <wp:wrapNone/>
                <wp:docPr id="205" name="Frame2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 xml:space="preserve">(d)Notwithstanding anything herein to the contrary, the Company shall not be required to take the actions contemplated by </w:t>
      </w:r>
      <w:r>
        <w:rPr>
          <w:rFonts w:ascii="Times New Roman;sans-serif" w:hAnsi="Times New Roman;sans-serif"/>
          <w:b w:val="false"/>
          <w:color w:val="000000"/>
          <w:sz w:val="23"/>
          <w:u w:val="single"/>
        </w:rPr>
        <w:t>Section IV(b)</w:t>
      </w:r>
      <w:r>
        <w:rPr>
          <w:color w:val="000000"/>
        </w:rPr>
        <w:t xml:space="preserve"> </w:t>
      </w:r>
      <w:r>
        <w:rPr>
          <w:rFonts w:ascii="Times New Roman;sans-serif" w:hAnsi="Times New Roman;sans-serif"/>
          <w:b w:val="false"/>
          <w:color w:val="000000"/>
          <w:sz w:val="23"/>
        </w:rPr>
        <w:t>above if the following conditions are met and the Committee determines that recovery would be impracticable:</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(i)the direct expenses paid to a third party to assist in enforcing this Policy against a Covered Executive would exceed the amount to be recovered, after the Company has made a reasonable attempt to recover the applicable Erroneously Awarded Compensation, documented such attempts and provided such documentation to NASDAQ;</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(ii)recovery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(iii)recovery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88" w:before="0" w:after="240"/>
        <w:jc w:val="both"/>
        <w:rPr/>
      </w:pPr>
      <w:r>
        <w:rPr>
          <w:rFonts w:ascii="Times New Roman;sans-serif" w:hAnsi="Times New Roman;sans-serif"/>
          <w:b/>
          <w:color w:val="000000"/>
          <w:sz w:val="23"/>
        </w:rPr>
        <w:t>V.</w:t>
      </w:r>
      <w:r>
        <w:rPr>
          <w:rFonts w:ascii="Times New Roman;sans-serif" w:hAnsi="Times New Roman;sans-serif"/>
          <w:b/>
          <w:color w:val="000000"/>
          <w:sz w:val="23"/>
          <w:u w:val="single"/>
        </w:rPr>
        <w:t>Acknowledgement by Covered Executives</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The Company shall provide notice of this Policy to, and seek written acknowledgement of this Policy from, each Covered Executive in such form as the Company deems appropriate; provided that the failure to provide such notice or obtain such acknowledgement shall have no impact on the applicability or enforceability of this Policy.</w:t>
      </w:r>
    </w:p>
    <w:p>
      <w:pPr>
        <w:pStyle w:val="TextBody"/>
        <w:bidi w:val="0"/>
        <w:spacing w:lineRule="auto" w:line="288" w:before="0" w:after="240"/>
        <w:jc w:val="both"/>
        <w:rPr/>
      </w:pPr>
      <w:r>
        <w:rPr>
          <w:rFonts w:ascii="Times New Roman;sans-serif" w:hAnsi="Times New Roman;sans-serif"/>
          <w:b/>
          <w:color w:val="000000"/>
          <w:sz w:val="23"/>
        </w:rPr>
        <w:t>VI.</w:t>
      </w:r>
      <w:r>
        <w:rPr>
          <w:rFonts w:ascii="Times New Roman;sans-serif" w:hAnsi="Times New Roman;sans-serif"/>
          <w:b/>
          <w:color w:val="000000"/>
          <w:sz w:val="23"/>
          <w:u w:val="single"/>
        </w:rPr>
        <w:t>Reporting and Disclosure</w:t>
      </w:r>
      <w:r>
        <w:rPr>
          <w:rFonts w:ascii="Times New Roman;sans-serif" w:hAnsi="Times New Roman;sans-serif"/>
          <w:b w:val="false"/>
          <w:color w:val="000000"/>
          <w:sz w:val="23"/>
        </w:rPr>
        <w:t>.</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The Company shall make all disclosures with respect to this Policy in accordance with the requirements of the U.S. federal securities laws and the applicable listing standards.</w:t>
      </w:r>
    </w:p>
    <w:p>
      <w:pPr>
        <w:pStyle w:val="TextBody"/>
        <w:bidi w:val="0"/>
        <w:spacing w:lineRule="auto" w:line="288" w:before="0" w:after="240"/>
        <w:jc w:val="both"/>
        <w:rPr/>
      </w:pPr>
      <w:r>
        <w:rPr>
          <w:rFonts w:ascii="Times New Roman;sans-serif" w:hAnsi="Times New Roman;sans-serif"/>
          <w:b/>
          <w:color w:val="000000"/>
          <w:sz w:val="23"/>
        </w:rPr>
        <w:t>VII.</w:t>
      </w:r>
      <w:r>
        <w:rPr>
          <w:rFonts w:ascii="Times New Roman;sans-serif" w:hAnsi="Times New Roman;sans-serif"/>
          <w:b/>
          <w:color w:val="000000"/>
          <w:sz w:val="23"/>
          <w:u w:val="single"/>
        </w:rPr>
        <w:t>No Indemnification</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Notwithstanding the terms of any of the Company’s organizational documents, any corporate policy or any contract, the Company shall not indemnify any Covered Executive against the loss of any Erroneously Awarded Compensation or any claims relating to the Company’s enforcement of its rights under this Policy nor shall the Company pay or reimburse any Covered Executive for any insurance premium to cover the loss of any Erroneously Awarded Compensation.</w:t>
      </w:r>
    </w:p>
    <w:p>
      <w:pPr>
        <w:pStyle w:val="TextBody"/>
        <w:bidi w:val="0"/>
        <w:spacing w:before="0" w:after="16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60655"/>
                <wp:effectExtent l="0" t="0" r="0" b="0"/>
                <wp:wrapNone/>
                <wp:docPr id="206" name="Frame2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3"/>
        </w:rPr>
        <w:t>VIII.</w:t>
      </w:r>
      <w:r>
        <w:rPr>
          <w:rFonts w:ascii="Times New Roman;sans-serif" w:hAnsi="Times New Roman;sans-serif"/>
          <w:b/>
          <w:color w:val="000000"/>
          <w:sz w:val="23"/>
          <w:u w:val="single"/>
        </w:rPr>
        <w:t>Interpretation</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or national securities association on which the Company’s securities are listed.</w:t>
      </w:r>
    </w:p>
    <w:p>
      <w:pPr>
        <w:pStyle w:val="TextBody"/>
        <w:bidi w:val="0"/>
        <w:spacing w:lineRule="auto" w:line="288" w:before="0" w:after="240"/>
        <w:jc w:val="both"/>
        <w:rPr/>
      </w:pPr>
      <w:r>
        <w:rPr>
          <w:rFonts w:ascii="Times New Roman;sans-serif" w:hAnsi="Times New Roman;sans-serif"/>
          <w:b/>
          <w:color w:val="000000"/>
          <w:sz w:val="23"/>
        </w:rPr>
        <w:t>IX.</w:t>
      </w:r>
      <w:r>
        <w:rPr>
          <w:rFonts w:ascii="Times New Roman;sans-serif" w:hAnsi="Times New Roman;sans-serif"/>
          <w:b/>
          <w:color w:val="000000"/>
          <w:sz w:val="23"/>
          <w:u w:val="single"/>
        </w:rPr>
        <w:t>Effective Date</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This Policy shall be effective as of the Effective Date.</w:t>
      </w:r>
    </w:p>
    <w:p>
      <w:pPr>
        <w:pStyle w:val="TextBody"/>
        <w:bidi w:val="0"/>
        <w:spacing w:lineRule="auto" w:line="288" w:before="0" w:after="240"/>
        <w:jc w:val="both"/>
        <w:rPr/>
      </w:pPr>
      <w:r>
        <w:rPr>
          <w:rFonts w:ascii="Times New Roman;sans-serif" w:hAnsi="Times New Roman;sans-serif"/>
          <w:b/>
          <w:color w:val="000000"/>
          <w:sz w:val="23"/>
        </w:rPr>
        <w:t>X.</w:t>
      </w:r>
      <w:r>
        <w:rPr>
          <w:rFonts w:ascii="Times New Roman;sans-serif" w:hAnsi="Times New Roman;sans-serif"/>
          <w:b/>
          <w:color w:val="000000"/>
          <w:sz w:val="23"/>
          <w:u w:val="single"/>
        </w:rPr>
        <w:t>Amendment; Termination</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The non-executive members of the Board may, upon the recommendation of the Committee, amend this Policy from time to time in its discretion and shall amend this Policy as it deems necessary to reflect final regulations adopted by the SEC under Section 10D of the Exchange Act and to comply with any rules or standards adopted by NASDAQ or other national securities association on which the Company’s securities are listed. The Board may terminate this Policy at any time. Notwithstanding the foregoing, no amendment or termination of this Policy shall be effective if such amendment or termination would (after taking into account any actions taken by the Company contemporaneously with such amendment or termination) cause the Company to violate any U.S. federal securities laws, SEC rule or the rules of any national securities exchange or national securities association on which the Company’s securities are listed.</w:t>
      </w:r>
    </w:p>
    <w:p>
      <w:pPr>
        <w:pStyle w:val="TextBody"/>
        <w:bidi w:val="0"/>
        <w:spacing w:lineRule="auto" w:line="288" w:before="0" w:after="240"/>
        <w:jc w:val="both"/>
        <w:rPr/>
      </w:pPr>
      <w:r>
        <w:rPr>
          <w:rFonts w:ascii="Times New Roman;sans-serif" w:hAnsi="Times New Roman;sans-serif"/>
          <w:b/>
          <w:color w:val="000000"/>
          <w:sz w:val="23"/>
        </w:rPr>
        <w:t>XI.</w:t>
      </w:r>
      <w:r>
        <w:rPr>
          <w:rFonts w:ascii="Times New Roman;sans-serif" w:hAnsi="Times New Roman;sans-serif"/>
          <w:b/>
          <w:color w:val="000000"/>
          <w:sz w:val="23"/>
          <w:u w:val="single"/>
        </w:rPr>
        <w:t>Other Recovery Rights</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The Committee intends that this Policy will be applied to the fullest extent of the law. The Committee may require that any employment agreement, equity award agreement, or similar agreement entered into on or after the Effective Date shall, as a condition to the grant of any benefit thereunder, require a Covered Executive to acknowledge this policy and agree to abide by its terms. Any right of recovery under this Policy is in addition to, and not in lieu of, any other remedies or rights of recovery that may be available to the Company under applicable law, regulation or rule or pursuant to the terms of any similar policy, whether or not included in any employment agreement, equity award agreement, or similar agreement, and any other legal remedies or rights available to the Company.</w:t>
      </w:r>
    </w:p>
    <w:p>
      <w:pPr>
        <w:pStyle w:val="TextBody"/>
        <w:bidi w:val="0"/>
        <w:spacing w:lineRule="auto" w:line="288" w:before="0" w:after="240"/>
        <w:jc w:val="both"/>
        <w:rPr/>
      </w:pPr>
      <w:r>
        <w:rPr>
          <w:rFonts w:ascii="Times New Roman;sans-serif" w:hAnsi="Times New Roman;sans-serif"/>
          <w:b/>
          <w:color w:val="000000"/>
          <w:sz w:val="23"/>
        </w:rPr>
        <w:t>XII.</w:t>
      </w:r>
      <w:r>
        <w:rPr>
          <w:rFonts w:ascii="Times New Roman;sans-serif" w:hAnsi="Times New Roman;sans-serif"/>
          <w:b/>
          <w:color w:val="000000"/>
          <w:sz w:val="23"/>
          <w:u w:val="single"/>
        </w:rPr>
        <w:t>Successors</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This Policy shall be binding and enforceable against all Covered Executives and their beneficiaries, heirs, executors, administrators or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60655"/>
                <wp:effectExtent l="0" t="0" r="0" b="0"/>
                <wp:wrapNone/>
                <wp:docPr id="207" name="Frame2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620459/000162045923000128/exhibit21.htm" TargetMode="External"/><Relationship Id="rId6" Type="http://schemas.openxmlformats.org/officeDocument/2006/relationships/hyperlink" Target="http://www.sec.gov/Archives/edgar/data/1620459/000157104914005924/t1401933_ex3-1.htm" TargetMode="External"/><Relationship Id="rId7" Type="http://schemas.openxmlformats.org/officeDocument/2006/relationships/hyperlink" Target="http://www.sec.gov/Archives/edgar/data/1620459/000157104914005924/t1401933_ex3-2.htm" TargetMode="External"/><Relationship Id="rId8" Type="http://schemas.openxmlformats.org/officeDocument/2006/relationships/hyperlink" Target="http://www.sec.gov/Archives/edgar/data/1620459/000157104914005924/t1401933_ex3-3.htm" TargetMode="External"/><Relationship Id="rId9" Type="http://schemas.openxmlformats.org/officeDocument/2006/relationships/hyperlink" Target="http://www.sec.gov/Archives/edgar/data/1620459/000157104914005924/t1401933_ex3-4.htm" TargetMode="External"/><Relationship Id="rId10" Type="http://schemas.openxmlformats.org/officeDocument/2006/relationships/hyperlink" Target="http://www.sec.gov/Archives/edgar/data/1620459/000157104914005924/t1401933_ex3-5.htm" TargetMode="External"/><Relationship Id="rId11" Type="http://schemas.openxmlformats.org/officeDocument/2006/relationships/hyperlink" Target="https://www.sec.gov/Archives/edgar/data/1620459/000162045923000026/a4q22jrvrex36.htm" TargetMode="External"/><Relationship Id="rId12" Type="http://schemas.openxmlformats.org/officeDocument/2006/relationships/hyperlink" Target="http://www.sec.gov/Archives/edgar/data/1620459/000157104914007101/t1402404_ex4-1.htm" TargetMode="External"/><Relationship Id="rId13" Type="http://schemas.openxmlformats.org/officeDocument/2006/relationships/hyperlink" Target="https://www.sec.gov/Archives/edgar/data/1620459/000162045922000084/a1q22jrvrex103.htm" TargetMode="External"/><Relationship Id="rId14" Type="http://schemas.openxmlformats.org/officeDocument/2006/relationships/hyperlink" Target="https://www.sec.gov/Archives/edgar/data/1620459/000162045923000026/a4q22jrvrex418.htm" TargetMode="External"/><Relationship Id="rId15" Type="http://schemas.openxmlformats.org/officeDocument/2006/relationships/hyperlink" Target="https://www.sec.gov/Archives/edgar/data/1620459/000162045923000100/exhibit101.htm" TargetMode="External"/><Relationship Id="rId16" Type="http://schemas.openxmlformats.org/officeDocument/2006/relationships/hyperlink" Target="https://www.sec.gov/Archives/edgar/data/1620459/000162045923000128/exhibit101-keybankconsent.htm" TargetMode="External"/><Relationship Id="rId17" Type="http://schemas.openxmlformats.org/officeDocument/2006/relationships/hyperlink" Target="http://www.sec.gov/Archives/edgar/data/1620459/000157104914005924/t1401933_ex10-2.htm" TargetMode="External"/><Relationship Id="rId18" Type="http://schemas.openxmlformats.org/officeDocument/2006/relationships/hyperlink" Target="http://www.sec.gov/Archives/edgar/data/1620459/000157104916012907/t1600530_ex10-5.htm" TargetMode="External"/><Relationship Id="rId19" Type="http://schemas.openxmlformats.org/officeDocument/2006/relationships/hyperlink" Target="http://www.sec.gov/Archives/edgar/data/1620459/000157104917007192/t1702273_ex10-1.htm" TargetMode="External"/><Relationship Id="rId20" Type="http://schemas.openxmlformats.org/officeDocument/2006/relationships/hyperlink" Target="http://www.sec.gov/Archives/edgar/data/1620459/000110465919061877/tm1922373d1_ex10-2.htm" TargetMode="External"/><Relationship Id="rId21" Type="http://schemas.openxmlformats.org/officeDocument/2006/relationships/hyperlink" Target="https://www.sec.gov/Archives/edgar/data/1620459/000162045922000015/a4q21jrvrex107.htm" TargetMode="External"/><Relationship Id="rId22" Type="http://schemas.openxmlformats.org/officeDocument/2006/relationships/hyperlink" Target="https://www.sec.gov/Archives/edgar/data/1620459/000162045923000026/a4q22jrvrex109.htm" TargetMode="External"/><Relationship Id="rId23" Type="http://schemas.openxmlformats.org/officeDocument/2006/relationships/hyperlink" Target="https://www.sec.gov/Archives/edgar/data/1620459/000162045923000128/exhibit102-bmoconsent.htm" TargetMode="External"/><Relationship Id="rId24" Type="http://schemas.openxmlformats.org/officeDocument/2006/relationships/hyperlink" Target="http://www.sec.gov/Archives/edgar/data/1620459/000157104917007192/t1702273_ex10-2.htm" TargetMode="External"/><Relationship Id="rId25" Type="http://schemas.openxmlformats.org/officeDocument/2006/relationships/hyperlink" Target="http://www.sec.gov/Archives/edgar/data/1620459/000157104914006789/t1402136_ex10-7.htm" TargetMode="External"/><Relationship Id="rId26" Type="http://schemas.openxmlformats.org/officeDocument/2006/relationships/hyperlink" Target="http://www.sec.gov/Archives/edgar/data/1620459/000157104914005924/t1401933_ex10-8.htm" TargetMode="External"/><Relationship Id="rId27" Type="http://schemas.openxmlformats.org/officeDocument/2006/relationships/hyperlink" Target="http://www.sec.gov/Archives/edgar/data/1620459/000157104914005924/t1401933_ex10-9.htm" TargetMode="External"/><Relationship Id="rId28" Type="http://schemas.openxmlformats.org/officeDocument/2006/relationships/hyperlink" Target="http://www.sec.gov/Archives/edgar/data/1620459/000157104914006789/t1402136_ex10-10.htm" TargetMode="External"/><Relationship Id="rId29" Type="http://schemas.openxmlformats.org/officeDocument/2006/relationships/hyperlink" Target="http://www.sec.gov/Archives/edgar/data/1620459/000157104914006789/t1402136_ex10-11.htm" TargetMode="External"/><Relationship Id="rId30" Type="http://schemas.openxmlformats.org/officeDocument/2006/relationships/hyperlink" Target="http://www.sec.gov/Archives/edgar/data/1620459/000157104917004403/t1701376_ex10-1.htm" TargetMode="External"/><Relationship Id="rId31" Type="http://schemas.openxmlformats.org/officeDocument/2006/relationships/hyperlink" Target="https://www.sec.gov/Archives/edgar/data/1620459/000162045922000100/exhibit101-2ndamendmentto2.htm" TargetMode="External"/><Relationship Id="rId32" Type="http://schemas.openxmlformats.org/officeDocument/2006/relationships/hyperlink" Target="http://www.sec.gov/Archives/edgar/data/1620459/000157104914006789/t1402136_ex10-12.htm" TargetMode="External"/><Relationship Id="rId33" Type="http://schemas.openxmlformats.org/officeDocument/2006/relationships/hyperlink" Target="http://www.sec.gov/Archives/edgar/data/1620459/000157104914006789/t1402136_ex10-13.htm" TargetMode="External"/><Relationship Id="rId34" Type="http://schemas.openxmlformats.org/officeDocument/2006/relationships/hyperlink" Target="http://www.sec.gov/Archives/edgar/data/1620459/000157104914007101/t1402404_ex10-14.htm" TargetMode="External"/><Relationship Id="rId35" Type="http://schemas.openxmlformats.org/officeDocument/2006/relationships/hyperlink" Target="https://www.sec.gov/Archives/edgar/data/1620459/000162045923000026/a4q22jrvrex1021.htm" TargetMode="External"/><Relationship Id="rId36" Type="http://schemas.openxmlformats.org/officeDocument/2006/relationships/hyperlink" Target="https://www.sec.gov/Archives/edgar/data/1620459/000162045923000026/a4q22jrvrex1022.htm" TargetMode="External"/><Relationship Id="rId37" Type="http://schemas.openxmlformats.org/officeDocument/2006/relationships/hyperlink" Target="https://www.sec.gov/Archives/edgar/data/1620459/000162045923000026/a4q22jrvrex1023.htm" TargetMode="External"/><Relationship Id="rId38" Type="http://schemas.openxmlformats.org/officeDocument/2006/relationships/hyperlink" Target="http://www.sec.gov/Archives/edgar/data/1620459/000157104914006789/t1402136_ex10-15.htm" TargetMode="External"/><Relationship Id="rId39" Type="http://schemas.openxmlformats.org/officeDocument/2006/relationships/hyperlink" Target="http://www.sec.gov/Archives/edgar/data/1620459/000162045919000057/ex101-planamendment.htm" TargetMode="External"/><Relationship Id="rId40" Type="http://schemas.openxmlformats.org/officeDocument/2006/relationships/hyperlink" Target="http://www.sec.gov/Archives/edgar/data/1620459/000157104914006789/t1402136_ex10-16.htm" TargetMode="External"/><Relationship Id="rId41" Type="http://schemas.openxmlformats.org/officeDocument/2006/relationships/hyperlink" Target="http://www.sec.gov/Archives/edgar/data/1620459/000157104914007101/t1402404_ex10-17.htm" TargetMode="External"/><Relationship Id="rId42" Type="http://schemas.openxmlformats.org/officeDocument/2006/relationships/hyperlink" Target="http://www.sec.gov/Archives/edgar/data/1620459/000157104914006789/t1402136_ex10-18.htm" TargetMode="External"/><Relationship Id="rId43" Type="http://schemas.openxmlformats.org/officeDocument/2006/relationships/hyperlink" Target="https://www.sec.gov/Archives/edgar/data/1620459/000162045920000095/exhibit101-employmentagree.htm" TargetMode="External"/><Relationship Id="rId44" Type="http://schemas.openxmlformats.org/officeDocument/2006/relationships/hyperlink" Target="https://www.sec.gov/Archives/edgar/data/1620459/000162045923000097/jrvrex101-firstamendmentto.htm" TargetMode="External"/><Relationship Id="rId45" Type="http://schemas.openxmlformats.org/officeDocument/2006/relationships/hyperlink" Target="http://www.sec.gov/Archives/edgar/data/1620459/000157104916020824/t1603123_ex10-1.htm" TargetMode="External"/><Relationship Id="rId46" Type="http://schemas.openxmlformats.org/officeDocument/2006/relationships/hyperlink" Target="http://www.sec.gov/Archives/edgar/data/1620459/000162828018013981/jrvrex10109302018.htm" TargetMode="External"/><Relationship Id="rId47" Type="http://schemas.openxmlformats.org/officeDocument/2006/relationships/hyperlink" Target="http://www.sec.gov/Archives/edgar/data/1620459/000162828018002654/jrvrex102212312017.htm" TargetMode="External"/><Relationship Id="rId48" Type="http://schemas.openxmlformats.org/officeDocument/2006/relationships/hyperlink" Target="http://www.sec.gov/Archives/edgar/data/1620459/000157104914006789/t1402136_ex10-22.htm" TargetMode="External"/><Relationship Id="rId49" Type="http://schemas.openxmlformats.org/officeDocument/2006/relationships/hyperlink" Target="https://www.sec.gov/Archives/edgar/data/1620459/000162045923000097/jrvrex102-amendedandrestat.htm" TargetMode="External"/><Relationship Id="rId50" Type="http://schemas.openxmlformats.org/officeDocument/2006/relationships/hyperlink" Target="http://www.sec.gov/Archives/edgar/data/1620459/000162045919000052/jrvrex103112312018.htm" TargetMode="External"/><Relationship Id="rId51" Type="http://schemas.openxmlformats.org/officeDocument/2006/relationships/hyperlink" Target="https://www.sec.gov/Archives/edgar/data/0001620459/000110465922028107/tm227669d1_ex10-1.htm" TargetMode="External"/><Relationship Id="rId52" Type="http://schemas.openxmlformats.org/officeDocument/2006/relationships/hyperlink" Target="https://www.sec.gov/Archives/edgar/data/1620459/000162045922000084/a1q22jrvrex102.htm" TargetMode="External"/><Relationship Id="rId53" Type="http://schemas.openxmlformats.org/officeDocument/2006/relationships/hyperlink" Target="https://www.sec.gov/Archives/edgar/data/1620459/000162045922000084/a1q22jrvrex104.htm" TargetMode="External"/><Relationship Id="rId54" Type="http://schemas.openxmlformats.org/officeDocument/2006/relationships/hyperlink" Target="https://www.sec.gov/Archives/edgar/data/0001620459/000110465921120933/tm2128750d1_ex10-1.htm" TargetMode="External"/><Relationship Id="rId55" Type="http://schemas.openxmlformats.org/officeDocument/2006/relationships/hyperlink" Target="https://www.sec.gov/Archives/edgar/data/0001620459/000110465921120933/tm2128750d1_ex10-2.htm" TargetMode="External"/><Relationship Id="rId56" Type="http://schemas.openxmlformats.org/officeDocument/2006/relationships/hyperlink" Target="https://www.sec.gov/Archives/edgar/data/0001620459/000110465922028107/tm227669d1_ex10-2.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126524</Words>
  <Characters>697380</Characters>
  <CharactersWithSpaces>818505</CharactersWithSpaces>
  <Paragraphs>10136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