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73" w:lineRule="exact"/>
        <w:rPr>
          <w:sz w:val="24"/>
          <w:szCs w:val="24"/>
          <w:color w:val="auto"/>
        </w:rPr>
      </w:pPr>
    </w:p>
    <w:p>
      <w:pPr>
        <w:ind w:left="820"/>
        <w:spacing w:after="0"/>
        <w:tabs>
          <w:tab w:leader="none" w:pos="506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color w:val="auto"/>
        </w:rPr>
        <w:t>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34290</wp:posOffset>
            </wp:positionV>
            <wp:extent cx="1560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JAMES RIVER GROUP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6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Delaware</w:t>
            </w:r>
          </w:p>
        </w:tc>
        <w:tc>
          <w:tcPr>
            <w:tcW w:w="332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001-36777</w:t>
            </w:r>
          </w:p>
        </w:tc>
        <w:tc>
          <w:tcPr>
            <w:tcW w:w="388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98-0585280</w:t>
            </w:r>
          </w:p>
        </w:tc>
      </w:tr>
      <w:tr>
        <w:trPr>
          <w:trHeight w:val="234"/>
        </w:trPr>
        <w:tc>
          <w:tcPr>
            <w:tcW w:w="4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 File Number)</w:t>
            </w:r>
          </w:p>
        </w:tc>
        <w:tc>
          <w:tcPr>
            <w:tcW w:w="3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1414 Raleigh Road, Suite 405, Chapel Hill, North Carolina, 27517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900-1200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Check the appropriate box below if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filing is intended to simultaneously satisfy the filing obligation of the registrant under any of the following provisions (see General Instruction A.2 below):</w:t>
      </w:r>
    </w:p>
    <w:p>
      <w:pPr>
        <w:spacing w:after="0" w:line="23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highlight w:val="black"/>
        </w:rPr>
      </w:pPr>
    </w:p>
    <w:p>
      <w:pPr>
        <w:ind w:left="380" w:hanging="372"/>
        <w:spacing w:after="0" w:line="228" w:lineRule="exact"/>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Soliciting material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40" w:lineRule="exact"/>
        <w:rPr>
          <w:rFonts w:ascii="MS PGothic" w:cs="MS PGothic" w:eastAsia="MS PGothic" w:hAnsi="MS PGothic"/>
          <w:sz w:val="22"/>
          <w:szCs w:val="22"/>
          <w:color w:val="auto"/>
          <w:highlight w:val="black"/>
        </w:rPr>
      </w:pPr>
    </w:p>
    <w:p>
      <w:pPr>
        <w:ind w:left="380" w:hanging="372"/>
        <w:spacing w:after="0" w:line="228" w:lineRule="exact"/>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28" w:lineRule="exact"/>
        <w:rPr>
          <w:rFonts w:ascii="MS PGothic" w:cs="MS PGothic" w:eastAsia="MS PGothic" w:hAnsi="MS PGothic"/>
          <w:sz w:val="22"/>
          <w:szCs w:val="22"/>
          <w:color w:val="auto"/>
          <w:highlight w:val="black"/>
        </w:rPr>
      </w:pPr>
    </w:p>
    <w:p>
      <w:pPr>
        <w:ind w:left="380" w:hanging="372"/>
        <w:spacing w:after="0" w:line="228" w:lineRule="exact"/>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37"/>
        </w:trPr>
        <w:tc>
          <w:tcPr>
            <w:tcW w:w="178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920" w:type="dxa"/>
            <w:vAlign w:val="bottom"/>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5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Common Stock, par value $0.0002 per share</w:t>
            </w:r>
          </w:p>
        </w:tc>
        <w:tc>
          <w:tcPr>
            <w:tcW w:w="228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w w:val="99"/>
              </w:rPr>
              <w:t>JRVR</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9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highlight w:val="black"/>
        </w:rPr>
        <w:t>☐</w:t>
      </w:r>
    </w:p>
    <w:p>
      <w:pPr>
        <w:spacing w:after="0" w:line="309"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 w:name="page2"/>
    <w:bookmarkEnd w:id="1"/>
    <w:p>
      <w:pPr>
        <w:ind w:left="1220" w:right="2400" w:hanging="1187"/>
        <w:spacing w:after="0" w:line="239" w:lineRule="auto"/>
        <w:tabs>
          <w:tab w:leader="none" w:pos="12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Retirement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announced in a Current Report on Form 8-K filed with the U.S. Securities and Exchange Commission (the “SEC”) on April 14, 2026 by James River Group Holdings, Inc. (the “Company”), on April 8, 2026, Dennis J. Langwell advised the Company that he did not intend to seek re-election as a director at the Company’s 2026 annual meeting of shareholders. On June 2, 2026, Mr. Langwell advised the Company of his resignation as a director of the Company, with effect from June 16, 2026. Neither Mr. Langwell’s decision not to stand for re-election nor his resignation were the result of a disagreement with the Company with respect to any matter relating to the Company’s operations, policies or practices.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Appointment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8, 2026, the Board of Directors (the “Board”) of the Company appointed Rajiv Basu as a director of the Company, effective immediately. Mr. Basu was also appointed to serve as Chair of the Audit Committee of the Board.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Basu will be entitled to the compensation that the Company pays its other non-employee directors in the form of cash and equity. For more information on the compensation of the Company’s directors, please refer to the disclosure under the heading “Compensation of Directors” in the Company’s Amendment No. 1 to its Annual Report on Form 10-K for the fiscal year ended December 31, 2025 filed with the SEC on April 30, 2026, which disclosure is incorporated herein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arrangements or understandings between Mr. Basu and any other person pursuant to which he was appointed as a director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Basu is not a party to any current or proposed transaction with the Company requiring disclosure under Item 404(a) of Regulation S-K.</w:t>
      </w:r>
    </w:p>
    <w:p>
      <w:pPr>
        <w:spacing w:after="0" w:line="243"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furnishing a copy of the press release it issued on June 8, 2026 as Exhibit 99.1 to this Form 8-K, which announced the appointment of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Basu as a director of the Board described in Item 5.02 of this Form 8-K.</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provided pursuant to this Item 7.01, including Exhibit 99.1, is “furnished” and shall not be deemed to be “filed” with the SEC or incorporated by reference in any filing under the Securities Exchange Act of 1934, as amended, or the Securities Act of 1933, as amended, except as shall be expressly set forth by specific reference in any such filings.</w:t>
      </w:r>
    </w:p>
    <w:p>
      <w:pPr>
        <w:spacing w:after="0" w:line="212"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furnished as a part of this Form 8-K:</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Exhibit No.</w:t>
            </w:r>
          </w:p>
        </w:tc>
        <w:tc>
          <w:tcPr>
            <w:tcW w:w="9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115"/>
        </w:trPr>
        <w:tc>
          <w:tcPr>
            <w:tcW w:w="4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92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June 8, 2026</w:t>
            </w: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95"/>
        </w:trPr>
        <w:tc>
          <w:tcPr>
            <w:tcW w:w="4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5700" w:type="dxa"/>
            <w:vAlign w:val="bottom"/>
            <w:gridSpan w:val="3"/>
          </w:tcPr>
          <w:p>
            <w:pPr>
              <w:ind w:left="228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INC.</w:t>
            </w:r>
          </w:p>
        </w:tc>
      </w:tr>
      <w:tr>
        <w:trPr>
          <w:trHeight w:val="513"/>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June 8, 2026</w:t>
            </w:r>
          </w:p>
        </w:tc>
        <w:tc>
          <w:tcPr>
            <w:tcW w:w="57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By: /s/ Jeanette Miller</w:t>
            </w:r>
          </w:p>
        </w:tc>
      </w:tr>
      <w:tr>
        <w:trPr>
          <w:trHeight w:val="20"/>
        </w:trPr>
        <w:tc>
          <w:tcPr>
            <w:tcW w:w="37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45"/>
        </w:trPr>
        <w:tc>
          <w:tcPr>
            <w:tcW w:w="3740" w:type="dxa"/>
            <w:vAlign w:val="bottom"/>
          </w:tcPr>
          <w:p>
            <w:pPr>
              <w:spacing w:after="0"/>
              <w:rPr>
                <w:sz w:val="21"/>
                <w:szCs w:val="21"/>
                <w:color w:val="auto"/>
              </w:rPr>
            </w:pPr>
          </w:p>
        </w:tc>
        <w:tc>
          <w:tcPr>
            <w:tcW w:w="57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Jeanette Miller</w:t>
            </w:r>
          </w:p>
        </w:tc>
      </w:tr>
      <w:tr>
        <w:trPr>
          <w:trHeight w:val="234"/>
        </w:trPr>
        <w:tc>
          <w:tcPr>
            <w:tcW w:w="3740" w:type="dxa"/>
            <w:vAlign w:val="bottom"/>
          </w:tcPr>
          <w:p>
            <w:pPr>
              <w:spacing w:after="0"/>
              <w:rPr>
                <w:sz w:val="20"/>
                <w:szCs w:val="20"/>
                <w:color w:val="auto"/>
              </w:rPr>
            </w:pPr>
          </w:p>
        </w:tc>
        <w:tc>
          <w:tcPr>
            <w:tcW w:w="57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Chief Legal Officer</w:t>
            </w:r>
          </w:p>
        </w:tc>
      </w:tr>
    </w:tbl>
    <w:p>
      <w:pPr>
        <w:sectPr>
          <w:pgSz w:w="11900" w:h="16838" w:orient="portrait"/>
          <w:cols w:equalWidth="0" w:num="1">
            <w:col w:w="11200"/>
          </w:cols>
          <w:pgMar w:left="320" w:top="141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365125</wp:posOffset>
            </wp:positionV>
            <wp:extent cx="5349240" cy="454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James River Announces Director Appointment</w:t>
      </w:r>
    </w:p>
    <w:p>
      <w:pPr>
        <w:spacing w:after="0" w:line="2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Chapel Hill, NC, June 8, 2026 </w:t>
      </w:r>
      <w:r>
        <w:rPr>
          <w:rFonts w:ascii="Times New Roman" w:cs="Times New Roman" w:eastAsia="Times New Roman" w:hAnsi="Times New Roman"/>
          <w:sz w:val="22"/>
          <w:szCs w:val="22"/>
          <w:color w:val="008080"/>
        </w:rPr>
        <w:t>-</w:t>
      </w:r>
      <w:r>
        <w:rPr>
          <w:rFonts w:ascii="Times New Roman" w:cs="Times New Roman" w:eastAsia="Times New Roman" w:hAnsi="Times New Roman"/>
          <w:sz w:val="22"/>
          <w:szCs w:val="22"/>
          <w:color w:val="auto"/>
        </w:rPr>
        <w:t xml:space="preserve"> James River Group Holdings, Inc. ("James River" or the "Company") (NASDAQ: JRVR) today announced that Rajiv Basu has been appointed to the Company’s Board of Directors as an independent, non-executive member, effective immediately. Mr. Basu was also appointed as chairperson of the Board’s Audit Committee.</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i w:val="1"/>
          <w:iCs w:val="1"/>
          <w:color w:val="auto"/>
        </w:rPr>
        <w:t xml:space="preserve">“We are very pleased to welcome Rajiv to our Board,” </w:t>
      </w:r>
      <w:r>
        <w:rPr>
          <w:rFonts w:ascii="Times New Roman" w:cs="Times New Roman" w:eastAsia="Times New Roman" w:hAnsi="Times New Roman"/>
          <w:sz w:val="22"/>
          <w:szCs w:val="22"/>
          <w:color w:val="auto"/>
        </w:rPr>
        <w:t>said Christine LaSala, Chair of James River’s Board of Directors. “</w:t>
      </w:r>
      <w:r>
        <w:rPr>
          <w:rFonts w:ascii="Times New Roman" w:cs="Times New Roman" w:eastAsia="Times New Roman" w:hAnsi="Times New Roman"/>
          <w:sz w:val="22"/>
          <w:szCs w:val="22"/>
          <w:i w:val="1"/>
          <w:iCs w:val="1"/>
          <w:color w:val="auto"/>
        </w:rPr>
        <w:t>Rajiv brings deep insurance industry knowledge and extensive financial and risk management expertise. We are fortunate to be adding an independent director with Rajiv’s wealth of experience to the Board. I would also like to thank Dennis Langwell, who is retiring from the Board, for his service and valuable contributions to the Company.”</w:t>
      </w:r>
    </w:p>
    <w:p>
      <w:pPr>
        <w:spacing w:after="0" w:line="1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Mr. Basu has nearly four decades of experience in accounting, financial reporting and merger and acquisition transactions. He served in various capacities over his 40 year career specializing in insurance at Deloitte &amp; Touche LLP and its predecessor firms, most recently serving as Chief Audit Quality Leader, Southeast Asia and before that as a Senior Client Services Partner serving audit and advisory clients in the insurance industry. Mr. Basu currently serves as an independent director of Assurant, Inc. where he is a member of the audit and the finance and risk committees. He is a Fellow member of the Institute of Chartered Accountants in England and Wales and a New York certified public accountant.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press release contains forward-looking statements as that term is defined in the Private Securities Litigation Reform Act of 1995. In some cases, such forward-looking statements may be identified by terms such as believe, expect, seek, may, will, should, intend, project, anticipate, plan, estimate, guidance or similar words. Forward-looking statements involve risks and uncertainties that could cause actual results to differ materially from those in the forward-looking statements. Information about these risks and uncertainties is contained in our filings with the U.S. Securities and Exchange Commission, including our most recently filed Annual Report on Form 10-K and Quarterly Report on 10-Q. These forward-looking statements speak only as of the date of this release and the Company does not undertake any obligation to update or revise any forward-looking information to reflect changes in assumptions, the occurrence of unanticipated events, or otherwise.</w:t>
      </w:r>
    </w:p>
    <w:p>
      <w:pPr>
        <w:sectPr>
          <w:pgSz w:w="11900" w:h="16838" w:orient="portrait"/>
          <w:cols w:equalWidth="0" w:num="1">
            <w:col w:w="11240"/>
          </w:cols>
          <w:pgMar w:left="320" w:top="6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About James River Group Holdings, Inc.</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James River Group Holdings, Inc. is a holding company that owns and operates a group of specialty insurance companies. The Company operates in two specialty property-casualty insurance segments: Excess and Surplus Lines and Specialty Admitted Insurance. Each of the Company’s regulated insurance subsidiaries are rated “A-” (Excellent) by A.M. Best Company. Visit James River Group Holdings, Inc. on the web at https://jrvrgroup.com/.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Bob Zimardo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SVP, Investments &amp;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InvestorRelations@james-river-group.com</w:t>
      </w:r>
    </w:p>
    <w:sectPr>
      <w:pgSz w:w="11900" w:h="16838" w:orient="portrait"/>
      <w:cols w:equalWidth="0" w:num="1">
        <w:col w:w="11240"/>
      </w:cols>
      <w:pgMar w:left="320"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2026-06-08T15:11:37Z</dcterms:created>
  <dcterms:modified xsi:type="dcterms:W3CDTF">2026-06-08T15:11:37Z</dcterms:modified>
</cp:coreProperties>
</file>