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left"/>
        <w:tblInd w:w="0" w:type="dxa"/>
        <w:tblCellMar>
          <w:top w:w="28" w:type="dxa"/>
          <w:left w:w="28" w:type="dxa"/>
          <w:bottom w:w="28" w:type="dxa"/>
          <w:right w:w="28" w:type="dxa"/>
        </w:tblCellMar>
      </w:tblPr>
      <w:tblGrid>
        <w:gridCol w:w="124"/>
        <w:gridCol w:w="109"/>
        <w:gridCol w:w="109"/>
        <w:gridCol w:w="2882"/>
        <w:gridCol w:w="2882"/>
        <w:gridCol w:w="40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 for the quarterly period ended March 31, 2023</w:t>
            </w:r>
          </w:p>
        </w:tc>
      </w:tr>
    </w:tbl>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 for the transition period from _______ to _______</w:t>
            </w:r>
          </w:p>
        </w:tc>
      </w:tr>
    </w:tbl>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001-36777 </w:t>
      </w:r>
    </w:p>
    <w:tbl>
      <w:tblPr>
        <w:tblW w:w="9329" w:type="dxa"/>
        <w:jc w:val="center"/>
        <w:tblInd w:w="0" w:type="dxa"/>
        <w:tblCellMar>
          <w:top w:w="28" w:type="dxa"/>
          <w:left w:w="28" w:type="dxa"/>
          <w:bottom w:w="28" w:type="dxa"/>
          <w:right w:w="28" w:type="dxa"/>
        </w:tblCellMar>
      </w:tblPr>
      <w:tblGrid>
        <w:gridCol w:w="2988"/>
        <w:gridCol w:w="2627"/>
        <w:gridCol w:w="3714"/>
      </w:tblGrid>
      <w:tr>
        <w:trPr/>
        <w:tc>
          <w:tcPr>
            <w:tcW w:w="2988" w:type="dxa"/>
            <w:tcBorders/>
            <w:shd w:fill="auto" w:val="clear"/>
            <w:vAlign w:val="center"/>
          </w:tcPr>
          <w:p>
            <w:pPr>
              <w:pStyle w:val="TableContents"/>
              <w:spacing w:before="0" w:after="283"/>
              <w:rPr>
                <w:sz w:val="4"/>
                <w:szCs w:val="4"/>
              </w:rPr>
            </w:pPr>
            <w:r>
              <w:rPr>
                <w:sz w:val="4"/>
                <w:szCs w:val="4"/>
              </w:rPr>
            </w:r>
          </w:p>
        </w:tc>
        <w:tc>
          <w:tcPr>
            <w:tcW w:w="2627" w:type="dxa"/>
            <w:tcBorders/>
            <w:shd w:fill="auto" w:val="clear"/>
            <w:vAlign w:val="center"/>
          </w:tcPr>
          <w:p>
            <w:pPr>
              <w:pStyle w:val="TableContents"/>
              <w:spacing w:before="0" w:after="283"/>
              <w:rPr>
                <w:sz w:val="4"/>
                <w:szCs w:val="4"/>
              </w:rPr>
            </w:pPr>
            <w:r>
              <w:rPr>
                <w:sz w:val="4"/>
                <w:szCs w:val="4"/>
              </w:rPr>
            </w:r>
          </w:p>
        </w:tc>
        <w:tc>
          <w:tcPr>
            <w:tcW w:w="3714" w:type="dxa"/>
            <w:tcBorders/>
            <w:shd w:fill="auto" w:val="clear"/>
            <w:vAlign w:val="center"/>
          </w:tcPr>
          <w:p>
            <w:pPr>
              <w:pStyle w:val="TableContents"/>
              <w:spacing w:before="0" w:after="283"/>
              <w:rPr>
                <w:sz w:val="4"/>
                <w:szCs w:val="4"/>
              </w:rPr>
            </w:pPr>
            <w:r>
              <w:rPr>
                <w:sz w:val="4"/>
                <w:szCs w:val="4"/>
              </w:rPr>
            </w:r>
          </w:p>
        </w:tc>
      </w:tr>
      <w:tr>
        <w:trPr/>
        <w:tc>
          <w:tcPr>
            <w:tcW w:w="93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48"/>
              </w:rPr>
            </w:pPr>
            <w:r>
              <w:rPr>
                <w:rFonts w:ascii="Times New Roman;sans-serif" w:hAnsi="Times New Roman;sans-serif"/>
                <w:b/>
                <w:color w:val="000000"/>
                <w:sz w:val="48"/>
              </w:rPr>
              <w:t>JAMES RIVER GROUP HOLDINGS, LTD.</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271" w:type="dxa"/>
        <w:jc w:val="center"/>
        <w:tblInd w:w="0" w:type="dxa"/>
        <w:tblCellMar>
          <w:top w:w="28" w:type="dxa"/>
          <w:left w:w="28" w:type="dxa"/>
          <w:bottom w:w="28" w:type="dxa"/>
          <w:right w:w="28" w:type="dxa"/>
        </w:tblCellMar>
      </w:tblPr>
      <w:tblGrid>
        <w:gridCol w:w="874"/>
        <w:gridCol w:w="767"/>
        <w:gridCol w:w="773"/>
        <w:gridCol w:w="109"/>
        <w:gridCol w:w="109"/>
        <w:gridCol w:w="109"/>
        <w:gridCol w:w="447"/>
        <w:gridCol w:w="447"/>
        <w:gridCol w:w="636"/>
      </w:tblGrid>
      <w:tr>
        <w:trPr/>
        <w:tc>
          <w:tcPr>
            <w:tcW w:w="87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Bermuda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98-0585280</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ind w:left="0" w:right="0" w:firstLine="180"/>
        <w:jc w:val="center"/>
        <w:rPr>
          <w:color w:val="000000"/>
        </w:rPr>
      </w:pPr>
      <w:r>
        <w:rPr>
          <w:color w:val="000000"/>
        </w:rPr>
        <w:t> </w:t>
      </w:r>
    </w:p>
    <w:p>
      <w:pPr>
        <w:pStyle w:val="TextBody"/>
        <w:spacing w:lineRule="auto" w:line="288"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Wellesley House, 2nd Floor, 90 Pitts Bay Road, Pembroke HM08, Bermuda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(Zip Code)</w:t>
      </w:r>
    </w:p>
    <w:p>
      <w:pPr>
        <w:pStyle w:val="TextBody"/>
        <w:spacing w:lineRule="auto" w:line="288" w:before="60" w:after="283"/>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 xml:space="preserve">(441) 278-4580 </w:t>
      </w:r>
    </w:p>
    <w:p>
      <w:pPr>
        <w:pStyle w:val="TextBody"/>
        <w:spacing w:lineRule="auto" w:line="288" w:before="0" w:after="0"/>
        <w:jc w:val="center"/>
        <w:rPr/>
      </w:pPr>
      <w:r>
        <w:rPr>
          <w:rFonts w:ascii="Times New Roman;sans-serif" w:hAnsi="Times New Roman;sans-serif"/>
          <w:b/>
          <w:color w:val="000000"/>
          <w:sz w:val="20"/>
        </w:rPr>
        <w:t>(Registrant</w:t>
      </w:r>
      <w:r>
        <w:rPr>
          <w:rFonts w:ascii="Times New Roman;sans-serif" w:hAnsi="Times New Roman;sans-serif"/>
          <w:b w:val="false"/>
          <w:color w:val="000000"/>
          <w:sz w:val="20"/>
        </w:rPr>
        <w:t>'</w:t>
      </w:r>
      <w:r>
        <w:rPr>
          <w:rFonts w:ascii="Times New Roman;sans-serif" w:hAnsi="Times New Roman;sans-serif"/>
          <w:b/>
          <w:color w:val="000000"/>
          <w:sz w:val="20"/>
        </w:rPr>
        <w:t>s telephone number, including area code)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075" w:type="dxa"/>
        <w:jc w:val="center"/>
        <w:tblInd w:w="0" w:type="dxa"/>
        <w:tblCellMar>
          <w:top w:w="28" w:type="dxa"/>
          <w:left w:w="28" w:type="dxa"/>
          <w:bottom w:w="28" w:type="dxa"/>
          <w:right w:w="28" w:type="dxa"/>
        </w:tblCellMar>
      </w:tblPr>
      <w:tblGrid>
        <w:gridCol w:w="1363"/>
        <w:gridCol w:w="1193"/>
        <w:gridCol w:w="1208"/>
        <w:gridCol w:w="539"/>
        <w:gridCol w:w="539"/>
        <w:gridCol w:w="541"/>
        <w:gridCol w:w="304"/>
        <w:gridCol w:w="304"/>
        <w:gridCol w:w="304"/>
        <w:gridCol w:w="304"/>
        <w:gridCol w:w="304"/>
        <w:gridCol w:w="304"/>
        <w:gridCol w:w="610"/>
        <w:gridCol w:w="610"/>
        <w:gridCol w:w="610"/>
        <w:gridCol w:w="304"/>
        <w:gridCol w:w="304"/>
        <w:gridCol w:w="430"/>
      </w:tblGrid>
      <w:tr>
        <w:trPr/>
        <w:tc>
          <w:tcPr>
            <w:tcW w:w="136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469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Names of each exchange on which registered</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par value $0.0002 per share</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JRVR</w:t>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Global Select Market</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590"/>
        <w:gridCol w:w="519"/>
        <w:gridCol w:w="521"/>
        <w:gridCol w:w="109"/>
        <w:gridCol w:w="109"/>
        <w:gridCol w:w="109"/>
        <w:gridCol w:w="420"/>
        <w:gridCol w:w="420"/>
        <w:gridCol w:w="421"/>
        <w:gridCol w:w="109"/>
        <w:gridCol w:w="109"/>
        <w:gridCol w:w="109"/>
        <w:gridCol w:w="540"/>
        <w:gridCol w:w="540"/>
        <w:gridCol w:w="541"/>
        <w:gridCol w:w="109"/>
        <w:gridCol w:w="109"/>
        <w:gridCol w:w="109"/>
        <w:gridCol w:w="675"/>
        <w:gridCol w:w="675"/>
        <w:gridCol w:w="676"/>
        <w:gridCol w:w="109"/>
        <w:gridCol w:w="109"/>
        <w:gridCol w:w="109"/>
        <w:gridCol w:w="660"/>
        <w:gridCol w:w="660"/>
        <w:gridCol w:w="663"/>
        <w:gridCol w:w="109"/>
        <w:gridCol w:w="109"/>
        <w:gridCol w:w="158"/>
      </w:tblGrid>
      <w:tr>
        <w:trPr/>
        <w:tc>
          <w:tcPr>
            <w:tcW w:w="59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2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spacing w:lineRule="auto" w:line="288" w:before="0" w:after="0"/>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Number of shares of the registrant's common shares outstanding at May 1, 2023: 37,619,226</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CellMar>
          <w:top w:w="28" w:type="dxa"/>
          <w:left w:w="28" w:type="dxa"/>
          <w:bottom w:w="28" w:type="dxa"/>
          <w:right w:w="28" w:type="dxa"/>
        </w:tblCellMar>
      </w:tblPr>
      <w:tblGrid>
        <w:gridCol w:w="518"/>
        <w:gridCol w:w="438"/>
        <w:gridCol w:w="438"/>
        <w:gridCol w:w="2771"/>
        <w:gridCol w:w="2658"/>
        <w:gridCol w:w="2643"/>
        <w:gridCol w:w="215"/>
        <w:gridCol w:w="215"/>
        <w:gridCol w:w="309"/>
      </w:tblGrid>
      <w:tr>
        <w:trPr/>
        <w:tc>
          <w:tcPr>
            <w:tcW w:w="51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771"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c>
          <w:tcPr>
            <w:tcW w:w="264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94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466"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
              <w:r>
                <w:rPr>
                  <w:rStyle w:val="InternetLink"/>
                  <w:rFonts w:ascii="Times New Roman;sans-serif" w:hAnsi="Times New Roman;sans-serif"/>
                  <w:b w:val="false"/>
                  <w:color w:val="0000FF"/>
                  <w:sz w:val="20"/>
                  <w:u w:val="single"/>
                </w:rPr>
                <w:t>PART I. FINANCIAL INFORMATION</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3">
              <w:r>
                <w:rPr>
                  <w:rStyle w:val="InternetLink"/>
                  <w:rFonts w:ascii="Times New Roman;sans-serif" w:hAnsi="Times New Roman;sans-serif"/>
                  <w:b w:val="false"/>
                  <w:color w:val="0000FF"/>
                  <w:sz w:val="20"/>
                  <w:u w:val="single"/>
                </w:rPr>
                <w:t>Item 1.</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3">
              <w:r>
                <w:rPr>
                  <w:rStyle w:val="InternetLink"/>
                  <w:rFonts w:ascii="Times New Roman;sans-serif" w:hAnsi="Times New Roman;sans-serif"/>
                  <w:b w:val="false"/>
                  <w:color w:val="0000FF"/>
                  <w:sz w:val="20"/>
                  <w:u w:val="single"/>
                </w:rPr>
                <w:t>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6">
              <w:r>
                <w:rPr>
                  <w:rStyle w:val="InternetLink"/>
                </w:rPr>
                <w:t>Condensed Consolidated Balance Sheets</w:t>
              </w:r>
            </w:hyperlink>
            <w:hyperlink w:anchor="i9e81bf2011bf4c4590cc974715318c63_19">
              <w:r>
                <w:rPr>
                  <w:rStyle w:val="InternetLink"/>
                </w:rPr>
                <w:t>—</w:t>
              </w:r>
            </w:hyperlink>
            <w:hyperlink w:anchor="i9e81bf2011bf4c4590cc974715318c63_16">
              <w:r>
                <w:rPr>
                  <w:rStyle w:val="InternetLink"/>
                </w:rPr>
                <w:t>March 31, 2023 and December 31, 2022</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6">
              <w:r>
                <w:rPr>
                  <w:rStyle w:val="InternetLink"/>
                  <w:rFonts w:ascii="Times New Roman;sans-serif" w:hAnsi="Times New Roman;sans-serif"/>
                  <w:b w:val="false"/>
                  <w:color w:val="0000FF"/>
                  <w:sz w:val="20"/>
                  <w:u w:val="single"/>
                </w:rPr>
                <w:t>5</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9">
              <w:r>
                <w:rPr>
                  <w:rStyle w:val="InternetLink"/>
                  <w:rFonts w:ascii="Times New Roman;sans-serif" w:hAnsi="Times New Roman;sans-serif"/>
                  <w:b w:val="false"/>
                  <w:color w:val="0000FF"/>
                  <w:sz w:val="20"/>
                  <w:u w:val="single"/>
                </w:rPr>
                <w:t>Condensed Consolidated Statements of Income and Comprehensive Income (Loss)—Three Months Ended March 31, 2023 and 2022</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9">
              <w:r>
                <w:rPr>
                  <w:rStyle w:val="InternetLink"/>
                  <w:rFonts w:ascii="Times New Roman;sans-serif" w:hAnsi="Times New Roman;sans-serif"/>
                  <w:b w:val="false"/>
                  <w:color w:val="0000FF"/>
                  <w:sz w:val="20"/>
                  <w:u w:val="single"/>
                </w:rPr>
                <w:t>7</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22">
              <w:r>
                <w:rPr>
                  <w:rStyle w:val="InternetLink"/>
                  <w:rFonts w:ascii="Times New Roman;sans-serif" w:hAnsi="Times New Roman;sans-serif"/>
                  <w:b w:val="false"/>
                  <w:color w:val="0000FF"/>
                  <w:sz w:val="20"/>
                  <w:u w:val="single"/>
                </w:rPr>
                <w:t>Condensed Consolidated Statements of Changes in Shareholders’ Equity—Three Months Ended March 31, 2023 and 2022</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22">
              <w:r>
                <w:rPr>
                  <w:rStyle w:val="InternetLink"/>
                  <w:rFonts w:ascii="Times New Roman;sans-serif" w:hAnsi="Times New Roman;sans-serif"/>
                  <w:b w:val="false"/>
                  <w:color w:val="0000FF"/>
                  <w:sz w:val="20"/>
                  <w:u w:val="single"/>
                </w:rPr>
                <w:t>8</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25">
              <w:r>
                <w:rPr>
                  <w:rStyle w:val="InternetLink"/>
                  <w:rFonts w:ascii="Times New Roman;sans-serif" w:hAnsi="Times New Roman;sans-serif"/>
                  <w:b w:val="false"/>
                  <w:color w:val="0000FF"/>
                  <w:sz w:val="20"/>
                  <w:u w:val="single"/>
                </w:rPr>
                <w:t>Condensed Consolidated Statements of Cash Flows—Three Months Ended March 31, 2023 and 2022</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25">
              <w:r>
                <w:rPr>
                  <w:rStyle w:val="InternetLink"/>
                  <w:rFonts w:ascii="Times New Roman;sans-serif" w:hAnsi="Times New Roman;sans-serif"/>
                  <w:b w:val="false"/>
                  <w:color w:val="0000FF"/>
                  <w:sz w:val="20"/>
                  <w:u w:val="single"/>
                </w:rPr>
                <w:t>9</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28">
              <w:r>
                <w:rPr>
                  <w:rStyle w:val="InternetLink"/>
                  <w:rFonts w:ascii="Times New Roman;sans-serif" w:hAnsi="Times New Roman;sans-serif"/>
                  <w:b w:val="false"/>
                  <w:color w:val="0000FF"/>
                  <w:sz w:val="20"/>
                  <w:u w:val="single"/>
                </w:rPr>
                <w:t>Notes to Condensed Consolidated 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28">
              <w:r>
                <w:rPr>
                  <w:rStyle w:val="InternetLink"/>
                  <w:rFonts w:ascii="Times New Roman;sans-serif" w:hAnsi="Times New Roman;sans-serif"/>
                  <w:b w:val="false"/>
                  <w:color w:val="0000FF"/>
                  <w:sz w:val="20"/>
                  <w:u w:val="single"/>
                </w:rPr>
                <w:t>10</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73">
              <w:r>
                <w:rPr>
                  <w:rStyle w:val="InternetLink"/>
                  <w:rFonts w:ascii="Times New Roman;sans-serif" w:hAnsi="Times New Roman;sans-serif"/>
                  <w:b w:val="false"/>
                  <w:color w:val="0000FF"/>
                  <w:sz w:val="20"/>
                  <w:u w:val="single"/>
                </w:rPr>
                <w:t>Item 2.</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73">
              <w:r>
                <w:rPr>
                  <w:rStyle w:val="InternetLink"/>
                  <w:rFonts w:ascii="Times New Roman;sans-serif" w:hAnsi="Times New Roman;sans-serif"/>
                  <w:b w:val="false"/>
                  <w:color w:val="0000FF"/>
                  <w:sz w:val="20"/>
                  <w:u w:val="single"/>
                </w:rPr>
                <w:t>32</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76">
              <w:r>
                <w:rPr>
                  <w:rStyle w:val="InternetLink"/>
                  <w:rFonts w:ascii="Times New Roman;sans-serif" w:hAnsi="Times New Roman;sans-serif"/>
                  <w:b w:val="false"/>
                  <w:color w:val="0000FF"/>
                  <w:sz w:val="20"/>
                  <w:u w:val="single"/>
                </w:rPr>
                <w:t>Critical Accounting Policies and Estimates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76">
              <w:r>
                <w:rPr>
                  <w:rStyle w:val="InternetLink"/>
                  <w:rFonts w:ascii="Times New Roman;sans-serif" w:hAnsi="Times New Roman;sans-serif"/>
                  <w:b w:val="false"/>
                  <w:color w:val="0000FF"/>
                  <w:sz w:val="20"/>
                  <w:u w:val="single"/>
                </w:rPr>
                <w:t>34</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91">
              <w:r>
                <w:rPr>
                  <w:rStyle w:val="InternetLink"/>
                  <w:rFonts w:ascii="Times New Roman;sans-serif" w:hAnsi="Times New Roman;sans-serif"/>
                  <w:b w:val="false"/>
                  <w:color w:val="0000FF"/>
                  <w:sz w:val="20"/>
                  <w:u w:val="single"/>
                </w:rPr>
                <w:t>Item 3.</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91">
              <w:r>
                <w:rPr>
                  <w:rStyle w:val="InternetLink"/>
                  <w:rFonts w:ascii="Times New Roman;sans-serif" w:hAnsi="Times New Roman;sans-serif"/>
                  <w:b w:val="false"/>
                  <w:color w:val="0000FF"/>
                  <w:sz w:val="20"/>
                  <w:u w:val="single"/>
                </w:rPr>
                <w:t>Quantitative and Qualitative Disclosures About Market Risk</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91">
              <w:r>
                <w:rPr>
                  <w:rStyle w:val="InternetLink"/>
                  <w:rFonts w:ascii="Times New Roman;sans-serif" w:hAnsi="Times New Roman;sans-serif"/>
                  <w:b w:val="false"/>
                  <w:color w:val="0000FF"/>
                  <w:sz w:val="20"/>
                  <w:u w:val="single"/>
                </w:rPr>
                <w:t>56</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94">
              <w:r>
                <w:rPr>
                  <w:rStyle w:val="InternetLink"/>
                  <w:rFonts w:ascii="Times New Roman;sans-serif" w:hAnsi="Times New Roman;sans-serif"/>
                  <w:b w:val="false"/>
                  <w:color w:val="0000FF"/>
                  <w:sz w:val="20"/>
                  <w:u w:val="single"/>
                </w:rPr>
                <w:t>Item 4.</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94">
              <w:r>
                <w:rPr>
                  <w:rStyle w:val="InternetLink"/>
                  <w:rFonts w:ascii="Times New Roman;sans-serif" w:hAnsi="Times New Roman;sans-serif"/>
                  <w:b w:val="false"/>
                  <w:color w:val="0000FF"/>
                  <w:sz w:val="20"/>
                  <w:u w:val="single"/>
                </w:rPr>
                <w:t>Controls and Procedures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94">
              <w:r>
                <w:rPr>
                  <w:rStyle w:val="InternetLink"/>
                  <w:rFonts w:ascii="Times New Roman;sans-serif" w:hAnsi="Times New Roman;sans-serif"/>
                  <w:b w:val="false"/>
                  <w:color w:val="0000FF"/>
                  <w:sz w:val="20"/>
                  <w:u w:val="single"/>
                </w:rPr>
                <w:t>56</w:t>
              </w:r>
            </w:hyperlink>
          </w:p>
        </w:tc>
      </w:tr>
      <w:tr>
        <w:trPr/>
        <w:tc>
          <w:tcPr>
            <w:tcW w:w="94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97">
              <w:r>
                <w:rPr>
                  <w:rStyle w:val="InternetLink"/>
                  <w:rFonts w:ascii="Times New Roman;sans-serif" w:hAnsi="Times New Roman;sans-serif"/>
                  <w:b w:val="false"/>
                  <w:color w:val="0000FF"/>
                  <w:sz w:val="20"/>
                  <w:u w:val="single"/>
                </w:rPr>
                <w:t>PART II. OTHER INFORMATION</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0">
              <w:r>
                <w:rPr>
                  <w:rStyle w:val="InternetLink"/>
                  <w:rFonts w:ascii="Times New Roman;sans-serif" w:hAnsi="Times New Roman;sans-serif"/>
                  <w:b w:val="false"/>
                  <w:color w:val="0000FF"/>
                  <w:sz w:val="20"/>
                  <w:u w:val="single"/>
                </w:rPr>
                <w:t>Item 1.</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0">
              <w:r>
                <w:rPr>
                  <w:rStyle w:val="InternetLink"/>
                  <w:rFonts w:ascii="Times New Roman;sans-serif" w:hAnsi="Times New Roman;sans-serif"/>
                  <w:b w:val="false"/>
                  <w:color w:val="0000FF"/>
                  <w:sz w:val="20"/>
                  <w:u w:val="single"/>
                </w:rPr>
                <w:t>Legal Proceedings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00">
              <w:r>
                <w:rPr>
                  <w:rStyle w:val="InternetLink"/>
                  <w:rFonts w:ascii="Times New Roman;sans-serif" w:hAnsi="Times New Roman;sans-serif"/>
                  <w:b w:val="false"/>
                  <w:color w:val="0000FF"/>
                  <w:sz w:val="20"/>
                  <w:u w:val="single"/>
                </w:rPr>
                <w:t>56</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3">
              <w:r>
                <w:rPr>
                  <w:rStyle w:val="InternetLink"/>
                  <w:rFonts w:ascii="Times New Roman;sans-serif" w:hAnsi="Times New Roman;sans-serif"/>
                  <w:b w:val="false"/>
                  <w:color w:val="0000FF"/>
                  <w:sz w:val="20"/>
                  <w:u w:val="single"/>
                </w:rPr>
                <w:t>Item 1A.</w:t>
              </w:r>
            </w:hyperlink>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3">
              <w:r>
                <w:rPr>
                  <w:rStyle w:val="InternetLink"/>
                  <w:rFonts w:ascii="Times New Roman;sans-serif" w:hAnsi="Times New Roman;sans-serif"/>
                  <w:b w:val="false"/>
                  <w:color w:val="0000FF"/>
                  <w:sz w:val="20"/>
                  <w:u w:val="single"/>
                </w:rPr>
                <w:t>Risk Factors</w:t>
              </w:r>
            </w:hyperlink>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03">
              <w:r>
                <w:rPr>
                  <w:rStyle w:val="InternetLink"/>
                  <w:rFonts w:ascii="Times New Roman;sans-serif" w:hAnsi="Times New Roman;sans-serif"/>
                  <w:b w:val="false"/>
                  <w:color w:val="0000FF"/>
                  <w:sz w:val="20"/>
                  <w:u w:val="single"/>
                </w:rPr>
                <w:t>57</w:t>
              </w:r>
            </w:hyperlink>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6">
              <w:r>
                <w:rPr>
                  <w:rStyle w:val="InternetLink"/>
                  <w:rFonts w:ascii="Times New Roman;sans-serif" w:hAnsi="Times New Roman;sans-serif"/>
                  <w:b w:val="false"/>
                  <w:color w:val="0000FF"/>
                  <w:sz w:val="20"/>
                  <w:u w:val="single"/>
                </w:rPr>
                <w:t>Item 2.</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6">
              <w:r>
                <w:rPr>
                  <w:rStyle w:val="InternetLink"/>
                  <w:rFonts w:ascii="Times New Roman;sans-serif" w:hAnsi="Times New Roman;sans-serif"/>
                  <w:b w:val="false"/>
                  <w:color w:val="0000FF"/>
                  <w:sz w:val="20"/>
                  <w:u w:val="single"/>
                </w:rPr>
                <w:t>Unregistered Sales of Equity Securities and Use of Proceeds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06">
              <w:r>
                <w:rPr>
                  <w:rStyle w:val="InternetLink"/>
                  <w:rFonts w:ascii="Times New Roman;sans-serif" w:hAnsi="Times New Roman;sans-serif"/>
                  <w:b w:val="false"/>
                  <w:color w:val="0000FF"/>
                  <w:sz w:val="20"/>
                  <w:u w:val="single"/>
                </w:rPr>
                <w:t>57</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9">
              <w:r>
                <w:rPr>
                  <w:rStyle w:val="InternetLink"/>
                  <w:rFonts w:ascii="Times New Roman;sans-serif" w:hAnsi="Times New Roman;sans-serif"/>
                  <w:b w:val="false"/>
                  <w:color w:val="0000FF"/>
                  <w:sz w:val="20"/>
                  <w:u w:val="single"/>
                </w:rPr>
                <w:t>Item 3.</w:t>
              </w:r>
            </w:hyperlink>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09">
              <w:r>
                <w:rPr>
                  <w:rStyle w:val="InternetLink"/>
                  <w:rFonts w:ascii="Times New Roman;sans-serif" w:hAnsi="Times New Roman;sans-serif"/>
                  <w:b w:val="false"/>
                  <w:color w:val="0000FF"/>
                  <w:sz w:val="20"/>
                  <w:u w:val="single"/>
                </w:rPr>
                <w:t>Defaults Upon Senior Securities</w:t>
              </w:r>
            </w:hyperlink>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09">
              <w:r>
                <w:rPr>
                  <w:rStyle w:val="InternetLink"/>
                  <w:rFonts w:ascii="Times New Roman;sans-serif" w:hAnsi="Times New Roman;sans-serif"/>
                  <w:b w:val="false"/>
                  <w:color w:val="0000FF"/>
                  <w:sz w:val="20"/>
                  <w:u w:val="single"/>
                </w:rPr>
                <w:t>57</w:t>
              </w:r>
            </w:hyperlink>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12">
              <w:r>
                <w:rPr>
                  <w:rStyle w:val="InternetLink"/>
                  <w:rFonts w:ascii="Times New Roman;sans-serif" w:hAnsi="Times New Roman;sans-serif"/>
                  <w:b w:val="false"/>
                  <w:color w:val="0000FF"/>
                  <w:sz w:val="20"/>
                  <w:u w:val="single"/>
                </w:rPr>
                <w:t>Item 4.</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12">
              <w:r>
                <w:rPr>
                  <w:rStyle w:val="InternetLink"/>
                  <w:rFonts w:ascii="Times New Roman;sans-serif" w:hAnsi="Times New Roman;sans-serif"/>
                  <w:b w:val="false"/>
                  <w:color w:val="0000FF"/>
                  <w:sz w:val="20"/>
                  <w:u w:val="single"/>
                </w:rPr>
                <w:t>Mine Safety Disclosures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12">
              <w:r>
                <w:rPr>
                  <w:rStyle w:val="InternetLink"/>
                  <w:rFonts w:ascii="Times New Roman;sans-serif" w:hAnsi="Times New Roman;sans-serif"/>
                  <w:b w:val="false"/>
                  <w:color w:val="0000FF"/>
                  <w:sz w:val="20"/>
                  <w:u w:val="single"/>
                </w:rPr>
                <w:t>57</w:t>
              </w:r>
            </w:hyperlink>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15">
              <w:r>
                <w:rPr>
                  <w:rStyle w:val="InternetLink"/>
                  <w:rFonts w:ascii="Times New Roman;sans-serif" w:hAnsi="Times New Roman;sans-serif"/>
                  <w:b w:val="false"/>
                  <w:color w:val="0000FF"/>
                  <w:sz w:val="20"/>
                  <w:u w:val="single"/>
                </w:rPr>
                <w:t>Item 5.</w:t>
              </w:r>
            </w:hyperlink>
          </w:p>
        </w:tc>
        <w:tc>
          <w:tcPr>
            <w:tcW w:w="80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15">
              <w:r>
                <w:rPr>
                  <w:rStyle w:val="InternetLink"/>
                  <w:rFonts w:ascii="Times New Roman;sans-serif" w:hAnsi="Times New Roman;sans-serif"/>
                  <w:b w:val="false"/>
                  <w:color w:val="0000FF"/>
                  <w:sz w:val="20"/>
                  <w:u w:val="single"/>
                </w:rPr>
                <w:t>Other Information</w:t>
              </w:r>
            </w:hyperlink>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15">
              <w:r>
                <w:rPr>
                  <w:rStyle w:val="InternetLink"/>
                  <w:rFonts w:ascii="Times New Roman;sans-serif" w:hAnsi="Times New Roman;sans-serif"/>
                  <w:b w:val="false"/>
                  <w:color w:val="0000FF"/>
                  <w:sz w:val="20"/>
                  <w:u w:val="single"/>
                </w:rPr>
                <w:t>57</w:t>
              </w:r>
            </w:hyperlink>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18">
              <w:r>
                <w:rPr>
                  <w:rStyle w:val="InternetLink"/>
                  <w:rFonts w:ascii="Times New Roman;sans-serif" w:hAnsi="Times New Roman;sans-serif"/>
                  <w:b w:val="false"/>
                  <w:color w:val="0000FF"/>
                  <w:sz w:val="20"/>
                  <w:u w:val="single"/>
                </w:rPr>
                <w:t>Item 6.</w:t>
              </w:r>
            </w:hyperlink>
          </w:p>
        </w:tc>
        <w:tc>
          <w:tcPr>
            <w:tcW w:w="80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18">
              <w:r>
                <w:rPr>
                  <w:rStyle w:val="InternetLink"/>
                  <w:rFonts w:ascii="Times New Roman;sans-serif" w:hAnsi="Times New Roman;sans-serif"/>
                  <w:b w:val="false"/>
                  <w:color w:val="0000FF"/>
                  <w:sz w:val="20"/>
                  <w:u w:val="single"/>
                </w:rPr>
                <w:t>Exhibits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18">
              <w:r>
                <w:rPr>
                  <w:rStyle w:val="InternetLink"/>
                  <w:rFonts w:ascii="Times New Roman;sans-serif" w:hAnsi="Times New Roman;sans-serif"/>
                  <w:b w:val="false"/>
                  <w:color w:val="0000FF"/>
                  <w:sz w:val="20"/>
                  <w:u w:val="single"/>
                </w:rPr>
                <w:t>57</w:t>
              </w:r>
            </w:hyperlink>
          </w:p>
        </w:tc>
      </w:tr>
      <w:tr>
        <w:trPr/>
        <w:tc>
          <w:tcPr>
            <w:tcW w:w="94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9e81bf2011bf4c4590cc974715318c63_121">
              <w:r>
                <w:rPr>
                  <w:rStyle w:val="InternetLink"/>
                  <w:rFonts w:ascii="Times New Roman;sans-serif" w:hAnsi="Times New Roman;sans-serif"/>
                  <w:b w:val="false"/>
                  <w:color w:val="0000FF"/>
                  <w:sz w:val="20"/>
                  <w:u w:val="single"/>
                </w:rPr>
                <w:t>Signatures</w:t>
              </w:r>
            </w:hyperlink>
          </w:p>
        </w:tc>
        <w:tc>
          <w:tcPr>
            <w:tcW w:w="7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9e81bf2011bf4c4590cc974715318c63_121">
              <w:r>
                <w:rPr>
                  <w:rStyle w:val="InternetLink"/>
                  <w:rFonts w:ascii="Times New Roman;sans-serif" w:hAnsi="Times New Roman;sans-serif"/>
                  <w:b w:val="false"/>
                  <w:color w:val="0000FF"/>
                  <w:sz w:val="20"/>
                  <w:u w:val="single"/>
                </w:rPr>
                <w:t>58</w:t>
              </w:r>
            </w:hyperlink>
          </w:p>
        </w:tc>
      </w:tr>
    </w:tbl>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0"/>
        <w:ind w:left="0" w:right="0" w:firstLine="360"/>
        <w:jc w:val="both"/>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spacing w:lineRule="auto" w:line="288" w:before="0" w:after="0"/>
        <w:ind w:left="0" w:right="0" w:firstLine="360"/>
        <w:jc w:val="both"/>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spacing w:lineRule="auto" w:line="288" w:before="0" w:after="60"/>
        <w:ind w:left="0" w:right="0" w:firstLine="360"/>
        <w:jc w:val="both"/>
        <w:rPr>
          <w:color w:val="000000"/>
        </w:rPr>
      </w:pPr>
      <w:r>
        <w:rPr>
          <w:color w:val="000000"/>
        </w:rPr>
        <w:t> </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the inherent uncertainty of estimating reserves and the possibility that incurred losses may be greater than our loss and loss adjustment expense reserves;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inaccurate estimates and judgments in our risk management may expose us to greater risks than intended;</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downgrades in the financial strength rating of our regulated insurance subsidiaries impacting our ability to attract and retain insurance and reinsurance business that our subsidiaries write, our competitive position, and our financial condition;</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adverse economic factors resulting in the sale of fewer policies than expected or an increase in the frequency or severity of claims, or both;</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the impact of a persistent high inflationary environment on our reserves, the values of our investments and investment returns, and our compensation expenses;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exposure to credit risk, interest rate risk and other market risk in our investment portfolio;</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our ability to obtain reinsurance coverage at prices and on terms that allow us to transfer risk, adequately protect our Company against financial loss and that supports our growth plans;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inadequacy of premiums we charge to compensate us for our losses incurred;</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changes in laws or government regulation, including tax or insurance law and regulations;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changes in U.S. tax laws and the interpretation of certain provisions of the 2017 Tax Act (including associated regulations), which may be retroactive and could have a significant effect on us including, among other things, by potentially increasing our tax rate, as well as on our shareholders;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the Company or any of its foreign subsidiaries becoming subject to U.S. federal income taxation;</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a failure of any of the loss limitations or exclusions we utilize to shield us from unanticipated financial losses or legal exposures, or other liabilities;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120"/>
        <w:ind w:left="0" w:right="0" w:hanging="540"/>
        <w:rPr/>
      </w:pPr>
      <w:r>
        <w:rPr>
          <w:color w:val="000000"/>
          <w:highlight w:val="white"/>
        </w:rPr>
        <w:t>•</w:t>
      </w:r>
      <w:r>
        <w:rPr>
          <w:rFonts w:ascii="Times New Roman;sans-serif" w:hAnsi="Times New Roman;sans-serif"/>
          <w:b w:val="false"/>
          <w:color w:val="000000"/>
          <w:sz w:val="20"/>
          <w:highlight w:val="white"/>
        </w:rPr>
        <w:t>losses from catastrophic events, such as natural disasters and terrorist acts, which substantially exceed our expectations and/or exceed the amount of reinsurance we have purchased to protect us from such events;</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the effects of the COVID-19 pandemic and associated government actions on our operations and financial  performance;</w:t>
      </w:r>
    </w:p>
    <w:p>
      <w:pPr>
        <w:pStyle w:val="TextBody"/>
        <w:spacing w:lineRule="auto" w:line="288" w:before="0" w:after="120"/>
        <w:ind w:left="0" w:right="0" w:hanging="540"/>
        <w:rPr/>
      </w:pPr>
      <w:r>
        <w:rPr>
          <w:color w:val="000000"/>
        </w:rPr>
        <w:t>•</w:t>
      </w:r>
      <w:r>
        <w:rPr>
          <w:rFonts w:ascii="Times New Roman;sans-serif" w:hAnsi="Times New Roman;sans-serif"/>
          <w:b w:val="false"/>
          <w:color w:val="000000"/>
          <w:sz w:val="20"/>
        </w:rPr>
        <w:t>potential effects on our business of emerging claim and coverage issues;</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manage our growth effectively;</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failure to maintain effective internal controls in accordance with Sarbanes-Oxley Act of 2002, as amended (“Sarbanes-Oxley”);</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 xml:space="preserve">changes in our financial condition, regulations or other factors that may restrict our subsidiaries’ ability to pay us dividends; </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an adverse result in any litigation or legal proceedings we are or may become subject to; and</w:t>
      </w:r>
    </w:p>
    <w:p>
      <w:pPr>
        <w:pStyle w:val="TextBody"/>
        <w:spacing w:lineRule="auto" w:line="288" w:before="0" w:after="120"/>
        <w:ind w:left="0" w:right="0" w:hanging="540"/>
        <w:jc w:val="both"/>
        <w:rPr/>
      </w:pPr>
      <w:r>
        <w:rPr>
          <w:color w:val="000000"/>
        </w:rPr>
        <w:t>•</w:t>
      </w:r>
      <w:r>
        <w:rPr>
          <w:rFonts w:ascii="Times New Roman;sans-serif" w:hAnsi="Times New Roman;sans-serif"/>
          <w:b w:val="false"/>
          <w:color w:val="000000"/>
          <w:sz w:val="20"/>
        </w:rPr>
        <w:t>other risks and uncertainties discussed elsewhere in this Quarterly Report.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2022 filed with the SEC on February 28, 2023.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pStyle w:val="TextBody"/>
        <w:spacing w:before="0" w:after="12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CellMar>
          <w:top w:w="28" w:type="dxa"/>
          <w:left w:w="28" w:type="dxa"/>
          <w:bottom w:w="28" w:type="dxa"/>
          <w:right w:w="28" w:type="dxa"/>
        </w:tblCellMar>
      </w:tblPr>
      <w:tblGrid>
        <w:gridCol w:w="2514"/>
        <w:gridCol w:w="2208"/>
        <w:gridCol w:w="2187"/>
        <w:gridCol w:w="264"/>
        <w:gridCol w:w="1225"/>
        <w:gridCol w:w="136"/>
        <w:gridCol w:w="109"/>
        <w:gridCol w:w="109"/>
        <w:gridCol w:w="109"/>
        <w:gridCol w:w="211"/>
        <w:gridCol w:w="976"/>
        <w:gridCol w:w="157"/>
      </w:tblGrid>
      <w:tr>
        <w:trPr/>
        <w:tc>
          <w:tcPr>
            <w:tcW w:w="2514" w:type="dxa"/>
            <w:tcBorders/>
            <w:shd w:fill="auto" w:val="clear"/>
            <w:vAlign w:val="center"/>
          </w:tcPr>
          <w:p>
            <w:pPr>
              <w:pStyle w:val="TableContents"/>
              <w:spacing w:before="0" w:after="283"/>
              <w:rPr>
                <w:sz w:val="4"/>
                <w:szCs w:val="4"/>
              </w:rPr>
            </w:pPr>
            <w:r>
              <w:rPr>
                <w:sz w:val="4"/>
                <w:szCs w:val="4"/>
              </w:rPr>
            </w:r>
          </w:p>
        </w:tc>
        <w:tc>
          <w:tcPr>
            <w:tcW w:w="2208"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6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909" w:type="dxa"/>
            <w:gridSpan w:val="3"/>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2023 – $2,049,221; 2022 – $1,969,783)</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2023 – $115,854; 2022 – $117,169)</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146,768 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2,213,862 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2,192,294 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199,898 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326,499 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340,525 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1,541,497 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1,520,113 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59,603 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110,780 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5,205,087 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lineRule="auto" w:line="288" w:before="0" w:after="0"/>
        <w:jc w:val="center"/>
        <w:rPr>
          <w:color w:val="000000"/>
        </w:rPr>
      </w:pPr>
      <w:r>
        <w:rPr>
          <w:color w:val="000000"/>
        </w:rPr>
        <w:t> </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(continued)</w:t>
      </w:r>
    </w:p>
    <w:p>
      <w:pPr>
        <w:pStyle w:val="TextBody"/>
        <w:spacing w:lineRule="auto" w:line="288" w:before="0" w:after="0"/>
        <w:jc w:val="center"/>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553"/>
        <w:gridCol w:w="2225"/>
        <w:gridCol w:w="2230"/>
        <w:gridCol w:w="248"/>
        <w:gridCol w:w="1150"/>
        <w:gridCol w:w="128"/>
        <w:gridCol w:w="109"/>
        <w:gridCol w:w="109"/>
        <w:gridCol w:w="109"/>
        <w:gridCol w:w="211"/>
        <w:gridCol w:w="976"/>
        <w:gridCol w:w="157"/>
      </w:tblGrid>
      <w:tr>
        <w:trPr/>
        <w:tc>
          <w:tcPr>
            <w:tcW w:w="2553"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0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2,841,993 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2,768,995 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638,856 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676,016 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297,002 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310,953 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144,448 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152,933 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4,469,274 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4,438,411 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w:t>
            </w:r>
          </w:p>
        </w:tc>
        <w:tc>
          <w:tcPr>
            <w:tcW w:w="1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 – 2023 and 2022: $0.00125 par value; 20,000,000 shares authorized; 150,000 shares issued and outstanding</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2023 and 2022: $0.0002 par value; 200,000,000 shares authorized; 37,619,226 and 37,470,237 shares issued and outstanding, respectively</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870,043 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(146,993)</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5,205,087 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5,137,075 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 (Loss) (Unaudited)</w:t>
      </w:r>
    </w:p>
    <w:p>
      <w:pPr>
        <w:pStyle w:val="TextBody"/>
        <w:spacing w:before="0" w:after="0"/>
        <w:jc w:val="center"/>
        <w:rPr/>
      </w:pPr>
      <w:r>
        <w:rPr/>
      </w:r>
    </w:p>
    <w:tbl>
      <w:tblPr>
        <w:tblW w:w="10194" w:type="dxa"/>
        <w:jc w:val="center"/>
        <w:tblInd w:w="0" w:type="dxa"/>
        <w:tblCellMar>
          <w:top w:w="28" w:type="dxa"/>
          <w:left w:w="28" w:type="dxa"/>
          <w:bottom w:w="28" w:type="dxa"/>
          <w:right w:w="28" w:type="dxa"/>
        </w:tblCellMar>
      </w:tblPr>
      <w:tblGrid>
        <w:gridCol w:w="2469"/>
        <w:gridCol w:w="2163"/>
        <w:gridCol w:w="2178"/>
        <w:gridCol w:w="109"/>
        <w:gridCol w:w="109"/>
        <w:gridCol w:w="128"/>
        <w:gridCol w:w="128"/>
        <w:gridCol w:w="248"/>
        <w:gridCol w:w="972"/>
        <w:gridCol w:w="128"/>
        <w:gridCol w:w="109"/>
        <w:gridCol w:w="109"/>
        <w:gridCol w:w="109"/>
        <w:gridCol w:w="219"/>
        <w:gridCol w:w="862"/>
        <w:gridCol w:w="154"/>
      </w:tblGrid>
      <w:tr>
        <w:trPr/>
        <w:tc>
          <w:tcPr>
            <w:tcW w:w="2469" w:type="dxa"/>
            <w:tcBorders/>
            <w:shd w:fill="auto" w:val="clear"/>
            <w:vAlign w:val="center"/>
          </w:tcPr>
          <w:p>
            <w:pPr>
              <w:pStyle w:val="TableContents"/>
              <w:spacing w:before="0" w:after="283"/>
              <w:rPr>
                <w:sz w:val="4"/>
                <w:szCs w:val="4"/>
              </w:rPr>
            </w:pPr>
            <w:r>
              <w:rPr>
                <w:sz w:val="4"/>
                <w:szCs w:val="4"/>
              </w:rPr>
            </w:r>
          </w:p>
        </w:tc>
        <w:tc>
          <w:tcPr>
            <w:tcW w:w="2163"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6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9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(180,673)</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net of taxes of $5,001 in 2023 and $(11,649) in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declared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37,531,819 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37,406,913 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37,785,452 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37,554,662 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360"/>
        <w:jc w:val="center"/>
        <w:rPr>
          <w:color w:val="000000"/>
        </w:rPr>
      </w:pPr>
      <w:r>
        <w:rPr>
          <w:color w:val="000000"/>
        </w:rPr>
        <w:t> </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lineRule="auto" w:line="288" w:before="0" w:after="0"/>
        <w:jc w:val="center"/>
        <w:rPr>
          <w:color w:val="000000"/>
        </w:rPr>
      </w:pPr>
      <w:r>
        <w:rPr>
          <w:color w:val="000000"/>
        </w:rPr>
        <w:t> </w:t>
      </w:r>
    </w:p>
    <w:p>
      <w:pPr>
        <w:pStyle w:val="TextBody"/>
        <w:spacing w:before="0" w:after="0"/>
        <w:jc w:val="center"/>
        <w:rPr/>
      </w:pPr>
      <w:r>
        <w:rPr/>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spacing w:before="0" w:after="0"/>
        <w:jc w:val="center"/>
        <w:rPr/>
      </w:pPr>
      <w:r>
        <w:rPr/>
      </w:r>
    </w:p>
    <w:p>
      <w:pPr>
        <w:pStyle w:val="TextBody"/>
        <w:spacing w:before="0" w:after="0"/>
        <w:rPr/>
      </w:pPr>
      <w:r>
        <w:rPr/>
      </w:r>
    </w:p>
    <w:p>
      <w:pPr>
        <w:pStyle w:val="TextBody"/>
        <w:spacing w:lineRule="auto" w:line="288" w:before="0" w:after="0"/>
        <w:jc w:val="center"/>
        <w:rPr>
          <w:color w:val="000000"/>
        </w:rPr>
      </w:pPr>
      <w:r>
        <w:rPr>
          <w:color w:val="000000"/>
        </w:rPr>
        <w:t> </w:t>
      </w:r>
    </w:p>
    <w:tbl>
      <w:tblPr>
        <w:tblW w:w="10205" w:type="dxa"/>
        <w:jc w:val="left"/>
        <w:tblInd w:w="0" w:type="dxa"/>
        <w:tblCellMar>
          <w:top w:w="28" w:type="dxa"/>
          <w:left w:w="28" w:type="dxa"/>
          <w:bottom w:w="28" w:type="dxa"/>
          <w:right w:w="28" w:type="dxa"/>
        </w:tblCellMar>
      </w:tblPr>
      <w:tblGrid>
        <w:gridCol w:w="754"/>
        <w:gridCol w:w="344"/>
        <w:gridCol w:w="345"/>
        <w:gridCol w:w="540"/>
        <w:gridCol w:w="541"/>
        <w:gridCol w:w="336"/>
        <w:gridCol w:w="109"/>
        <w:gridCol w:w="109"/>
        <w:gridCol w:w="109"/>
        <w:gridCol w:w="282"/>
        <w:gridCol w:w="343"/>
        <w:gridCol w:w="147"/>
        <w:gridCol w:w="109"/>
        <w:gridCol w:w="109"/>
        <w:gridCol w:w="109"/>
        <w:gridCol w:w="109"/>
        <w:gridCol w:w="109"/>
        <w:gridCol w:w="211"/>
        <w:gridCol w:w="826"/>
        <w:gridCol w:w="109"/>
        <w:gridCol w:w="109"/>
        <w:gridCol w:w="109"/>
        <w:gridCol w:w="109"/>
        <w:gridCol w:w="211"/>
        <w:gridCol w:w="842"/>
        <w:gridCol w:w="109"/>
        <w:gridCol w:w="109"/>
        <w:gridCol w:w="109"/>
        <w:gridCol w:w="109"/>
        <w:gridCol w:w="211"/>
        <w:gridCol w:w="896"/>
        <w:gridCol w:w="109"/>
        <w:gridCol w:w="109"/>
        <w:gridCol w:w="109"/>
        <w:gridCol w:w="109"/>
        <w:gridCol w:w="211"/>
        <w:gridCol w:w="826"/>
        <w:gridCol w:w="159"/>
      </w:tblGrid>
      <w:tr>
        <w:trPr/>
        <w:tc>
          <w:tcPr>
            <w:tcW w:w="75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39" w:type="dxa"/>
            <w:gridSpan w:val="2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523" w:type="dxa"/>
            <w:gridSpan w:val="6"/>
            <w:tcBorders/>
            <w:shd w:fill="auto" w:val="clea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auto" w:val="clear"/>
            <w:vAlign w:val="center"/>
          </w:tcPr>
          <w:p>
            <w:pPr>
              <w:pStyle w:val="TableContents"/>
              <w:spacing w:before="0" w:after="283"/>
              <w:rPr>
                <w:sz w:val="4"/>
                <w:szCs w:val="4"/>
              </w:rPr>
            </w:pPr>
            <w:r>
              <w:rPr>
                <w:sz w:val="4"/>
                <w:szCs w:val="4"/>
              </w:rPr>
            </w:r>
          </w:p>
        </w:tc>
        <w:tc>
          <w:tcPr>
            <w:tcW w:w="14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148,989 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911"/>
        <w:gridCol w:w="546"/>
        <w:gridCol w:w="547"/>
        <w:gridCol w:w="540"/>
        <w:gridCol w:w="541"/>
        <w:gridCol w:w="109"/>
        <w:gridCol w:w="109"/>
        <w:gridCol w:w="109"/>
        <w:gridCol w:w="109"/>
        <w:gridCol w:w="211"/>
        <w:gridCol w:w="256"/>
        <w:gridCol w:w="109"/>
        <w:gridCol w:w="109"/>
        <w:gridCol w:w="109"/>
        <w:gridCol w:w="109"/>
        <w:gridCol w:w="109"/>
        <w:gridCol w:w="109"/>
        <w:gridCol w:w="211"/>
        <w:gridCol w:w="826"/>
        <w:gridCol w:w="109"/>
        <w:gridCol w:w="109"/>
        <w:gridCol w:w="109"/>
        <w:gridCol w:w="109"/>
        <w:gridCol w:w="211"/>
        <w:gridCol w:w="854"/>
        <w:gridCol w:w="109"/>
        <w:gridCol w:w="109"/>
        <w:gridCol w:w="109"/>
        <w:gridCol w:w="109"/>
        <w:gridCol w:w="211"/>
        <w:gridCol w:w="749"/>
        <w:gridCol w:w="109"/>
        <w:gridCol w:w="109"/>
        <w:gridCol w:w="109"/>
        <w:gridCol w:w="109"/>
        <w:gridCol w:w="211"/>
        <w:gridCol w:w="826"/>
        <w:gridCol w:w="156"/>
      </w:tblGrid>
      <w:tr>
        <w:trPr/>
        <w:tc>
          <w:tcPr>
            <w:tcW w:w="911"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7011" w:type="dxa"/>
            <w:gridSpan w:val="32"/>
            <w:tcBorders/>
            <w:shd w:fill="auto" w:val="clea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37,373,066 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3" w:type="dxa"/>
            <w:gridSpan w:val="3"/>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37,448,314 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647,677 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lineRule="auto" w:line="288" w:before="0" w:after="0"/>
        <w:jc w:val="center"/>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spacing w:before="0" w:after="0"/>
        <w:rPr/>
      </w:pPr>
      <w:r>
        <w:rPr/>
      </w:r>
    </w:p>
    <w:tbl>
      <w:tblPr>
        <w:tblW w:w="9068" w:type="dxa"/>
        <w:jc w:val="center"/>
        <w:tblInd w:w="0" w:type="dxa"/>
        <w:tblCellMar>
          <w:top w:w="28" w:type="dxa"/>
          <w:left w:w="28" w:type="dxa"/>
          <w:bottom w:w="28" w:type="dxa"/>
          <w:right w:w="28" w:type="dxa"/>
        </w:tblCellMar>
      </w:tblPr>
      <w:tblGrid>
        <w:gridCol w:w="2318"/>
        <w:gridCol w:w="2036"/>
        <w:gridCol w:w="2050"/>
        <w:gridCol w:w="211"/>
        <w:gridCol w:w="826"/>
        <w:gridCol w:w="109"/>
        <w:gridCol w:w="109"/>
        <w:gridCol w:w="109"/>
        <w:gridCol w:w="109"/>
        <w:gridCol w:w="211"/>
        <w:gridCol w:w="826"/>
        <w:gridCol w:w="154"/>
      </w:tblGrid>
      <w:tr>
        <w:trPr/>
        <w:tc>
          <w:tcPr>
            <w:tcW w:w="2318"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fixed maturity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fixed maturity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calls – fixed maturity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equity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equity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receivable or payable,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repayments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Series A preferred shares (Note 12)</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 repurchases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beginning of period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end of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jc w:val="both"/>
        <w:rPr/>
      </w:pPr>
      <w:r>
        <w:rPr>
          <w:rFonts w:ascii="Times New Roman;sans-serif" w:hAnsi="Times New Roman;sans-serif"/>
          <w:b w:val="false"/>
          <w:color w:val="000000"/>
          <w:sz w:val="16"/>
        </w:rPr>
        <w:t xml:space="preserve">(a) Cash provided by operating activities for the three months ended March 31, 2023 and 2022 includes the restricted cash activity above related to a former insured, per the terms of a collateral trust. See “Item 2. Management’s Discussion and Analysis of Financial Condition and Results of Operations – </w:t>
      </w:r>
      <w:r>
        <w:rPr>
          <w:rFonts w:ascii="Times New Roman;sans-serif" w:hAnsi="Times New Roman;sans-serif"/>
          <w:b w:val="false"/>
          <w:i/>
          <w:color w:val="000000"/>
          <w:sz w:val="16"/>
        </w:rPr>
        <w:t>Amounts Recoverable from an Indemnifying Party and Reinsurer on Legacy Commercial Auto Book</w:t>
      </w:r>
      <w:r>
        <w:rPr>
          <w:color w:val="000000"/>
        </w:rPr>
        <w:t>”</w:t>
      </w:r>
      <w:r>
        <w:rPr>
          <w:rFonts w:ascii="Times New Roman;sans-serif" w:hAnsi="Times New Roman;sans-serif"/>
          <w:b w:val="false"/>
          <w:color w:val="000000"/>
          <w:sz w:val="16"/>
        </w:rPr>
        <w:t>. Excluding the restricted cash activity, cash provided by operating activities was $18.4 million and $65.4 million for the three months ended March 31, 2023 and 2022, respectively.</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color w:val="000000"/>
        </w:rPr>
      </w:pPr>
      <w:r>
        <w:rPr>
          <w:color w:val="000000"/>
        </w:rPr>
        <w:t> </w:t>
      </w: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and reinsurance entities.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and a Bermuda-based reinsurance company as described below:</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Holdings UK Limited (“James River UK”) is an insurance holding company formed in 2015 in the United Kingdom (“U.K.”). JRG Holdings contributed James River Group, Inc. (“James River Group”), a U.S. insurance holding company, to James River UK in 2015.</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2022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2022 was derived from the Company’s audited annual consolidated financial statements.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transactions and balances have been eliminated.</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$9.2 million at March 31, 2023 and December 31, 2022, representing the Company’s maximum exposure to loss.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For the three months ended March 31, 2023 and 2022, our U.S. federal income tax expense was 24.6% of the income before taxes in each period. The effective rate exceeded the 21.0% U.S. statutory rate in both periods due to projected annual losses in Bermuda that do not provide a tax benefit and due to discrete items in the respective quarters primarily related to excess tax expenses associated with vested restricted share units (“RSUs”).</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adopted in 2023 that materially impacted the Company's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2.    Investments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CellMar>
          <w:top w:w="28" w:type="dxa"/>
          <w:left w:w="28" w:type="dxa"/>
          <w:bottom w:w="28" w:type="dxa"/>
          <w:right w:w="28" w:type="dxa"/>
        </w:tblCellMar>
      </w:tblPr>
      <w:tblGrid>
        <w:gridCol w:w="1678"/>
        <w:gridCol w:w="1478"/>
        <w:gridCol w:w="1296"/>
        <w:gridCol w:w="211"/>
        <w:gridCol w:w="976"/>
        <w:gridCol w:w="109"/>
        <w:gridCol w:w="109"/>
        <w:gridCol w:w="109"/>
        <w:gridCol w:w="109"/>
        <w:gridCol w:w="211"/>
        <w:gridCol w:w="616"/>
        <w:gridCol w:w="109"/>
        <w:gridCol w:w="109"/>
        <w:gridCol w:w="109"/>
        <w:gridCol w:w="109"/>
        <w:gridCol w:w="211"/>
        <w:gridCol w:w="877"/>
        <w:gridCol w:w="109"/>
        <w:gridCol w:w="109"/>
        <w:gridCol w:w="109"/>
        <w:gridCol w:w="109"/>
        <w:gridCol w:w="211"/>
        <w:gridCol w:w="976"/>
        <w:gridCol w:w="156"/>
      </w:tblGrid>
      <w:tr>
        <w:trPr/>
        <w:tc>
          <w:tcPr>
            <w:tcW w:w="1678"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5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346,194 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442,081 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719,173 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2"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March 31, 2023 are summarized, by contractual maturity, as follows:</w:t>
      </w:r>
    </w:p>
    <w:tbl>
      <w:tblPr>
        <w:tblW w:w="6308" w:type="dxa"/>
        <w:jc w:val="left"/>
        <w:tblInd w:w="0" w:type="dxa"/>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504,265 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228,648 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341,742 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582" w:type="dxa"/>
        <w:jc w:val="left"/>
        <w:tblInd w:w="0" w:type="dxa"/>
        <w:tblCellMar>
          <w:top w:w="28" w:type="dxa"/>
          <w:left w:w="28" w:type="dxa"/>
          <w:bottom w:w="28" w:type="dxa"/>
          <w:right w:w="28" w:type="dxa"/>
        </w:tblCellMar>
      </w:tblPr>
      <w:tblGrid>
        <w:gridCol w:w="792"/>
        <w:gridCol w:w="518"/>
        <w:gridCol w:w="221"/>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79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51"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6"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color w:val="000000"/>
        </w:rPr>
      </w:pP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held fixed maturity securities of 543 issuers that were in an unrealized loss position with a total fair value of $1,574.9 million and gross unrealized losses of $157.7 million. None of the fixed maturity securities with unrealized losses has ever missed, or been delinquent on, a scheduled principal or interest payment. At March 31, 2023, 99.9%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2023 had an aggregate fair value of $2.3 million and an aggregate net unrealized loss of $174,000.</w:t>
      </w:r>
    </w:p>
    <w:p>
      <w:pPr>
        <w:pStyle w:val="TextBody"/>
        <w:spacing w:lineRule="auto" w:line="288" w:before="0" w:after="120"/>
        <w:ind w:left="0" w:right="0" w:firstLine="360"/>
        <w:jc w:val="both"/>
        <w:rPr/>
      </w:pPr>
      <w:r>
        <w:rPr>
          <w:rFonts w:ascii="Times New Roman;sans-serif" w:hAnsi="Times New Roman;sans-serif"/>
          <w:b w:val="false"/>
          <w:color w:val="231F20"/>
          <w:sz w:val="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are recognized in other comprehensive income.</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2023, December 31, 2022, or March 31, 2022. During the three months ended </w:t>
      </w:r>
      <w:r>
        <w:rPr>
          <w:rFonts w:ascii="Times New Roman;sans-serif" w:hAnsi="Times New Roman;sans-serif"/>
          <w:b w:val="false"/>
          <w:color w:val="231F20"/>
          <w:sz w:val="20"/>
        </w:rPr>
        <w:t>March 31, 2023, m</w:t>
      </w:r>
      <w:r>
        <w:rPr>
          <w:rFonts w:ascii="Times New Roman;sans-serif" w:hAnsi="Times New Roman;sans-serif"/>
          <w:b w:val="false"/>
          <w:color w:val="000000"/>
          <w:sz w:val="20"/>
        </w:rPr>
        <w:t>anagement recognized an impairment loss of $85,000 for one fixed maturity security due to its intent to sell the security. For the remainder of securities in an unrealized loss position, m</w:t>
      </w:r>
      <w:r>
        <w:rPr>
          <w:rFonts w:ascii="Times New Roman;sans-serif" w:hAnsi="Times New Roman;sans-serif"/>
          <w:b w:val="false"/>
          <w:color w:val="231F20"/>
          <w:sz w:val="20"/>
        </w:rPr>
        <w:t>anagement does not intend to sell the securities, and it is not “more likely than not” that the Company will be required to sell these securities before a recovery in their value to their amortized cost basis occurs.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pPr>
      <w:r>
        <w:rPr>
          <w:rFonts w:ascii="Times New Roman;sans-serif" w:hAnsi="Times New Roman;sans-serif"/>
          <w:b w:val="false"/>
          <w:color w:val="231F20"/>
          <w:sz w:val="20"/>
        </w:rPr>
        <w:t xml:space="preserve">Bank loan participations are measured at fair value pursuant to the Company's election of the fair value option,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the requirements of ASU 2016-13. At March 31, 2023, the Company's bank loan portfolio had an aggregate fair value of $146.8 million and unpaid principal of $164.8 million. Investment income on bank loan participations included in net investment income was $4.3 million and $2.4 million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months ended March 31, 2023 and 2022, respectively</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Net realized and unrealized gains (losses) on bank loan participations were $1.4 million and $(2.1) million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2023 and 2022, respectively.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2023, management concluded that $1.9 million of the unrealized losses associated with loans from two issuers were due to credit-related impairments. 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months ended March 31, 2022, management concluded that unrealized losses were largely market-driven and that none of the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2023 or December 31, 2022.</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8034" w:type="dxa"/>
        <w:jc w:val="left"/>
        <w:tblInd w:w="0" w:type="dxa"/>
        <w:tblCellMar>
          <w:top w:w="28" w:type="dxa"/>
          <w:left w:w="28" w:type="dxa"/>
          <w:bottom w:w="28" w:type="dxa"/>
          <w:right w:w="28" w:type="dxa"/>
        </w:tblCellMar>
      </w:tblPr>
      <w:tblGrid>
        <w:gridCol w:w="1749"/>
        <w:gridCol w:w="1538"/>
        <w:gridCol w:w="1542"/>
        <w:gridCol w:w="109"/>
        <w:gridCol w:w="109"/>
        <w:gridCol w:w="174"/>
        <w:gridCol w:w="174"/>
        <w:gridCol w:w="337"/>
        <w:gridCol w:w="745"/>
        <w:gridCol w:w="174"/>
        <w:gridCol w:w="109"/>
        <w:gridCol w:w="109"/>
        <w:gridCol w:w="109"/>
        <w:gridCol w:w="211"/>
        <w:gridCol w:w="691"/>
        <w:gridCol w:w="154"/>
      </w:tblGrid>
      <w:tr>
        <w:trPr/>
        <w:tc>
          <w:tcPr>
            <w:tcW w:w="1749"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83" w:type="dxa"/>
            <w:gridSpan w:val="6"/>
            <w:tcBorders/>
            <w:shd w:fill="auto" w:val="clea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6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7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bank holding companies.</w:t>
      </w:r>
    </w:p>
    <w:tbl>
      <w:tblPr>
        <w:tblW w:w="9610" w:type="dxa"/>
        <w:jc w:val="left"/>
        <w:tblInd w:w="0" w:type="dxa"/>
        <w:tblCellMar>
          <w:top w:w="28" w:type="dxa"/>
          <w:left w:w="28" w:type="dxa"/>
          <w:bottom w:w="28" w:type="dxa"/>
          <w:right w:w="28" w:type="dxa"/>
        </w:tblCellMar>
      </w:tblPr>
      <w:tblGrid>
        <w:gridCol w:w="1180"/>
        <w:gridCol w:w="1036"/>
        <w:gridCol w:w="1039"/>
        <w:gridCol w:w="211"/>
        <w:gridCol w:w="721"/>
        <w:gridCol w:w="109"/>
        <w:gridCol w:w="109"/>
        <w:gridCol w:w="109"/>
        <w:gridCol w:w="109"/>
        <w:gridCol w:w="222"/>
        <w:gridCol w:w="759"/>
        <w:gridCol w:w="114"/>
        <w:gridCol w:w="109"/>
        <w:gridCol w:w="109"/>
        <w:gridCol w:w="109"/>
        <w:gridCol w:w="109"/>
        <w:gridCol w:w="109"/>
        <w:gridCol w:w="151"/>
        <w:gridCol w:w="151"/>
        <w:gridCol w:w="293"/>
        <w:gridCol w:w="857"/>
        <w:gridCol w:w="151"/>
        <w:gridCol w:w="109"/>
        <w:gridCol w:w="109"/>
        <w:gridCol w:w="109"/>
        <w:gridCol w:w="211"/>
        <w:gridCol w:w="616"/>
        <w:gridCol w:w="109"/>
        <w:gridCol w:w="109"/>
        <w:gridCol w:w="109"/>
        <w:gridCol w:w="109"/>
        <w:gridCol w:w="154"/>
      </w:tblGrid>
      <w:tr>
        <w:trPr/>
        <w:tc>
          <w:tcPr>
            <w:tcW w:w="118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56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5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Bank holding companies </w:t>
            </w:r>
            <w:r>
              <w:rPr>
                <w:rFonts w:ascii="Times New Roman;sans-serif" w:hAnsi="Times New Roman;sans-serif"/>
                <w:b w:val="false"/>
                <w:i/>
                <w:color w:val="000000"/>
                <w:sz w:val="20"/>
              </w:rPr>
              <w:t>(d)</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Company's Excess and Surplus Lines segment owns equity interests ranging from 2.6% to 4.9% in various LLCs whose principal objective is capital appreciation and income generation from owning and operating renewable energy production facilities (wind and solar). The Corporate and Other segment also held an interest in one of the LLCs until the fourth quarter of 2022.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$24,000 and $951,000 in the three months ended March 31, 2023 and 2022, respectively. During the fourth quarter of 2022, the underlying projects in two of our LLCs were sold at the manager's discretion. In the three months ended March 31, 2023, we received additional proceeds from the sales of $1.2 million comprised of $984,000 in the Excess and Surplus Lines segment and $170,000 in the Corporate and Other segment. We could receive additional contingent payments in the future according to terms of the transaction.</w:t>
      </w:r>
    </w:p>
    <w:p>
      <w:pPr>
        <w:pStyle w:val="TextBody"/>
        <w:spacing w:lineRule="auto" w:line="288" w:before="0" w:after="12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231F20"/>
          <w:sz w:val="20"/>
        </w:rPr>
        <w:t xml:space="preserve">The Company's </w:t>
      </w:r>
      <w:r>
        <w:rPr>
          <w:rFonts w:ascii="Times New Roman;sans-serif" w:hAnsi="Times New Roman;sans-serif"/>
          <w:b w:val="false"/>
          <w:color w:val="000000"/>
          <w:sz w:val="20"/>
        </w:rPr>
        <w:t xml:space="preserve">Excess and Surplus Lines and </w:t>
      </w:r>
      <w:r>
        <w:rPr>
          <w:rFonts w:ascii="Times New Roman;sans-serif" w:hAnsi="Times New Roman;sans-serif"/>
          <w:b w:val="false"/>
          <w:color w:val="231F20"/>
          <w:sz w:val="20"/>
        </w:rPr>
        <w:t>Corporate and Other segments have invested in notes receivable for renewable energy projects. At March 31, 2023, the Company held two notes issued by an</w:t>
      </w:r>
      <w:r>
        <w:rPr>
          <w:color w:val="000000"/>
        </w:rPr>
        <w:t xml:space="preserve"> </w:t>
      </w:r>
      <w:r>
        <w:rPr>
          <w:rFonts w:ascii="Times New Roman;sans-serif" w:hAnsi="Times New Roman;sans-serif"/>
          <w:b w:val="false"/>
          <w:color w:val="000000"/>
          <w:sz w:val="20"/>
        </w:rPr>
        <w:t>entity for which two of our former directors serve as officers</w:t>
      </w:r>
      <w:r>
        <w:rPr>
          <w:rFonts w:ascii="Times New Roman;sans-serif" w:hAnsi="Times New Roman;sans-serif"/>
          <w:b w:val="false"/>
          <w:color w:val="231F20"/>
          <w:sz w:val="20"/>
        </w:rPr>
        <w:t>. Interest on the notes, which mature in 2025, is fixed at 12%.</w:t>
      </w:r>
    </w:p>
    <w:p>
      <w:pPr>
        <w:pStyle w:val="TextBody"/>
        <w:spacing w:lineRule="auto" w:line="276" w:before="0" w:after="120"/>
        <w:ind w:left="0" w:right="0" w:hanging="360"/>
        <w:jc w:val="both"/>
        <w:rPr/>
      </w:pPr>
      <w:r>
        <w:rPr>
          <w:rFonts w:ascii="Times New Roman;sans-serif" w:hAnsi="Times New Roman;sans-serif"/>
          <w:b w:val="false"/>
          <w:color w:val="231F20"/>
          <w:sz w:val="16"/>
        </w:rPr>
        <w:t>(c)</w:t>
      </w:r>
      <w:r>
        <w:rPr>
          <w:rFonts w:ascii="Times New Roman;sans-serif" w:hAnsi="Times New Roman;sans-serif"/>
          <w:b w:val="false"/>
          <w:color w:val="000000"/>
          <w:sz w:val="20"/>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w:t>
      </w:r>
      <w:r>
        <w:rPr>
          <w:rFonts w:ascii="Times New Roman;sans-serif" w:hAnsi="Times New Roman;sans-serif"/>
          <w:b w:val="false"/>
          <w:color w:val="231F20"/>
          <w:sz w:val="20"/>
        </w:rPr>
        <w:t>Income f</w:t>
      </w:r>
      <w:r>
        <w:rPr>
          <w:rFonts w:ascii="Times New Roman;sans-serif" w:hAnsi="Times New Roman;sans-serif"/>
          <w:b w:val="false"/>
          <w:color w:val="000000"/>
          <w:sz w:val="20"/>
        </w:rPr>
        <w:t>rom the partnerships is recognized under the equity method of accounting. At March 31, 2023, the Company’s Excess and Surplus Lines segment has outstanding commitments to invest another $5.4 million in the other limited partnerships.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hanging="360"/>
        <w:jc w:val="both"/>
        <w:rPr/>
      </w:pPr>
      <w:r>
        <w:rPr>
          <w:rFonts w:ascii="Times New Roman;sans-serif" w:hAnsi="Times New Roman;sans-serif"/>
          <w:b w:val="false"/>
          <w:color w:val="000000"/>
          <w:sz w:val="20"/>
        </w:rPr>
        <w:t>(d)The Company's Excess and Surplus Lines segment holds $4.5 million of subordinated notes issued by a bank holding company for which the Company’s Non-Executive Chairman was previously the Lead Independent Director and an investor and for which one of the Company’s directors is also an investor (the "Bank Holding Company").</w:t>
      </w:r>
      <w:r>
        <w:rPr>
          <w:color w:val="231F20"/>
        </w:rPr>
        <w:t xml:space="preserve"> </w:t>
      </w:r>
      <w:r>
        <w:rPr>
          <w:rFonts w:ascii="Times New Roman;sans-serif" w:hAnsi="Times New Roman;sans-serif"/>
          <w:b w:val="false"/>
          <w:color w:val="000000"/>
          <w:sz w:val="20"/>
        </w:rPr>
        <w:t>Interest on the notes, which mature on August 12, 2023, is fixed at 7.6% per annum.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3.    Goodwill and Intangible Assets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2023 and December 31, 2022.</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 </w:t>
      </w:r>
    </w:p>
    <w:tbl>
      <w:tblPr>
        <w:tblW w:w="10205" w:type="dxa"/>
        <w:jc w:val="left"/>
        <w:tblInd w:w="0" w:type="dxa"/>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4.    Earnings Per Share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earnings (loss) per common share computations contained in the condensed consolidated financial statements:</w:t>
      </w:r>
    </w:p>
    <w:tbl>
      <w:tblPr>
        <w:tblW w:w="8242" w:type="dxa"/>
        <w:jc w:val="left"/>
        <w:tblInd w:w="0" w:type="dxa"/>
        <w:tblCellMar>
          <w:top w:w="28" w:type="dxa"/>
          <w:left w:w="28" w:type="dxa"/>
          <w:bottom w:w="28" w:type="dxa"/>
          <w:right w:w="28" w:type="dxa"/>
        </w:tblCellMar>
      </w:tblPr>
      <w:tblGrid>
        <w:gridCol w:w="1435"/>
        <w:gridCol w:w="1257"/>
        <w:gridCol w:w="1268"/>
        <w:gridCol w:w="109"/>
        <w:gridCol w:w="109"/>
        <w:gridCol w:w="151"/>
        <w:gridCol w:w="151"/>
        <w:gridCol w:w="406"/>
        <w:gridCol w:w="1189"/>
        <w:gridCol w:w="209"/>
        <w:gridCol w:w="151"/>
        <w:gridCol w:w="151"/>
        <w:gridCol w:w="151"/>
        <w:gridCol w:w="292"/>
        <w:gridCol w:w="1000"/>
        <w:gridCol w:w="213"/>
      </w:tblGrid>
      <w:tr>
        <w:trPr/>
        <w:tc>
          <w:tcPr>
            <w:tcW w:w="1435"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6"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958" w:type="dxa"/>
            <w:gridSpan w:val="6"/>
            <w:tcBorders/>
            <w:shd w:fill="auto" w:val="clea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76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and per share amounts)</w:t>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on Series A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37,531,819 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37,406,913 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253,633 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37,785,452 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37,554,662 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ind w:left="0" w:right="0" w:firstLine="360"/>
        <w:jc w:val="both"/>
        <w:rPr/>
      </w:pPr>
      <w:r>
        <w:rPr>
          <w:rFonts w:ascii="Times New Roman;sans-serif" w:hAnsi="Times New Roman;sans-serif"/>
          <w:b w:val="false"/>
          <w:color w:val="000000"/>
          <w:sz w:val="20"/>
        </w:rPr>
        <w:t>For</w:t>
      </w:r>
      <w:r>
        <w:rPr>
          <w:color w:val="231F20"/>
        </w:rPr>
        <w:t xml:space="preserve"> </w:t>
      </w:r>
      <w:r>
        <w:rPr>
          <w:rFonts w:ascii="Times New Roman;sans-serif" w:hAnsi="Times New Roman;sans-serif"/>
          <w:b w:val="false"/>
          <w:color w:val="231F20"/>
          <w:sz w:val="20"/>
        </w:rPr>
        <w:t xml:space="preserve">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2023, 5,640,158 </w:t>
      </w:r>
      <w:r>
        <w:rPr>
          <w:rFonts w:ascii="Times New Roman;sans-serif" w:hAnsi="Times New Roman;sans-serif"/>
          <w:b w:val="false"/>
          <w:color w:val="000000"/>
          <w:sz w:val="20"/>
        </w:rPr>
        <w:t xml:space="preserve">of potential common shares were excluded from the calculation of diluted earnings per common share as their effects were anti-dilutive.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w:t>
      </w:r>
      <w:r>
        <w:rPr>
          <w:color w:val="231F20"/>
        </w:rPr>
        <w:t xml:space="preserve"> </w:t>
      </w:r>
      <w:r>
        <w:rPr>
          <w:rFonts w:ascii="Times New Roman;sans-serif" w:hAnsi="Times New Roman;sans-serif"/>
          <w:b w:val="false"/>
          <w:color w:val="231F20"/>
          <w:sz w:val="20"/>
        </w:rPr>
        <w:t xml:space="preserve">months ended March 31, 2022, </w:t>
      </w:r>
      <w:r>
        <w:rPr>
          <w:rFonts w:ascii="Times New Roman;sans-serif" w:hAnsi="Times New Roman;sans-serif"/>
          <w:b w:val="false"/>
          <w:color w:val="000000"/>
          <w:sz w:val="20"/>
        </w:rPr>
        <w:t>2,230,695 of potential common shares were excluded from the calculation of diluted earnings per common share as their effects were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5.    Reserve for Losses and Loss Adjustment Expenses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$661,000 at March 31, 2023, $612,000 at December 31, 2022, $604,000 at March 31, 2022, and $631,000 at December 31, 2021.</w:t>
      </w:r>
    </w:p>
    <w:tbl>
      <w:tblPr>
        <w:tblW w:w="10205" w:type="dxa"/>
        <w:jc w:val="left"/>
        <w:tblInd w:w="0" w:type="dxa"/>
        <w:tblCellMar>
          <w:top w:w="28" w:type="dxa"/>
          <w:left w:w="28" w:type="dxa"/>
          <w:bottom w:w="28" w:type="dxa"/>
          <w:right w:w="28" w:type="dxa"/>
        </w:tblCellMar>
      </w:tblPr>
      <w:tblGrid>
        <w:gridCol w:w="2446"/>
        <w:gridCol w:w="2150"/>
        <w:gridCol w:w="2162"/>
        <w:gridCol w:w="109"/>
        <w:gridCol w:w="109"/>
        <w:gridCol w:w="112"/>
        <w:gridCol w:w="112"/>
        <w:gridCol w:w="217"/>
        <w:gridCol w:w="1006"/>
        <w:gridCol w:w="112"/>
        <w:gridCol w:w="109"/>
        <w:gridCol w:w="109"/>
        <w:gridCol w:w="109"/>
        <w:gridCol w:w="211"/>
        <w:gridCol w:w="976"/>
        <w:gridCol w:w="156"/>
      </w:tblGrid>
      <w:tr>
        <w:trPr/>
        <w:tc>
          <w:tcPr>
            <w:tcW w:w="2446"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75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670" w:type="dxa"/>
            <w:gridSpan w:val="6"/>
            <w:tcBorders/>
            <w:shd w:fill="auto" w:val="clear"/>
          </w:tcPr>
          <w:p>
            <w:pPr>
              <w:pStyle w:val="TableContents"/>
              <w:spacing w:before="0" w:after="283"/>
              <w:rPr>
                <w:sz w:val="4"/>
                <w:szCs w:val="4"/>
              </w:rPr>
            </w:pPr>
            <w:r>
              <w:rPr>
                <w:sz w:val="4"/>
                <w:szCs w:val="4"/>
              </w:rPr>
            </w:r>
          </w:p>
        </w:tc>
      </w:tr>
      <w:tr>
        <w:trPr/>
        <w:tc>
          <w:tcPr>
            <w:tcW w:w="67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1,248,270 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1,399,214 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Change in deferred reinsurance gain -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reserves ceded in Casualty Re LPT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1,542,158 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1,618,488 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2,841,993 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2,750,188 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color w:val="000000"/>
        </w:rPr>
      </w:pPr>
      <w:r>
        <w:rPr>
          <w:color w:val="000000"/>
        </w:rPr>
        <w:t>  </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The Company experienced $1.4 million of net adverse reserve development in the three months ended March 31, 2023 on the reserve for losses and loss adjustment expenses held at December 31, 2022 (excluding adverse prior year development on the loss portfolio transfers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$324,000 of net favorable development in the Excess and Surplus Lines segment, $171,000 of net favorable development in the Specialty Admitted Insurance segment, and $1.9 million of net adverse development in the Casualty Reinsurance segment.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experienced $6.8 million of net adverse reserve development in the three months ended March 31, 2022 on the reserve for losses and loss adjustment expenses held at December 31, 2021. This reserve development included $59,000 of net favorable development in the Excess and Surplus Lines segment, $63,000 of net adverse development in the Specialty Admitted Insurance segment, and $6.8 million of net adverse development in the Casualty Reinsurance segment that was associated with the Casualty Re LPT (as defined below).</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River is not otherwise indemnified by Rasier. The reinsurance coverage is structured to be fully collateralized, is not subject to an aggregate limit, and is subject to certain exclusions.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Casualty Re Loss Portfolio Transfer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were adjusted for claims paid from October 1, 2021 to the Retrocession Closing Date. The Casualty Reinsurance segment incurred $6.8 million of net adverse reserve development in the three months ended March 31, 2022 associated with the Casualty Re LPT.</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Casualty Re LPT. For the three months ended March 31, 2023, due to adverse paid and reported loss trends, the Company recognized adverse prior year development of $48.9 million on the reserves subject to the Commercial Auto LPT ($41.0 million) and Casualty Re LPT ($7.8 million), resulting in corresponding additional amounts ceded under the respective loss portfolio transfers. Both loss portfolio transfers are in gain positions as the cumulative amounts ceded under the loss portfolio transfers exceed the consideration paid, requiring the application of retroactive reinsurance accounting under GAAP.</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and Comprehensive Income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retroactive reinsurance benefits totaling $32.0 million ($29.3 million for the Commercial Auto LPT and $2.7 million for the Casualty Re LPT) were recorded in losses and loss adjustment expenses on the Condensed Consolidated Statements of Income and Comprehensive Income (Loss) using the recovery method. As of March 31, 2023, the cumulative amounts ceded under the loss portfolio transfers was $781.7 million ($432.8 million under the Commercial Auto LPT and $348.9 million under the Casualty Re LPT). The total unrecognized deferred retroactive reinsurance gain of $37.0 million at March 31, 2023 under the loss portfolio transfers ($27.4 million related to the Commercial Auto LPT and $9.5 million related to the Casualty Re LPT) is separately presented on the Company's Condensed Consolidated Balance Sheets. The Company has $51.1 million of aggregate limit remaining under the Casualty Re LPT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6.    Other Comprehensive Income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income (loss):</w:t>
      </w:r>
    </w:p>
    <w:tbl>
      <w:tblPr>
        <w:tblW w:w="9865" w:type="dxa"/>
        <w:jc w:val="left"/>
        <w:tblInd w:w="0" w:type="dxa"/>
        <w:tblCellMar>
          <w:top w:w="28" w:type="dxa"/>
          <w:left w:w="28" w:type="dxa"/>
          <w:bottom w:w="28" w:type="dxa"/>
          <w:right w:w="28" w:type="dxa"/>
        </w:tblCellMar>
      </w:tblPr>
      <w:tblGrid>
        <w:gridCol w:w="2372"/>
        <w:gridCol w:w="2084"/>
        <w:gridCol w:w="2098"/>
        <w:gridCol w:w="109"/>
        <w:gridCol w:w="109"/>
        <w:gridCol w:w="139"/>
        <w:gridCol w:w="139"/>
        <w:gridCol w:w="269"/>
        <w:gridCol w:w="919"/>
        <w:gridCol w:w="139"/>
        <w:gridCol w:w="109"/>
        <w:gridCol w:w="109"/>
        <w:gridCol w:w="109"/>
        <w:gridCol w:w="211"/>
        <w:gridCol w:w="796"/>
        <w:gridCol w:w="154"/>
      </w:tblGrid>
      <w:tr>
        <w:trPr/>
        <w:tc>
          <w:tcPr>
            <w:tcW w:w="2372" w:type="dxa"/>
            <w:tcBorders/>
            <w:shd w:fill="auto" w:val="clear"/>
            <w:vAlign w:val="center"/>
          </w:tcPr>
          <w:p>
            <w:pPr>
              <w:pStyle w:val="TableContents"/>
              <w:spacing w:before="0" w:after="283"/>
              <w:rPr>
                <w:sz w:val="4"/>
                <w:szCs w:val="4"/>
              </w:rPr>
            </w:pPr>
            <w:r>
              <w:rPr>
                <w:sz w:val="4"/>
                <w:szCs w:val="4"/>
              </w:rPr>
            </w:r>
          </w:p>
        </w:tc>
        <w:tc>
          <w:tcPr>
            <w:tcW w:w="2084"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88" w:type="dxa"/>
            <w:gridSpan w:val="6"/>
            <w:tcBorders/>
            <w:shd w:fill="auto" w:val="clea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8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before U.S.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U.S.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(losses)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(losses) gains realized in 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1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(85,971)</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pPr>
      <w:r>
        <w:rPr>
          <w:rFonts w:ascii="Times New Roman;sans-serif" w:hAnsi="Times New Roman;sans-serif"/>
          <w:b w:val="false"/>
          <w:color w:val="000000"/>
          <w:sz w:val="20"/>
        </w:rPr>
        <w:t>In addition to the $91,000 of net realized investment losses and $202,000 of net realized investment gains on available-for-sale fixed maturities for the 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2023 and 2022</w:t>
      </w:r>
      <w:r>
        <w:rPr>
          <w:rFonts w:ascii="Times New Roman;sans-serif" w:hAnsi="Times New Roman;sans-serif"/>
          <w:b w:val="false"/>
          <w:color w:val="231F20"/>
          <w:sz w:val="20"/>
        </w:rPr>
        <w:t>, respectively,</w:t>
      </w:r>
      <w:r>
        <w:rPr>
          <w:color w:val="000000"/>
        </w:rPr>
        <w:t xml:space="preserve"> </w:t>
      </w:r>
      <w:r>
        <w:rPr>
          <w:rFonts w:ascii="Times New Roman;sans-serif" w:hAnsi="Times New Roman;sans-serif"/>
          <w:b w:val="false"/>
          <w:color w:val="000000"/>
          <w:sz w:val="20"/>
        </w:rPr>
        <w:t>the Company also recognized net realized and unrealized investment gains (losses) in the respective periods of $1.4 million and $(2.1) million on its investments in bank loan participations and $(907,000) and $(3.1) million on its investments in equity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7.       Contingent Liabilities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highlight w:val="white"/>
        </w:rPr>
        <w:t>8</w:t>
      </w:r>
      <w:r>
        <w:rPr>
          <w:rFonts w:ascii="Times New Roman;sans-serif" w:hAnsi="Times New Roman;sans-serif"/>
          <w:b w:val="false"/>
          <w:color w:val="000000"/>
          <w:sz w:val="20"/>
        </w:rPr>
        <w:t>,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The First Amended Complaint and Second Amended Complaint assert claims under Sections 10(b) and 20(a) of the Securities Exchange Act of 1934 on behalf of a putative class of persons and entities that purchased the Company's stock between February 22, 2019 and October 25, 2021, and allege that Defendants failed to make appropriate disclosures concerning the adequacy of reserves for policies that covered Rasier LLC, a subsidiary of Uber Technologies, Inc., and seek unspecified damages, costs, attorneys’ fees and such other relief as the court may deem proper. The Company believes that the Plaintiffs’ claims are without merit and intends to vigorously defend this lawsuit.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reinsurance subsidiary, JRG Re, entered into three letter of credit facilities with banks as security to third-party reinsureds on reinsurance assumed by JRG Re. JRG Re has established custodial accounts to secure these letters of credit. Under a $30.0 million facility, $4.4 million of letters of credit were issued through March 31, 2023 which were secured by deposits of $5.7 million. Under a $102.5 million facility, $44.2 million of letters of credit were issued through March 31, 2023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which were secured by deposits of $54.9 million. Under a $100.0 million facility, $36.0 million of letters of credit were issued through March 31, 2023 which were secured by deposits of $45.8 million. JRG Re has also established trust accounts to secure its obligations to selected reinsureds. The total amount deposited in the trust accounts for the benefit of third-party reinsureds was $426.3 million at March 31, 2023.</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$87.7 million on the reserves subject to the Commercial Auto LPT, bringing the cumulative amount ceded under the Commercial Auto LPT to $432.8 million at March 31, 2023.</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 respectively:</w:t>
      </w:r>
    </w:p>
    <w:p>
      <w:pPr>
        <w:pStyle w:val="TextBody"/>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March 31, 2023, the balance in the Indemnity Trust was $175.8 million, and, together with the balance of the Loss Fund Trust (as defined below) attributable to the Indemnity Agreements as described below, the total balance of collateral securing Rasier’s obligations under the Indemnity Agreements was $245.0 million.</w:t>
      </w:r>
    </w:p>
    <w:p>
      <w:pPr>
        <w:pStyle w:val="TextBody"/>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March 31, 2023, the balance in the LPT Trust was $80.5 million, and, together with the balance of the Loss Fund Trust (as defined below) attributable to the Commercial Auto LPT as described below, the total balance of collateral securing Aleka’s obligations under the Commercial Auto LPT was $108.7 million. At March 31, 2023, the total reinsurance recoverables under the Commercial Auto LPT was $145.3 million (including $135.4 million of unpaid recoverables and $9.9 million of paid recoverables).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March 31, 2023, the balance in the Loss Fund Trust was $104.3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8.    Segment Information</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(loss) less loss and loss adjustment expenses on business not subject to retroactive reinsurance accounting for loss portfolio transfers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Note 5 - Reserve for Losses and Loss Adjustment Expenses</w:t>
      </w:r>
      <w:r>
        <w:rPr>
          <w:rFonts w:ascii="Times New Roman;sans-serif" w:hAnsi="Times New Roman;sans-serif"/>
          <w:b w:val="false"/>
          <w:color w:val="000000"/>
          <w:sz w:val="20"/>
        </w:rPr>
        <w:t>) and other operating expenses of the operating segments. Gross fee income of $1.1 million and $800,000 for the Specialty Admitted Insurance segment was included in other income and in underwriting profit (loss) for the three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March 31, 2023 and 2022, respectively</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Segment results are reported prior to the effects of intercompany reinsurance agreements among the Company’s insurance subsidiaries.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segment results:</w:t>
      </w:r>
    </w:p>
    <w:tbl>
      <w:tblPr>
        <w:tblW w:w="10205" w:type="dxa"/>
        <w:jc w:val="left"/>
        <w:tblInd w:w="0" w:type="dxa"/>
        <w:tblCellMar>
          <w:top w:w="28" w:type="dxa"/>
          <w:left w:w="28" w:type="dxa"/>
          <w:bottom w:w="28" w:type="dxa"/>
          <w:right w:w="28" w:type="dxa"/>
        </w:tblCellMar>
      </w:tblPr>
      <w:tblGrid>
        <w:gridCol w:w="1308"/>
        <w:gridCol w:w="1072"/>
        <w:gridCol w:w="1077"/>
        <w:gridCol w:w="211"/>
        <w:gridCol w:w="826"/>
        <w:gridCol w:w="109"/>
        <w:gridCol w:w="109"/>
        <w:gridCol w:w="109"/>
        <w:gridCol w:w="109"/>
        <w:gridCol w:w="211"/>
        <w:gridCol w:w="826"/>
        <w:gridCol w:w="109"/>
        <w:gridCol w:w="109"/>
        <w:gridCol w:w="109"/>
        <w:gridCol w:w="109"/>
        <w:gridCol w:w="220"/>
        <w:gridCol w:w="756"/>
        <w:gridCol w:w="109"/>
        <w:gridCol w:w="109"/>
        <w:gridCol w:w="109"/>
        <w:gridCol w:w="109"/>
        <w:gridCol w:w="253"/>
        <w:gridCol w:w="487"/>
        <w:gridCol w:w="131"/>
        <w:gridCol w:w="109"/>
        <w:gridCol w:w="109"/>
        <w:gridCol w:w="109"/>
        <w:gridCol w:w="211"/>
        <w:gridCol w:w="826"/>
        <w:gridCol w:w="155"/>
      </w:tblGrid>
      <w:tr>
        <w:trPr/>
        <w:tc>
          <w:tcPr>
            <w:tcW w:w="1308"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w:t>
              <w:br/>
              <w:t>Lines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Casualty</w:t>
              <w:br/>
              <w:t>Reinsurance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48"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208,113 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2,695,612 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5,205,087 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189,824 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operating segments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5,267,218 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before income taxes:</w:t>
      </w:r>
    </w:p>
    <w:tbl>
      <w:tblPr>
        <w:tblW w:w="8336" w:type="dxa"/>
        <w:jc w:val="left"/>
        <w:tblInd w:w="0" w:type="dxa"/>
        <w:tblCellMar>
          <w:top w:w="28" w:type="dxa"/>
          <w:left w:w="28" w:type="dxa"/>
          <w:bottom w:w="28" w:type="dxa"/>
          <w:right w:w="28" w:type="dxa"/>
        </w:tblCellMar>
      </w:tblPr>
      <w:tblGrid>
        <w:gridCol w:w="1848"/>
        <w:gridCol w:w="1622"/>
        <w:gridCol w:w="1630"/>
        <w:gridCol w:w="109"/>
        <w:gridCol w:w="109"/>
        <w:gridCol w:w="139"/>
        <w:gridCol w:w="139"/>
        <w:gridCol w:w="269"/>
        <w:gridCol w:w="919"/>
        <w:gridCol w:w="139"/>
        <w:gridCol w:w="109"/>
        <w:gridCol w:w="109"/>
        <w:gridCol w:w="109"/>
        <w:gridCol w:w="211"/>
        <w:gridCol w:w="721"/>
        <w:gridCol w:w="154"/>
      </w:tblGrid>
      <w:tr>
        <w:trPr/>
        <w:tc>
          <w:tcPr>
            <w:tcW w:w="1848"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9.    Other Operating Expenses and Other Expenses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8336" w:type="dxa"/>
        <w:jc w:val="left"/>
        <w:tblInd w:w="0" w:type="dxa"/>
        <w:tblCellMar>
          <w:top w:w="28" w:type="dxa"/>
          <w:left w:w="28" w:type="dxa"/>
          <w:bottom w:w="28" w:type="dxa"/>
          <w:right w:w="28" w:type="dxa"/>
        </w:tblCellMar>
      </w:tblPr>
      <w:tblGrid>
        <w:gridCol w:w="1847"/>
        <w:gridCol w:w="1622"/>
        <w:gridCol w:w="1631"/>
        <w:gridCol w:w="109"/>
        <w:gridCol w:w="109"/>
        <w:gridCol w:w="139"/>
        <w:gridCol w:w="139"/>
        <w:gridCol w:w="269"/>
        <w:gridCol w:w="919"/>
        <w:gridCol w:w="139"/>
        <w:gridCol w:w="109"/>
        <w:gridCol w:w="109"/>
        <w:gridCol w:w="109"/>
        <w:gridCol w:w="211"/>
        <w:gridCol w:w="721"/>
        <w:gridCol w:w="154"/>
      </w:tblGrid>
      <w:tr>
        <w:trPr/>
        <w:tc>
          <w:tcPr>
            <w:tcW w:w="1847"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operating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pPr>
      <w:r>
        <w:rPr>
          <w:rFonts w:ascii="Times New Roman;sans-serif" w:hAnsi="Times New Roman;sans-serif"/>
          <w:b w:val="false"/>
          <w:color w:val="000000"/>
          <w:sz w:val="20"/>
        </w:rPr>
        <w:t>Other expenses of $603,000 and $368,000 for the three</w:t>
      </w:r>
      <w:r>
        <w:rPr>
          <w:color w:val="231F20"/>
        </w:rPr>
        <w:t xml:space="preserve"> </w:t>
      </w:r>
      <w:r>
        <w:rPr>
          <w:rFonts w:ascii="Times New Roman;sans-serif" w:hAnsi="Times New Roman;sans-serif"/>
          <w:b w:val="false"/>
          <w:color w:val="231F20"/>
          <w:sz w:val="20"/>
        </w:rPr>
        <w:t xml:space="preserve">months ended March 31, 2023 and </w:t>
      </w:r>
      <w:r>
        <w:rPr>
          <w:rFonts w:ascii="Times New Roman;sans-serif" w:hAnsi="Times New Roman;sans-serif"/>
          <w:b w:val="false"/>
          <w:color w:val="000000"/>
          <w:sz w:val="20"/>
        </w:rPr>
        <w:t>2022, respectively, primarily consist of certain nonoperating expenses including legal fees related to a purported class action lawsuit, legal and other professional fees and other expenses related to various strategic initiatives including loss portfolio transfers accounted for as retroactive reinsurance, and employee severance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spacing w:lineRule="auto" w:line="288" w:before="0" w:after="120"/>
        <w:ind w:left="0" w:right="0" w:firstLine="360"/>
        <w:jc w:val="both"/>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 xml:space="preserve">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2021.</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March 31, 2023 are summarized below:</w:t>
      </w:r>
    </w:p>
    <w:tbl>
      <w:tblPr>
        <w:tblW w:w="10205" w:type="dxa"/>
        <w:jc w:val="left"/>
        <w:tblInd w:w="0" w:type="dxa"/>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2022 are summarized below:</w:t>
      </w:r>
    </w:p>
    <w:tbl>
      <w:tblPr>
        <w:tblW w:w="10205" w:type="dxa"/>
        <w:jc w:val="left"/>
        <w:tblInd w:w="0" w:type="dxa"/>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84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6533" w:type="dxa"/>
        <w:jc w:val="center"/>
        <w:tblInd w:w="0" w:type="dxa"/>
        <w:tblCellMar>
          <w:top w:w="28" w:type="dxa"/>
          <w:left w:w="28" w:type="dxa"/>
          <w:bottom w:w="28" w:type="dxa"/>
          <w:right w:w="28" w:type="dxa"/>
        </w:tblCellMar>
      </w:tblPr>
      <w:tblGrid>
        <w:gridCol w:w="1289"/>
        <w:gridCol w:w="1130"/>
        <w:gridCol w:w="1136"/>
        <w:gridCol w:w="109"/>
        <w:gridCol w:w="109"/>
        <w:gridCol w:w="194"/>
        <w:gridCol w:w="194"/>
        <w:gridCol w:w="376"/>
        <w:gridCol w:w="644"/>
        <w:gridCol w:w="194"/>
        <w:gridCol w:w="109"/>
        <w:gridCol w:w="109"/>
        <w:gridCol w:w="109"/>
        <w:gridCol w:w="211"/>
        <w:gridCol w:w="466"/>
        <w:gridCol w:w="154"/>
      </w:tblGrid>
      <w:tr>
        <w:trPr/>
        <w:tc>
          <w:tcPr>
            <w:tcW w:w="1289"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2"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58" w:type="dxa"/>
            <w:gridSpan w:val="6"/>
            <w:tcBorders/>
            <w:shd w:fill="auto" w:val="clea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one equity security at December 31, 2022 and March 31, 2023 for which the fair value was determined using significant unobservable inputs (Level 3). The fair value of $17,000 for the equity security was obtained from our asset manager and was derived from an internal model.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2021 for which the fair value was determined using significant unobservable inputs (Level 3). The fair value of $102,000 for the equity security was based on expected proceeds from its sale. During the three months ended March 31, 2022, the Company sold the equity security.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the three months ended March 31, 2023 or 2022. The Company recognizes transfers between levels at the beginning of the reporting period.</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2023 and December 31, 2022, there were no investments for which external sources were unavailable to determine fair value.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2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color w:val="000000"/>
        </w:rPr>
      </w:pP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other invested assets-notes receivable, senior debt, and junior subordinated debt at March 31, 2023 and December 31, 2022 were determined by calculating the present value of expected future cash flows under the terms of the note agreements or debt agreements, as applicable, discounted at an estimated market rate of interest at March 31, 2023 and December 31,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and junior subordinated debt at March 31, 2023 and December 31, 2022 were determined using inputs to the valuation methodology that are unobservable (Level 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11.    Senior Debt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repaid $40.0 million of loans that were outstanding under a credit agreement (the “2017 Facility”) in the three months ended March 31, 2022. At March 31, 2023, unsecured loans of $21.5 million and secured letters of credit totaling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$36.0 million were outstanding under the 2017 Facility. The 2017 Facility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12.    Series A Preferred Shares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Cash dividends of $5.3 million were paid in the three months ended March 31, 2023 including cash dividends paid in January for the three months ended December 31, 2022 and cash dividends paid in March for the three months ended March 31, 2023. In 2022, the first dividend payment was paid on June 30, 2022, of which $875,000 was accrued at March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an initial conversion price of $26.5950, making the Series A Preferred Shares initially convertible into 5,640,158 common shares. The conversion price is subject to customary anti-dilution adjustments, including cash dividends on the common shares above specified levels, as well as certain adjustments in case of adverse reserve developments. None of the triggers that would result in adjustments to the conversion price have been met at March 31, 2023.</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the Company's shareholders also trigger a reduction of the conversion price applicable to the Series A Preferred Shares.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two year anniversary of the Series A Closing Date, if the volume-weighted average price (“VWAP”) per common share is greater than 130% of the then-applicable conversion price for at least twenty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repaid. The repurchase price will be payable in cash.</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Investment Agreement, GPC Partners has the right to designate one member of the Board (the “Series A Designee”). GPC Partners has designated Matthew Botein as the Series A Designee and, accordingly, the Board approved the appointment of Mr. Botein to serve as a Class I director with a term expiring at the 2024 annual meeting of the Company’s shareholders.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13.    Capital Stock and Equity Awards</w:t>
      </w:r>
    </w:p>
    <w:p>
      <w:pPr>
        <w:pStyle w:val="TextBody"/>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Shares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37,470,237 at December 31, 2022 to 37,619,226 at March 31, 2023, reflecting 148,989 common shares issued in the three months ended March 31, 2023 related to vesting of RSUs.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the following dividends on common shares during the first three months of 2023 and 2022:</w:t>
      </w:r>
    </w:p>
    <w:tbl>
      <w:tblPr>
        <w:tblW w:w="10205" w:type="dxa"/>
        <w:jc w:val="left"/>
        <w:tblInd w:w="0" w:type="dxa"/>
        <w:tblCellMar>
          <w:top w:w="28" w:type="dxa"/>
          <w:left w:w="28" w:type="dxa"/>
          <w:bottom w:w="28" w:type="dxa"/>
          <w:right w:w="28" w:type="dxa"/>
        </w:tblCellMar>
      </w:tblPr>
      <w:tblGrid>
        <w:gridCol w:w="554"/>
        <w:gridCol w:w="487"/>
        <w:gridCol w:w="490"/>
        <w:gridCol w:w="109"/>
        <w:gridCol w:w="109"/>
        <w:gridCol w:w="109"/>
        <w:gridCol w:w="530"/>
        <w:gridCol w:w="1283"/>
        <w:gridCol w:w="273"/>
        <w:gridCol w:w="109"/>
        <w:gridCol w:w="109"/>
        <w:gridCol w:w="109"/>
        <w:gridCol w:w="884"/>
        <w:gridCol w:w="884"/>
        <w:gridCol w:w="887"/>
        <w:gridCol w:w="109"/>
        <w:gridCol w:w="109"/>
        <w:gridCol w:w="109"/>
        <w:gridCol w:w="426"/>
        <w:gridCol w:w="426"/>
        <w:gridCol w:w="428"/>
        <w:gridCol w:w="109"/>
        <w:gridCol w:w="109"/>
        <w:gridCol w:w="109"/>
        <w:gridCol w:w="211"/>
        <w:gridCol w:w="976"/>
        <w:gridCol w:w="158"/>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Date of Declaration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Common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Payable to Shareholders of Record 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1,921,802 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1,908,482 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r>
        <w:trPr/>
        <w:tc>
          <w:tcPr>
            <w:tcW w:w="15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dividends for the three months ended March 31, 2023 and 2022 are $41,000 and $36,000, respectively, of dividend equivalents on unvested RSUs. The balance of dividends payable on unvested RSUs was $207,000 at March 31, 2023 and $335,000 at December 31, 2022.</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The maximum number of shares available for issuance under the 2014 LTIP is 4,982,650, and at March 31, 2023, 1,491,839 shares are available for grant.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 Initial awards were granted in the first quarter of 2023.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initial PRSU awards have a performance period of January 1, 2023 through December 31, 2025.</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March 31, 2023, 70,508 shares are available for grant.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51" w:type="dxa"/>
        <w:jc w:val="left"/>
        <w:tblInd w:w="0" w:type="dxa"/>
        <w:tblCellMar>
          <w:top w:w="28" w:type="dxa"/>
          <w:left w:w="28" w:type="dxa"/>
          <w:bottom w:w="28" w:type="dxa"/>
          <w:right w:w="28" w:type="dxa"/>
        </w:tblCellMar>
      </w:tblPr>
      <w:tblGrid>
        <w:gridCol w:w="809"/>
        <w:gridCol w:w="711"/>
        <w:gridCol w:w="715"/>
        <w:gridCol w:w="449"/>
        <w:gridCol w:w="451"/>
        <w:gridCol w:w="196"/>
        <w:gridCol w:w="109"/>
        <w:gridCol w:w="109"/>
        <w:gridCol w:w="109"/>
        <w:gridCol w:w="211"/>
        <w:gridCol w:w="616"/>
        <w:gridCol w:w="109"/>
        <w:gridCol w:w="109"/>
        <w:gridCol w:w="109"/>
        <w:gridCol w:w="109"/>
        <w:gridCol w:w="413"/>
        <w:gridCol w:w="413"/>
        <w:gridCol w:w="196"/>
        <w:gridCol w:w="109"/>
        <w:gridCol w:w="109"/>
        <w:gridCol w:w="109"/>
        <w:gridCol w:w="211"/>
        <w:gridCol w:w="616"/>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1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March 31, 2023 was 0.9 years.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(109,589)</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 The RSUs granted in 2023 include 91,818 PRSU awards.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jc w:val="center"/>
        <w:rPr/>
      </w:pPr>
      <w:r>
        <w:rPr/>
      </w:r>
    </w:p>
    <w:p>
      <w:pPr>
        <w:pStyle w:val="TextBody"/>
        <w:spacing w:before="0" w:after="0"/>
        <w:jc w:val="center"/>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Compensation Expense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straight-line basis over the vesting period. The amount of expense and related tax benefit is summarized below:</w:t>
      </w:r>
    </w:p>
    <w:tbl>
      <w:tblPr>
        <w:tblW w:w="7613" w:type="dxa"/>
        <w:jc w:val="left"/>
        <w:tblInd w:w="0" w:type="dxa"/>
        <w:tblCellMar>
          <w:top w:w="28" w:type="dxa"/>
          <w:left w:w="28" w:type="dxa"/>
          <w:bottom w:w="28" w:type="dxa"/>
          <w:right w:w="28" w:type="dxa"/>
        </w:tblCellMar>
      </w:tblPr>
      <w:tblGrid>
        <w:gridCol w:w="1625"/>
        <w:gridCol w:w="1426"/>
        <w:gridCol w:w="1433"/>
        <w:gridCol w:w="109"/>
        <w:gridCol w:w="109"/>
        <w:gridCol w:w="151"/>
        <w:gridCol w:w="151"/>
        <w:gridCol w:w="293"/>
        <w:gridCol w:w="857"/>
        <w:gridCol w:w="151"/>
        <w:gridCol w:w="109"/>
        <w:gridCol w:w="109"/>
        <w:gridCol w:w="109"/>
        <w:gridCol w:w="211"/>
        <w:gridCol w:w="616"/>
        <w:gridCol w:w="154"/>
      </w:tblGrid>
      <w:tr>
        <w:trPr/>
        <w:tc>
          <w:tcPr>
            <w:tcW w:w="1625"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6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$17.4 million of unrecognized share based compensation expense expected to be charged to earnings over a weighted-average period of 2.2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the Board of Directors declared a cash dividend of $0.05 per common share. The dividend is payable on June 30, 2023 to shareholders of record on June 12, 2023.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the Board of Directors declared a 7% dividend on the Series A Preferred Shares. The dividend of $2.6 million will be payable in cash on June 30, 2023 to shareholders of record on June 15,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 Item 1A “Risk Factors” in our Annual Report on Form 10-K for the year ended December 31, 2022. The results of operations for the three months ended March 31, 2023 are not necessarily indicative of the results that may be expected for the full year ending December 31, 2023,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organized into four reportable segments, which are separately managed business units:</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Specialty Admitted Insurance segment approaches the insurance market in two ways: as a “fronting” company and as a risk bearing underwriter.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10%-35%. The Company’s risk bearing underwriting is focused on niche classes within the standard insurance markets, such as workers’ compensation coverage for residential contractors, light manufacturing operations, transportation workers and healthcare workers. This segment has admitted licenses and the authority to write excess and surplus lines insurance on a non-admitted basis in every U.S. state and the District of Columbia;</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The Casualty Reinsurance segment, until the suspension of its underwriting activities at the beginning of this year, primarily provided proportional and working layer casualty reinsurance to third parties (primarily through reinsurance intermediaries) through JRG Reinsurance Company Ltd. (“JRG Re”). JRG Re also provided reinsurance to the Company’s U.S.-based insurance subsidiaries in the past through a quota-share reinsurance agreement. Carolina Re Ltd (“Carolina Re”) was formed in 2018 to also provide reinsurance to the Company’s U.S.-based insurance subsidiaries through a quota-share reinsurance agreement, and was also the cedent on an aggregate stop loss reinsurance treaty with JRG Re through December 31, 2021. JRG Re and Carolina Re are both Bermuda-based companies, and JRG Re is licensed as a Class 3B reinsurer by the Bermuda Monetary Authority. Carolina Re made an irrevocable election to be taxed as a U.S. domestic corporation under Section 953(d) of the Internal Revenue Code of 1986, as amended, effective January 1, 2018. Carolina Re surrendered its Class 3A insurance license in 2022.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from January 1, 2018 through December 31, 2021, ceded 70% of their premiums and losses to Carolina Re. During 2022, Carolina Re commuted the outstanding obligations ceded under the intercompany quota-share reinsurance agreements back to the Company’s U.S.-based insurance subsidiaries with effect from January 1, 2022. We report all segment information in this ‘‘Management’s Discussion and Analysis of Financial Condition and Results of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prior to the effects of intercompany reinsurance, consistent with the manner in which we evaluate the operating performance of our reportable segments.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insurance and reinsurance subsidiaries have financial strength ratings of “A-” (Excellent) from A.M. Best Company.</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we believe provide useful information about our business and the operational factors underlying our financial performance.</w:t>
      </w:r>
    </w:p>
    <w:p>
      <w:pPr>
        <w:pStyle w:val="TextBody"/>
        <w:spacing w:lineRule="auto" w:line="288" w:before="0" w:after="120"/>
        <w:jc w:val="both"/>
        <w:rPr/>
      </w:pPr>
      <w:r>
        <w:rPr>
          <w:rFonts w:ascii="Times New Roman;sans-serif" w:hAnsi="Times New Roman;sans-serif"/>
          <w:b w:val="false"/>
          <w:i/>
          <w:color w:val="000000"/>
          <w:sz w:val="20"/>
        </w:rPr>
        <w:t>Underwriting profit</w:t>
      </w:r>
      <w:r>
        <w:rPr>
          <w:color w:val="000000"/>
        </w:rPr>
        <w:t xml:space="preserve"> </w:t>
      </w:r>
      <w:r>
        <w:rPr>
          <w:rFonts w:ascii="Times New Roman;sans-serif" w:hAnsi="Times New Roman;sans-serif"/>
          <w:b w:val="false"/>
          <w:color w:val="000000"/>
          <w:sz w:val="20"/>
        </w:rPr>
        <w:t>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before taxes and for additional information.</w:t>
      </w:r>
    </w:p>
    <w:p>
      <w:pPr>
        <w:pStyle w:val="TextBody"/>
        <w:spacing w:lineRule="auto" w:line="288" w:before="0" w:after="120"/>
        <w:jc w:val="both"/>
        <w:rPr/>
      </w:pPr>
      <w:r>
        <w:rPr>
          <w:rFonts w:ascii="Times New Roman;sans-serif" w:hAnsi="Times New Roman;sans-serif"/>
          <w:b w:val="false"/>
          <w:i/>
          <w:color w:val="000000"/>
          <w:sz w:val="20"/>
        </w:rPr>
        <w:t>Loss ratio</w:t>
      </w:r>
      <w:r>
        <w:rPr>
          <w:rFonts w:ascii="Times New Roman;sans-serif" w:hAnsi="Times New Roman;sans-serif"/>
          <w:b w:val="false"/>
          <w:color w:val="000000"/>
          <w:sz w:val="20"/>
        </w:rPr>
        <w:t>, expressed as a percentage, is the ratio of losses and loss adjustment expenses on business not subject to retroactive reinsurance accounting for loss portfolio transfers to net earned premiums. Our definition of loss ratio may not be comparable to that of other companies. See “Underwriting Performance Ratios” for a reconciliation of underwriting ratios.</w:t>
      </w:r>
    </w:p>
    <w:p>
      <w:pPr>
        <w:pStyle w:val="TextBody"/>
        <w:spacing w:lineRule="auto" w:line="288" w:before="0" w:after="120"/>
        <w:jc w:val="both"/>
        <w:rPr/>
      </w:pPr>
      <w:r>
        <w:rPr>
          <w:rFonts w:ascii="Times New Roman;sans-serif" w:hAnsi="Times New Roman;sans-serif"/>
          <w:b w:val="false"/>
          <w:i/>
          <w:color w:val="000000"/>
          <w:sz w:val="20"/>
        </w:rPr>
        <w:t>Accident year loss ratio</w:t>
      </w:r>
      <w:r>
        <w:rPr>
          <w:rFonts w:ascii="Times New Roman;sans-serif" w:hAnsi="Times New Roman;sans-serif"/>
          <w:b w:val="false"/>
          <w:color w:val="000000"/>
          <w:sz w:val="20"/>
        </w:rPr>
        <w:t>, expressed as a percentage, is the ratio of losses and loss adjustment expenses for the current accident year (excluding development on prior accident year reserves) to net earned premiums.</w:t>
      </w:r>
    </w:p>
    <w:p>
      <w:pPr>
        <w:pStyle w:val="TextBody"/>
        <w:spacing w:lineRule="auto" w:line="288" w:before="0" w:after="120"/>
        <w:jc w:val="both"/>
        <w:rPr/>
      </w:pPr>
      <w:r>
        <w:rPr>
          <w:rFonts w:ascii="Times New Roman;sans-serif" w:hAnsi="Times New Roman;sans-serif"/>
          <w:b w:val="false"/>
          <w:i/>
          <w:color w:val="000000"/>
          <w:sz w:val="20"/>
        </w:rPr>
        <w:t>Expense ratio</w:t>
      </w:r>
      <w:r>
        <w:rPr>
          <w:rFonts w:ascii="Times New Roman;sans-serif" w:hAnsi="Times New Roman;sans-serif"/>
          <w:b w:val="false"/>
          <w:color w:val="000000"/>
          <w:sz w:val="20"/>
        </w:rPr>
        <w:t>, expressed as a percentage, is the ratio of other operating expenses net of gross fee income included in other income to net earned premiums.</w:t>
      </w:r>
    </w:p>
    <w:p>
      <w:pPr>
        <w:pStyle w:val="TextBody"/>
        <w:spacing w:lineRule="auto" w:line="288" w:before="0" w:after="120"/>
        <w:jc w:val="both"/>
        <w:rPr/>
      </w:pPr>
      <w:r>
        <w:rPr>
          <w:rFonts w:ascii="Times New Roman;sans-serif" w:hAnsi="Times New Roman;sans-serif"/>
          <w:b w:val="false"/>
          <w:i/>
          <w:color w:val="000000"/>
          <w:sz w:val="20"/>
        </w:rPr>
        <w:t>Combined ratio</w:t>
      </w:r>
      <w:r>
        <w:rPr>
          <w:color w:val="000000"/>
        </w:rPr>
        <w:t xml:space="preserve"> </w:t>
      </w:r>
      <w:r>
        <w:rPr>
          <w:rFonts w:ascii="Times New Roman;sans-serif" w:hAnsi="Times New Roman;sans-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spacing w:lineRule="auto" w:line="288" w:before="0" w:after="120"/>
        <w:jc w:val="both"/>
        <w:rPr/>
      </w:pPr>
      <w:r>
        <w:rPr>
          <w:rFonts w:ascii="Times New Roman;sans-serif" w:hAnsi="Times New Roman;sans-serif"/>
          <w:b w:val="false"/>
          <w:i/>
          <w:color w:val="000000"/>
          <w:sz w:val="20"/>
        </w:rPr>
        <w:t>Adjusted net operating income</w:t>
      </w:r>
      <w:r>
        <w:rPr>
          <w:color w:val="000000"/>
        </w:rPr>
        <w:t xml:space="preserve"> </w:t>
      </w:r>
      <w:r>
        <w:rPr>
          <w:rFonts w:ascii="Times New Roman;sans-serif" w:hAnsi="Times New Roman;sans-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the impact of retroactive reinsurance accounting for loss portfolio transfers,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spacing w:lineRule="auto" w:line="288" w:before="0" w:after="120"/>
        <w:jc w:val="both"/>
        <w:rPr/>
      </w:pPr>
      <w:r>
        <w:rPr>
          <w:rFonts w:ascii="Times New Roman;sans-serif" w:hAnsi="Times New Roman;sans-serif"/>
          <w:b w:val="false"/>
          <w:i/>
          <w:color w:val="000000"/>
          <w:sz w:val="20"/>
        </w:rPr>
        <w:t>Tangible equity</w:t>
      </w:r>
      <w:r>
        <w:rPr>
          <w:color w:val="000000"/>
        </w:rPr>
        <w:t xml:space="preserve"> </w:t>
      </w:r>
      <w:r>
        <w:rPr>
          <w:rFonts w:ascii="Times New Roman;sans-serif" w:hAnsi="Times New Roman;sans-serif"/>
          <w:b w:val="false"/>
          <w:color w:val="000000"/>
          <w:sz w:val="20"/>
        </w:rPr>
        <w:t>is defined as shareholders' equity plus mezzanine Series A Preferred Shares (as defined below) and the unrecognized deferred retroactive reinsurance gain on loss portfolio transfers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spacing w:lineRule="auto" w:line="288" w:before="0" w:after="120"/>
        <w:jc w:val="both"/>
        <w:rPr/>
      </w:pPr>
      <w:r>
        <w:rPr>
          <w:rFonts w:ascii="Times New Roman;sans-serif" w:hAnsi="Times New Roman;sans-serif"/>
          <w:b w:val="false"/>
          <w:i/>
          <w:color w:val="000000"/>
          <w:sz w:val="20"/>
        </w:rPr>
        <w:t>Adjusted net operating return on tangible equity</w:t>
      </w:r>
      <w:r>
        <w:rPr>
          <w:color w:val="000000"/>
        </w:rPr>
        <w:t xml:space="preserve"> </w:t>
      </w:r>
      <w:r>
        <w:rPr>
          <w:rFonts w:ascii="Times New Roman;sans-serif" w:hAnsi="Times New Roman;sans-serif"/>
          <w:b w:val="false"/>
          <w:color w:val="000000"/>
          <w:sz w:val="20"/>
        </w:rPr>
        <w:t>is defined as annualized adjusted net operating income expressed as a percentage of the average quarterly tangible equity balances in the respective period.</w:t>
      </w:r>
    </w:p>
    <w:p>
      <w:pPr>
        <w:pStyle w:val="TextBody"/>
        <w:spacing w:lineRule="auto" w:line="288" w:before="0" w:after="120"/>
        <w:jc w:val="both"/>
        <w:rPr/>
      </w:pPr>
      <w:r>
        <w:rPr>
          <w:rFonts w:ascii="Times New Roman;sans-serif" w:hAnsi="Times New Roman;sans-serif"/>
          <w:b w:val="false"/>
          <w:i/>
          <w:color w:val="000000"/>
          <w:sz w:val="20"/>
        </w:rPr>
        <w:t>Tangible equity per share</w:t>
      </w:r>
      <w:r>
        <w:rPr>
          <w:color w:val="000000"/>
        </w:rPr>
        <w:t xml:space="preserve"> </w:t>
      </w:r>
      <w:r>
        <w:rPr>
          <w:rFonts w:ascii="Times New Roman;sans-serif" w:hAnsi="Times New Roman;sans-serif"/>
          <w:b w:val="false"/>
          <w:color w:val="000000"/>
          <w:sz w:val="20"/>
        </w:rPr>
        <w:t>represents tangible equity divided by the sum of total common shares outstanding plus the common shares resulting from an assumed conversion of the outstanding Series A Preferred Shares into common shares (at the current conversion price).</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pPr>
      <w:r>
        <w:rPr>
          <w:rFonts w:ascii="Times New Roman;sans-serif" w:hAnsi="Times New Roman;sans-serif"/>
          <w:b w:val="false"/>
          <w:i/>
          <w:color w:val="000000"/>
          <w:sz w:val="20"/>
        </w:rPr>
        <w:t>Net retention</w:t>
      </w:r>
      <w:r>
        <w:rPr>
          <w:color w:val="000000"/>
        </w:rPr>
        <w:t xml:space="preserve"> </w:t>
      </w:r>
      <w:r>
        <w:rPr>
          <w:rFonts w:ascii="Times New Roman;sans-serif" w:hAnsi="Times New Roman;sans-serif"/>
          <w:b w:val="false"/>
          <w:color w:val="000000"/>
          <w:sz w:val="20"/>
        </w:rPr>
        <w:t>is defined as the ratio of net written premiums to gross written premiums.</w:t>
      </w:r>
    </w:p>
    <w:p>
      <w:pPr>
        <w:pStyle w:val="TextBody"/>
        <w:spacing w:lineRule="auto" w:line="288" w:before="0" w:after="120"/>
        <w:jc w:val="both"/>
        <w:rPr/>
      </w:pPr>
      <w:r>
        <w:rPr>
          <w:rFonts w:ascii="Times New Roman;sans-serif" w:hAnsi="Times New Roman;sans-serif"/>
          <w:b w:val="false"/>
          <w:i/>
          <w:color w:val="000000"/>
          <w:sz w:val="20"/>
        </w:rPr>
        <w:t>Gross investment yield</w:t>
      </w:r>
      <w:r>
        <w:rPr>
          <w:color w:val="000000"/>
        </w:rPr>
        <w:t xml:space="preserve"> </w:t>
      </w:r>
      <w:r>
        <w:rPr>
          <w:rFonts w:ascii="Times New Roman;sans-serif" w:hAnsi="Times New Roman;sans-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Unless specified otherwise, all references to our defined metrics above in this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are for our business that is not subject to retroactive reinsurance accounting for loss portfolio transfers. Retroactive reinsurance accounting lacks economic impact and management believes that the presentation of our key metrics on business not subject to retroactive reinsurance accounting is helpful to the users of our financial information. See “Underwriting Performance Ratios” and “Reconciliation of Non-GAAP Measures.”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2022. There have been no significant changes to any of these policies during the current year.</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Impact of the COVID-19 Pandemic</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condition and results of operations were not materially impacted by the coronavirus (COVID-19) pandemic during the three months ended March 31, 2023. For a description of the risks that COVID-19 poses to the Company, see “Part I-Item 1A. Risk Factors” in our Annual Report.</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Impact of Inflation and Higher Interest Rates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be impacted by the heightened inflationary environment and higher interest rates. Most evident are the impacts on our investment portfolio and investing results, as well as the interest due on our outstanding variable rate senior and trust preferred debt. Our investment portfolio is primarily comprised of fixed maturity investments (85.8% of total invested assets at March 31, 2023). The fair values of fixed maturities generally move inversely with interest rates, and unrealized gains and losses associated with the changes in fair values, which are recognized as a component of other comprehensive income (loss), contribute to volatility in shareholders' equity and tangible equity. For the three months ended March 31, 2023 and 2022, other comprehensive income (loss), representing the after-tax impact of the unrealized gains and losses on fixed maturity investments, was $30.9 million and $(86.0) million, respectively. We continue to monitor our portfolio for credit-related impairments, and to date, we have concluded that the declines are primarily market-driven with no allowance for credit losses deemed necessary. As turnover occurs in our portfolio and we invest cash generated from operations, our investment income benefits from the addition of higher yielding fixed income investments. The annualized gross investment yield on fixed maturities was 4.1% and 2.7% for the three months ended March 31, 2023 and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Higher interest rates have also increased interest expense on our outstanding variable rate senior and trust preferred debt. The applicable rates on our debt reset periodically and are structured as LIBOR or SOFR plus a margin or spread. Interest expense on our outstanding debt was $5.6 million and $2.3 million (average interest rates of 6.9% and 2.8%) for the three months ended March 31, 2023 and 2022, respectively.</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Strategic Actions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Suspension of Underwriting Activities in Casualty Reinsurance Segment</w:t>
      </w:r>
    </w:p>
    <w:p>
      <w:pPr>
        <w:pStyle w:val="TextBody"/>
        <w:spacing w:lineRule="auto" w:line="288" w:before="0" w:after="120"/>
        <w:ind w:left="0" w:right="0" w:firstLine="360"/>
        <w:jc w:val="both"/>
        <w:rPr/>
      </w:pPr>
      <w:r>
        <w:rPr>
          <w:rFonts w:ascii="Times New Roman;sans-serif" w:hAnsi="Times New Roman;sans-serif"/>
          <w:b w:val="false"/>
          <w:color w:val="000000"/>
          <w:sz w:val="20"/>
        </w:rPr>
        <w:t>As disclosed in our Form 10-K for the year ended December 31, 2022, the Company has suspended writing business in the Casualty Reinsurance segment, as we continue our focus on growing our higher returning U.S. insurance businesses.</w:t>
      </w:r>
      <w:r>
        <w:rPr>
          <w:color w:val="000000"/>
        </w:rPr>
        <w:t xml:space="preserve"> </w:t>
      </w:r>
      <w:r>
        <w:rPr>
          <w:rFonts w:ascii="Times New Roman;sans-serif" w:hAnsi="Times New Roman;sans-serif"/>
          <w:b w:val="false"/>
          <w:color w:val="000000"/>
          <w:sz w:val="20"/>
        </w:rPr>
        <w:t>The Casualty Reinsurance segment will continue earning premium</w:t>
      </w:r>
      <w:r>
        <w:rPr>
          <w:color w:val="000000"/>
        </w:rPr>
        <w:t xml:space="preserve"> </w:t>
      </w:r>
      <w:r>
        <w:rPr>
          <w:rFonts w:ascii="Times New Roman;sans-serif" w:hAnsi="Times New Roman;sans-serif"/>
          <w:b w:val="false"/>
          <w:color w:val="000000"/>
          <w:sz w:val="20"/>
        </w:rPr>
        <w:t>due to the nature of the earnings patterns in the reinsurance business, which can extend over multiple years.</w:t>
      </w:r>
      <w:r>
        <w:rPr>
          <w:color w:val="000000"/>
        </w:rPr>
        <w:t xml:space="preserve"> </w:t>
      </w:r>
      <w:r>
        <w:rPr>
          <w:rFonts w:ascii="Times New Roman;sans-serif" w:hAnsi="Times New Roman;sans-serif"/>
          <w:b w:val="false"/>
          <w:color w:val="000000"/>
          <w:sz w:val="20"/>
        </w:rPr>
        <w:t>Aside from the suspension of underwriting activities, the Casualty Reinsurance segment will maintain its normal day-to-day operations, with a staff to service the business on its books and facilitate compliance with regulatory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w:t>
      </w:r>
    </w:p>
    <w:tbl>
      <w:tblPr>
        <w:tblW w:w="10205" w:type="dxa"/>
        <w:jc w:val="left"/>
        <w:tblInd w:w="0" w:type="dxa"/>
        <w:tblCellMar>
          <w:top w:w="28" w:type="dxa"/>
          <w:left w:w="28" w:type="dxa"/>
          <w:bottom w:w="28" w:type="dxa"/>
          <w:right w:w="28" w:type="dxa"/>
        </w:tblCellMar>
      </w:tblPr>
      <w:tblGrid>
        <w:gridCol w:w="1903"/>
        <w:gridCol w:w="1631"/>
        <w:gridCol w:w="1644"/>
        <w:gridCol w:w="109"/>
        <w:gridCol w:w="109"/>
        <w:gridCol w:w="109"/>
        <w:gridCol w:w="109"/>
        <w:gridCol w:w="113"/>
        <w:gridCol w:w="113"/>
        <w:gridCol w:w="220"/>
        <w:gridCol w:w="862"/>
        <w:gridCol w:w="282"/>
        <w:gridCol w:w="109"/>
        <w:gridCol w:w="109"/>
        <w:gridCol w:w="109"/>
        <w:gridCol w:w="211"/>
        <w:gridCol w:w="826"/>
        <w:gridCol w:w="271"/>
        <w:gridCol w:w="109"/>
        <w:gridCol w:w="109"/>
        <w:gridCol w:w="109"/>
        <w:gridCol w:w="307"/>
        <w:gridCol w:w="309"/>
        <w:gridCol w:w="423"/>
      </w:tblGrid>
      <w:tr>
        <w:trPr/>
        <w:tc>
          <w:tcPr>
            <w:tcW w:w="1903"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5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66" w:type="dxa"/>
            <w:gridSpan w:val="6"/>
            <w:tcBorders/>
            <w:shd w:fill="auto" w:val="clear"/>
          </w:tcPr>
          <w:p>
            <w:pPr>
              <w:pStyle w:val="TableContents"/>
              <w:spacing w:before="0" w:after="283"/>
              <w:rPr>
                <w:sz w:val="4"/>
                <w:szCs w:val="4"/>
              </w:rPr>
            </w:pPr>
            <w:r>
              <w:rPr>
                <w:sz w:val="4"/>
                <w:szCs w:val="4"/>
              </w:rPr>
            </w:r>
          </w:p>
        </w:tc>
      </w:tr>
      <w:tr>
        <w:trPr/>
        <w:tc>
          <w:tcPr>
            <w:tcW w:w="5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9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363,893 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retention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183,220 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175,859 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208,113 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(138,425)</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(59,138)</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(49,261)</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20.1 </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112.9 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58.4 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37.9 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188.7 </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(5.8)</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(5.6)</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(5.9)</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200.0 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(25.2)</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Adjusted net operating income </w:t>
            </w: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21,591 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55.7 </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6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and adjusted net operating income are non-GAAP measures. See “Reconciliation of Non-GAAP Measures.”</w:t>
      </w:r>
    </w:p>
    <w:p>
      <w:pPr>
        <w:pStyle w:val="TextBody"/>
        <w:spacing w:lineRule="auto" w:line="288" w:before="0" w:after="6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(2)Included in underwriting results for the three months ended March 31, 2023 and 2022 is gross fee income of $5.7 million, and $5.6 million, respectively.</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2023 and 2022</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produced underwriting profits of $10.6 million and $5.0 million (combined ratios of 94.9% and 97.4%) for the three months ended March 31, 2023 and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earned premiums grew by $18.3 million or 9.6% over the prior year driven by the Excess and Surplus Lines segment. Net earned premiums for the Excess and Surplus Lines segment grew by $20.1 million or 15.3% reflecting growth in our larger underwriting divisions with broad based renewal rate increases and higher net retentions. Our loss ratio improved from 71.4% in the prior year to 66.5% in the current year. The improvement was primarily driven by net reserve development on prior accident years which was $1.4 million or 0.7 percentage points adverse for the three months ended March 31, 2023 compared to $6.8 million or 3.6 percentage points of net adverse development in the three months ended March 31, 2022. The net adverse development in the prior year included $6.8 million in the Casualty Reinsurance segment associated with the Casualty Re LPT (as defined below).</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two loss portfolio transfers, which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bring economic finality on the subject risks as long as any additional losses are within the limit of the loss portfolio transfer and the counterparty performs under the contract.</w:t>
      </w:r>
    </w:p>
    <w:p>
      <w:pPr>
        <w:pStyle w:val="TextBody"/>
        <w:spacing w:lineRule="auto" w:line="288" w:before="0" w:after="120"/>
        <w:ind w:left="0" w:right="0" w:firstLine="360"/>
        <w:jc w:val="both"/>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w:t>
      </w:r>
      <w:r>
        <w:rPr>
          <w:color w:val="000000"/>
        </w:rPr>
        <w:t xml:space="preserve"> </w:t>
      </w:r>
      <w:r>
        <w:rPr>
          <w:rFonts w:ascii="Times New Roman;sans-serif" w:hAnsi="Times New Roman;sans-serif"/>
          <w:b w:val="false"/>
          <w:color w:val="000000"/>
          <w:sz w:val="20"/>
        </w:rPr>
        <w:t xml:space="preserve">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a loss portfolio transfer retrocession agreement (the “Casualty Re LPT”) with Fortitude Reinsurance Company Ltd. (“FRL”) under which FRL reinsures the majority of the reserves in the Company’s Casualty Reinsurance segment. Under the terms of the transaction, which closed on March 31, 2022 (the “Retrocession Closing Date”),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 and (d) pays FRL a 2% per annum crediting rate on the Funds Withheld Account balance on a quarterly basis. The total premium, initial Funds Withheld Account credit, and aggregate limit was adjusted for claims paid from October 1, 2021 to the Retrocession Closing Date. The Casualty Reinsurance segment incurred $6.8 million of net adverse reserve development in the three months ended March 31, 2022 associated with the Casualty Re LPT. The Funds Withheld Account balance was $199.6 million and $213.6 million at March 31, 2023 and December 31, 2022, respectively. Funds Withheld Account crediting fees of $1.0 million and $15,000 are included in interest expense in our Condensed Consolidated Statements of Income and Comprehensive Income (Loss) for the three months ended March 31, 2023 and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Casualty Re LPT. For the three months ended March 31, 2023, due to adverse paid and reported loss trends on the business subject to the loss portfolio transfers, the Company recognized adverse prior year development of $48.9 million on the reserves subject to the Commercial Auto LPT ($41.0 million) and Casualty Re LPT ($7.8 million), resulting in corresponding additional amounts ceded under the respective loss portfolio transfers. Both loss portfolio transfers are in gain positions as the cumulative amounts ceded under the loss portfolio transfers exceed the consideration paid, requiring the application of retroactive reinsurance accounting.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retroactive reinsurance accounting, gains are deferred and recognized in earnings in proportion to actual paid recoveries under the loss portfolio transfers using the recovery method. Over the life of the contracts, we would expect no economic impact to the Company as long as any additional losses are within the limit of the loss portfolio transfer and the counterparty performs under the contract. In periods where the Company recognizes a change in the estimate of the reserves subject to the loss portfolio transfers that increases or decreases the amounts ceded under the loss portfolio transfers, the proportion of actual paid recoveries to total ceded losses is affected and the change in deferred gain is recognized in earnings as if the revised estimate of ceded losses was available at the effective date of the loss portfolio transfer. The effect of the deferred retroactive reinsurance benefit is recorded in losses and loss adjustment expenses on the Condensed Consolidated Statements of Income and Comprehensive Income (Loss).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Retroactive reinsurance benefits totaling $32.0 million ($29.3 million for the Commercial Auto LPT and $2.7 million for the Casualty Re LPT) were recorded in losses and loss adjustment expenses for the three months ended March 31, 2023 using the recovery method, resulting in a net impact of $16.9 million within our net losses and loss adjustment expenses for the current period. As of March 31, 2023, the cumulative amounts ceded under the loss portfolio transfers was $781.7 million ($432.8 million under the Commercial Auto LPT and $348.9 million under the Casualty Re LPT). The total unrecognized deferred retroactive reinsurance gain of $37.0 million at March 31, 2023 under the loss portfolio transfers ($27.4 million related to the Commercial Auto LPT and $9.5 million related to the Casualty Re LPT) is separately presented on the Company's Condensed Consolidated Balance Sheets. At March 31, 2023, the Company has $51.1 million of aggregate limit remaining under the Casualty Re LPT.</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Investment income surpassed the prior year by $9.5 million or 58.4% driven by higher yields on fixed maturities, bank loans, and cash equivalents. Net realized and unrealized gains and losses on investments largely reflect the impact of market volatility in the respective periods on the fair values of equity securities and bank loan participations. Equities and bank loans are carried at fair value with changes in fair value recognized as unrealized gains and losses in our Condensed Consolidated Statements of Income and Comprehensive Income (Loss)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 xml:space="preserve">below). Interest expense was $4.3 million higher in the current year due to higher interest rates on our variable rate senior and trust preferred debt and $1.0 million of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crediting fees on the funds withheld balance under the Casualty Re LPT. Net income available to common shareholders reflects dividends on the Series A Preferred Shares of $2.6 million and $875,000 in the three months ended March 31, 2023 and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increased from $13.9 million in the three months ended March 31, 2022 to $21.6 million in the three months ended March 31, 2023. Tangible equity and tangible equity per share increased by 10.8% and 10.4%, respectively, in the current quarter mainly due to the positive operating results and unrealized gains on fixed maturities in other comprehensive income. Our 16.3% adjusted net operating return on tangible equity for the three months ended March 31, 2023 also compares favorably to the 10.3% return for the three months ended March 31, 2022.</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Premiums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 in premium volume by component and business segment:</w:t>
      </w:r>
    </w:p>
    <w:tbl>
      <w:tblPr>
        <w:tblW w:w="7363" w:type="dxa"/>
        <w:jc w:val="left"/>
        <w:tblInd w:w="0" w:type="dxa"/>
        <w:tblCellMar>
          <w:top w:w="28" w:type="dxa"/>
          <w:left w:w="28" w:type="dxa"/>
          <w:bottom w:w="28" w:type="dxa"/>
          <w:right w:w="28" w:type="dxa"/>
        </w:tblCellMar>
      </w:tblPr>
      <w:tblGrid>
        <w:gridCol w:w="913"/>
        <w:gridCol w:w="800"/>
        <w:gridCol w:w="807"/>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418"/>
      </w:tblGrid>
      <w:tr>
        <w:trPr/>
        <w:tc>
          <w:tcPr>
            <w:tcW w:w="91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0" w:type="dxa"/>
            <w:gridSpan w:val="6"/>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(65.1)</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363,893 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17.3 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32.3 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(69.7)</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4.2 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(7.5)</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written premiums for the Excess and Surplus Lines segment (which represents 62.9% of our consolidated gross written premiums in the three months ended March 31, 2023) increased 12.1% over the prior year driven by the continued favorable market conditions. Total policy submissions for Core E&amp;S lines (excluding commercial auto) increased 2.4% from the prior year and our ratio of bound policies to quoted policies was also higher, generating 5.8% more bound policies in the three months ended March 31, 2023 than in the three months ended March 31, 2022. The total number of policies in force for the segment increased 12.8% over the prior year. Renewal rates for the Excess and Surplus Lines segment were up 8.9% compared to the three months ended March 31, 2022. The change in gross written premiums was notable in several divisions as shown below:</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tbl>
      <w:tblPr>
        <w:tblW w:w="8863" w:type="dxa"/>
        <w:jc w:val="center"/>
        <w:tblInd w:w="0" w:type="dxa"/>
        <w:tblCellMar>
          <w:top w:w="28" w:type="dxa"/>
          <w:left w:w="28" w:type="dxa"/>
          <w:bottom w:w="28" w:type="dxa"/>
          <w:right w:w="28" w:type="dxa"/>
        </w:tblCellMar>
      </w:tblPr>
      <w:tblGrid>
        <w:gridCol w:w="1453"/>
        <w:gridCol w:w="1282"/>
        <w:gridCol w:w="1285"/>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418"/>
      </w:tblGrid>
      <w:tr>
        <w:trPr/>
        <w:tc>
          <w:tcPr>
            <w:tcW w:w="1453"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0" w:type="dxa"/>
            <w:gridSpan w:val="6"/>
            <w:tcBorders/>
            <w:shd w:fill="auto" w:val="clea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16.0 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17.8 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9.3 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68.6 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12.6 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(5.9)</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13.5 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(22.5)</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34.2% of our consolidated gross written premiums for the three months ended March 31, 2023) are as follows:</w:t>
      </w:r>
    </w:p>
    <w:tbl>
      <w:tblPr>
        <w:tblW w:w="8849" w:type="dxa"/>
        <w:jc w:val="left"/>
        <w:tblInd w:w="0" w:type="dxa"/>
        <w:tblCellMar>
          <w:top w:w="28" w:type="dxa"/>
          <w:left w:w="28" w:type="dxa"/>
          <w:bottom w:w="28" w:type="dxa"/>
          <w:right w:w="28" w:type="dxa"/>
        </w:tblCellMar>
      </w:tblPr>
      <w:tblGrid>
        <w:gridCol w:w="1448"/>
        <w:gridCol w:w="1276"/>
        <w:gridCol w:w="1281"/>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3"/>
        <w:gridCol w:w="293"/>
        <w:gridCol w:w="418"/>
      </w:tblGrid>
      <w:tr>
        <w:trPr/>
        <w:tc>
          <w:tcPr>
            <w:tcW w:w="144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31" w:type="dxa"/>
            <w:gridSpan w:val="6"/>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1.4 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(17.0)</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fronting written premium increased over the prior year driven primarily by the continued expansion of existing fronting relationships. Our two largest fronting relationships represented $62.2 million and $53.6 million (49.9% and 42.6%) of segment gross written premium for the three months ended March 31, 2023 and 2022, respectively. Individual risk workers' compensation premium declined for the comparable three month periods as we maintain underwriting discipline against continued soft market conditions for workers' compensation.</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suspended writing business in the Casualty Reinsurance segment earlier this year, and we are now focused on growing our higher returning U.S. insurance businesses. The gross written premiums of $10.4 million for the three months ended March 31, 2023 represents adjustments to written premium estimates for prior year treaties.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Net Retention</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net premium retention is summarized by segment as follows:</w:t>
      </w:r>
    </w:p>
    <w:tbl>
      <w:tblPr>
        <w:tblW w:w="5617" w:type="dxa"/>
        <w:jc w:val="left"/>
        <w:tblInd w:w="0" w:type="dxa"/>
        <w:tblCellMar>
          <w:top w:w="28" w:type="dxa"/>
          <w:left w:w="28" w:type="dxa"/>
          <w:bottom w:w="28" w:type="dxa"/>
          <w:right w:w="28" w:type="dxa"/>
        </w:tblCellMar>
      </w:tblPr>
      <w:tblGrid>
        <w:gridCol w:w="911"/>
        <w:gridCol w:w="801"/>
        <w:gridCol w:w="808"/>
        <w:gridCol w:w="109"/>
        <w:gridCol w:w="109"/>
        <w:gridCol w:w="247"/>
        <w:gridCol w:w="247"/>
        <w:gridCol w:w="255"/>
        <w:gridCol w:w="256"/>
        <w:gridCol w:w="615"/>
        <w:gridCol w:w="109"/>
        <w:gridCol w:w="109"/>
        <w:gridCol w:w="109"/>
        <w:gridCol w:w="307"/>
        <w:gridCol w:w="309"/>
        <w:gridCol w:w="316"/>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59" w:type="dxa"/>
            <w:gridSpan w:val="6"/>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Excess and Surplus Lines segment increased relative to the three month period of the prior year. The segment's Excess Casualty division, which comprises slightly more than one-third of the segment's gross written premiums in the three months ended March 31, 2023 and 2022, cedes a high percentage of written premiums under a reinsurance treaty and changes in growth rates of this division can impact comparable premium retention ratios for the segment. In the third quarter of 2022, we increased our retention on the reinsurance treaty applicable to the Excess Casualty division. Net retention for the Excess Casualty division was 26.9% and 14.1% for the comparable three month periods.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premium retention for the Specialty Admitted Insurance segment increased for the three months ended March 31, 2023 as compared to the prior year primarily due to the termination of an individual risk workers' compensation quota share treaty effective January 1, 2023. The net retention on the individual risk workers’ compensation business was 73.2% and 30.6% for the three months ended March 31, 2023 and 2022, respectively. Net retention on the fronting business was also higher due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mix of business and changes in reinsurance coverage as treaties renew. The net retention on the segment’s fronting business was 15.4% and 14.0% for the three months ended March 31, 2023 and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Casualty Reinsurance segment previously wrote a retrocessional treaty/fronting arrangement under which 100% of the premiums were ceded. The treaty was nonrenewed for 2022 and the net retention below 100% in the current year reflects adjustments to prior year assumed and ceded written premiums on the treaty.</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combined ratios by segment:</w:t>
      </w:r>
    </w:p>
    <w:tbl>
      <w:tblPr>
        <w:tblW w:w="5722" w:type="dxa"/>
        <w:jc w:val="left"/>
        <w:tblInd w:w="0" w:type="dxa"/>
        <w:tblCellMar>
          <w:top w:w="28" w:type="dxa"/>
          <w:left w:w="28" w:type="dxa"/>
          <w:bottom w:w="28" w:type="dxa"/>
          <w:right w:w="28" w:type="dxa"/>
        </w:tblCellMar>
      </w:tblPr>
      <w:tblGrid>
        <w:gridCol w:w="911"/>
        <w:gridCol w:w="801"/>
        <w:gridCol w:w="808"/>
        <w:gridCol w:w="109"/>
        <w:gridCol w:w="109"/>
        <w:gridCol w:w="247"/>
        <w:gridCol w:w="247"/>
        <w:gridCol w:w="307"/>
        <w:gridCol w:w="309"/>
        <w:gridCol w:w="615"/>
        <w:gridCol w:w="109"/>
        <w:gridCol w:w="109"/>
        <w:gridCol w:w="109"/>
        <w:gridCol w:w="307"/>
        <w:gridCol w:w="309"/>
        <w:gridCol w:w="316"/>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59" w:type="dxa"/>
            <w:gridSpan w:val="6"/>
            <w:tcBorders/>
            <w:shd w:fill="auto" w:val="clea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Excess and Surplus Lines Segment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10205" w:type="dxa"/>
        <w:jc w:val="left"/>
        <w:tblInd w:w="0" w:type="dxa"/>
        <w:tblCellMar>
          <w:top w:w="28" w:type="dxa"/>
          <w:left w:w="28" w:type="dxa"/>
          <w:bottom w:w="28" w:type="dxa"/>
          <w:right w:w="28" w:type="dxa"/>
        </w:tblCellMar>
      </w:tblPr>
      <w:tblGrid>
        <w:gridCol w:w="1937"/>
        <w:gridCol w:w="1666"/>
        <w:gridCol w:w="1679"/>
        <w:gridCol w:w="109"/>
        <w:gridCol w:w="109"/>
        <w:gridCol w:w="109"/>
        <w:gridCol w:w="109"/>
        <w:gridCol w:w="113"/>
        <w:gridCol w:w="113"/>
        <w:gridCol w:w="220"/>
        <w:gridCol w:w="863"/>
        <w:gridCol w:w="283"/>
        <w:gridCol w:w="109"/>
        <w:gridCol w:w="109"/>
        <w:gridCol w:w="109"/>
        <w:gridCol w:w="211"/>
        <w:gridCol w:w="826"/>
        <w:gridCol w:w="271"/>
        <w:gridCol w:w="109"/>
        <w:gridCol w:w="109"/>
        <w:gridCol w:w="109"/>
        <w:gridCol w:w="255"/>
        <w:gridCol w:w="256"/>
        <w:gridCol w:w="422"/>
      </w:tblGrid>
      <w:tr>
        <w:trPr/>
        <w:tc>
          <w:tcPr>
            <w:tcW w:w="1937"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5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60" w:type="dxa"/>
            <w:gridSpan w:val="6"/>
            <w:tcBorders/>
            <w:shd w:fill="auto" w:val="clear"/>
          </w:tcPr>
          <w:p>
            <w:pPr>
              <w:pStyle w:val="TableContents"/>
              <w:spacing w:before="0" w:after="283"/>
              <w:rPr>
                <w:sz w:val="4"/>
                <w:szCs w:val="4"/>
              </w:rPr>
            </w:pPr>
            <w:r>
              <w:rPr>
                <w:sz w:val="4"/>
                <w:szCs w:val="4"/>
              </w:rPr>
            </w:r>
          </w:p>
        </w:tc>
      </w:tr>
      <w:tr>
        <w:trPr/>
        <w:tc>
          <w:tcPr>
            <w:tcW w:w="5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00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228,903 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12.1 </w:t>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147,430 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17.3 </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151,359 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15.3 </w:t>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(99,189)</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(84,925)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(32,175)</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29.1 </w:t>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i/>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(6.8)</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6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spacing w:lineRule="auto" w:line="288" w:before="0" w:after="120"/>
        <w:ind w:left="0" w:right="0" w:firstLine="360"/>
        <w:jc w:val="both"/>
        <w:rPr/>
      </w:pPr>
      <w:r>
        <w:rPr>
          <w:rFonts w:ascii="Times New Roman;sans-serif" w:hAnsi="Times New Roman;sans-serif"/>
          <w:b w:val="false"/>
          <w:color w:val="000000"/>
          <w:sz w:val="20"/>
        </w:rPr>
        <w:t>The Excess and Surplus Lines segment produced underwriting profits of $20.0 million and $21.5 million (combined ratios of 86.8% and 83.7%) in the three months ended March 31, 2023 and 2022, respectively. Attractive market conditions and higher net retentions drove the growth in written and earned premiums. The higher loss ratio for the three months ended</w:t>
      </w:r>
      <w:r>
        <w:rPr>
          <w:color w:val="000000"/>
        </w:rPr>
        <w:t xml:space="preserve"> </w:t>
      </w:r>
      <w:r>
        <w:rPr>
          <w:rFonts w:ascii="Times New Roman;sans-serif" w:hAnsi="Times New Roman;sans-serif"/>
          <w:b w:val="false"/>
          <w:color w:val="000000"/>
          <w:sz w:val="20"/>
        </w:rPr>
        <w:t>March 31, 2023 primarily reflects the mix of business for the current accident year. Net reserve development on prior accident years (excluding adverse prior year development on the legacy Rasier business and the impact of retroactive reinsurance - see discussion above) was $324,000 favorable and $59,000 favorable in the three months ended March 31, 2023 and 2022, respectively. The expense ratio increased over the prior year due to the mix of business and higher retentions which resulted in higher net commissions expense.</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Specialty Admitted Insurance Segment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8021" w:type="dxa"/>
        <w:jc w:val="left"/>
        <w:tblInd w:w="0" w:type="dxa"/>
        <w:tblCellMar>
          <w:top w:w="28" w:type="dxa"/>
          <w:left w:w="28" w:type="dxa"/>
          <w:bottom w:w="28" w:type="dxa"/>
          <w:right w:w="28" w:type="dxa"/>
        </w:tblCellMar>
      </w:tblPr>
      <w:tblGrid>
        <w:gridCol w:w="1120"/>
        <w:gridCol w:w="981"/>
        <w:gridCol w:w="989"/>
        <w:gridCol w:w="109"/>
        <w:gridCol w:w="109"/>
        <w:gridCol w:w="109"/>
        <w:gridCol w:w="109"/>
        <w:gridCol w:w="114"/>
        <w:gridCol w:w="114"/>
        <w:gridCol w:w="222"/>
        <w:gridCol w:w="869"/>
        <w:gridCol w:w="285"/>
        <w:gridCol w:w="109"/>
        <w:gridCol w:w="109"/>
        <w:gridCol w:w="109"/>
        <w:gridCol w:w="211"/>
        <w:gridCol w:w="826"/>
        <w:gridCol w:w="271"/>
        <w:gridCol w:w="109"/>
        <w:gridCol w:w="109"/>
        <w:gridCol w:w="109"/>
        <w:gridCol w:w="254"/>
        <w:gridCol w:w="257"/>
        <w:gridCol w:w="418"/>
      </w:tblGrid>
      <w:tr>
        <w:trPr/>
        <w:tc>
          <w:tcPr>
            <w:tcW w:w="11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56" w:type="dxa"/>
            <w:gridSpan w:val="6"/>
            <w:tcBorders/>
            <w:shd w:fill="auto" w:val="clea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1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124,551 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32.3 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(15,492)</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0.4 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48.6 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(loss) profit</w:t>
            </w:r>
            <w:r>
              <w:rPr>
                <w:color w:val="000000"/>
              </w:rPr>
              <w:t xml:space="preserve"> </w:t>
            </w:r>
            <w:r>
              <w:rPr>
                <w:rFonts w:ascii="Times New Roman;sans-serif" w:hAnsi="Times New Roman;sans-serif"/>
                <w:b w:val="false"/>
                <w:i/>
                <w:color w:val="000000"/>
                <w:sz w:val="16"/>
              </w:rPr>
              <w:t>(1),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37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(1)Underwriting (Loss) Profit is a non-GAAP Measure. See “Reconciliation of Non-GAAP Measures.”</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(2)Underwriting results include gross fee income of $5.7 million and $5.6 million for the three months ended March 31, 2023 and 2022, respectively.</w:t>
      </w:r>
    </w:p>
    <w:p>
      <w:pPr>
        <w:pStyle w:val="TextBody"/>
        <w:spacing w:lineRule="auto" w:line="288" w:before="0" w:after="120"/>
        <w:ind w:left="0" w:right="0" w:firstLine="360"/>
        <w:jc w:val="both"/>
        <w:rPr/>
      </w:pPr>
      <w:r>
        <w:rPr>
          <w:rFonts w:ascii="Times New Roman;sans-serif" w:hAnsi="Times New Roman;sans-serif"/>
          <w:b w:val="false"/>
          <w:color w:val="000000"/>
          <w:sz w:val="20"/>
        </w:rPr>
        <w:t>The Specialty Admitted Insurance segment had an underwriting loss of $469,000 and a combined ratio of 102.3% for the three months ended March 31, 2023 compared to an underwriting profit of $209,000 and a combined ratio of 98.9% in the three months ended March 31, 2022. The loss ratio improvement from 79.9% in the prior year to 75.6% in the current year primarily reflects changes in the mix of business which helped to produce a lower current accident year loss ratio. Net development in our loss estimates for prior accident years was $171,000 favorable and $63,000 adverse in the three months ended March 31, 2023 and 2022, respectively. The higher expense ratio of 26.7% for the three months ended</w:t>
      </w:r>
      <w:r>
        <w:rPr>
          <w:color w:val="000000"/>
        </w:rPr>
        <w:t xml:space="preserve"> </w:t>
      </w:r>
      <w:r>
        <w:rPr>
          <w:rFonts w:ascii="Times New Roman;sans-serif" w:hAnsi="Times New Roman;sans-serif"/>
          <w:b w:val="false"/>
          <w:color w:val="000000"/>
          <w:sz w:val="20"/>
        </w:rPr>
        <w:t>March 31, 2023 compared to 19.0% in the prior year was driven by higher net commission expense due to the January 1, 2023 termination of the individual risk workers' compensation quota share treaty.</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Casualty Reinsurance Segment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Casualty Reinsurance segment are as follows:</w:t>
      </w:r>
    </w:p>
    <w:tbl>
      <w:tblPr>
        <w:tblW w:w="10205" w:type="dxa"/>
        <w:jc w:val="left"/>
        <w:tblInd w:w="0" w:type="dxa"/>
        <w:tblCellMar>
          <w:top w:w="28" w:type="dxa"/>
          <w:left w:w="28" w:type="dxa"/>
          <w:bottom w:w="28" w:type="dxa"/>
          <w:right w:w="28" w:type="dxa"/>
        </w:tblCellMar>
      </w:tblPr>
      <w:tblGrid>
        <w:gridCol w:w="1952"/>
        <w:gridCol w:w="1682"/>
        <w:gridCol w:w="1696"/>
        <w:gridCol w:w="109"/>
        <w:gridCol w:w="109"/>
        <w:gridCol w:w="109"/>
        <w:gridCol w:w="109"/>
        <w:gridCol w:w="121"/>
        <w:gridCol w:w="121"/>
        <w:gridCol w:w="234"/>
        <w:gridCol w:w="803"/>
        <w:gridCol w:w="302"/>
        <w:gridCol w:w="109"/>
        <w:gridCol w:w="109"/>
        <w:gridCol w:w="109"/>
        <w:gridCol w:w="211"/>
        <w:gridCol w:w="721"/>
        <w:gridCol w:w="271"/>
        <w:gridCol w:w="109"/>
        <w:gridCol w:w="109"/>
        <w:gridCol w:w="109"/>
        <w:gridCol w:w="289"/>
        <w:gridCol w:w="289"/>
        <w:gridCol w:w="423"/>
      </w:tblGrid>
      <w:tr>
        <w:trPr/>
        <w:tc>
          <w:tcPr>
            <w:tcW w:w="1952"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5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328" w:type="dxa"/>
            <w:gridSpan w:val="6"/>
            <w:tcBorders/>
            <w:shd w:fill="auto" w:val="clear"/>
          </w:tcPr>
          <w:p>
            <w:pPr>
              <w:pStyle w:val="TableContents"/>
              <w:spacing w:before="0" w:after="283"/>
              <w:rPr>
                <w:sz w:val="4"/>
                <w:szCs w:val="4"/>
              </w:rPr>
            </w:pPr>
            <w:r>
              <w:rPr>
                <w:sz w:val="4"/>
                <w:szCs w:val="4"/>
              </w:rPr>
            </w:r>
          </w:p>
        </w:tc>
      </w:tr>
      <w:tr>
        <w:trPr/>
        <w:tc>
          <w:tcPr>
            <w:tcW w:w="5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8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(65.1)</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(69.7)</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36,273 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(7.5)</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(35,248)</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(32.6)</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Underwriting profit (loss) </w:t>
            </w:r>
            <w:r>
              <w:rPr>
                <w:rFonts w:ascii="Times New Roman;sans-serif" w:hAnsi="Times New Roman;sans-serif"/>
                <w:b w:val="false"/>
                <w:i/>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39"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3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3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(Loss) is a non-GAAP Measure. See “Reconciliation of Non-GAAP Measures.”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Casualty Reinsurance segment suspended underwriting activities earlier this year. Current year written premiums represent adjustments to written premium estimates for prior year treaties. The earning patterns of the business can extend over multiple years, and changes in net earned premium for this segment will lag the decline in gross and net written premium. For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three months ended March 31, 2023, the segment had an underwriting profit of $306,000 and a combined ratio of 99.2%. This compares to an underwriting loss of $8.8 million and a combined ratio of 122.5% in the three months ended March 31, 2022. The loss ratio improved from 89.9% in the prior three month period to 65.5% in the current year, driven by a decline in the current accident year ratio and the impact of $6.8 million or 17.3 percentage points of net adverse development in our loss estimates for prior accident years in the three months ended March 31, 2022 that was associated with the Casualty Re LPT. For the three months ended March 31, 2023, $1.9 million or 5.1 percentage points of net adverse reserve development was recognized (excluding adverse prior year development on the business subject to the Casualty Re LPT and the impact of retroactive reinsurance - see discussion above). The expense ratio increased from 32.6% for the three months ended March 31, 2022 to 33.7% for three months ended March 31, 2023 primarily reflecting higher commissions due to changes in the mix of business.</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 Segment</w:t>
      </w:r>
    </w:p>
    <w:p>
      <w:pPr>
        <w:pStyle w:val="TextBody"/>
        <w:spacing w:lineRule="auto" w:line="288" w:before="0" w:after="120"/>
        <w:ind w:left="0" w:right="0" w:firstLine="360"/>
        <w:jc w:val="both"/>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share based compensation for the full Company group, and various other corporate expenses that were not reimbursed by our subsidiaries, including costs associated with our internal reinsurance, rating agencies and strategic initiatives. The expenses are included in our calculation of consolidated underwriting profit, and in our consolidated expense ratio and combined ratio. Total operating expenses of the Corporate and Other segment were $9.3 million and $7.9 million for the three months ended</w:t>
      </w:r>
      <w:r>
        <w:rPr>
          <w:color w:val="000000"/>
        </w:rPr>
        <w:t xml:space="preserve"> </w:t>
      </w:r>
      <w:r>
        <w:rPr>
          <w:rFonts w:ascii="Times New Roman;sans-serif" w:hAnsi="Times New Roman;sans-serif"/>
          <w:b w:val="false"/>
          <w:color w:val="000000"/>
          <w:sz w:val="20"/>
        </w:rPr>
        <w:t>March 31, 2023 and 2022, respectively. The increase in expenses compared to the prior year was largely attributable to compensation expenses, and, in particular, share based compensation. For the three months ended March 31, 2023 and 2022, the Company recognized $2.7 million and $1.8 million of share based compensation expense, respectively.</w:t>
      </w:r>
    </w:p>
    <w:p>
      <w:pPr>
        <w:pStyle w:val="TextBody"/>
        <w:spacing w:lineRule="auto" w:line="288" w:before="100" w:after="120"/>
        <w:rPr>
          <w:rFonts w:ascii="Times New Roman;sans-serif" w:hAnsi="Times New Roman;sans-serif"/>
          <w:b/>
          <w:i/>
          <w:color w:val="000000"/>
          <w:sz w:val="20"/>
        </w:rPr>
      </w:pPr>
      <w:r>
        <w:rPr>
          <w:rFonts w:ascii="Times New Roman;sans-serif" w:hAnsi="Times New Roman;sans-serif"/>
          <w:b/>
          <w:i/>
          <w:color w:val="000000"/>
          <w:sz w:val="20"/>
        </w:rPr>
        <w:t>Investing Results</w:t>
      </w:r>
    </w:p>
    <w:p>
      <w:pPr>
        <w:pStyle w:val="TextBody"/>
        <w:spacing w:lineRule="auto" w:line="288" w:before="0" w:after="120"/>
        <w:ind w:left="0" w:right="0" w:firstLine="360"/>
        <w:jc w:val="both"/>
        <w:rPr/>
      </w:pPr>
      <w:r>
        <w:rPr>
          <w:rFonts w:ascii="Times New Roman;sans-serif" w:hAnsi="Times New Roman;sans-serif"/>
          <w:b w:val="false"/>
          <w:color w:val="000000"/>
          <w:sz w:val="20"/>
        </w:rPr>
        <w:t>Net investment income was $25.8 million for the three months ended</w:t>
      </w:r>
      <w:r>
        <w:rPr>
          <w:color w:val="000000"/>
        </w:rPr>
        <w:t xml:space="preserve"> </w:t>
      </w:r>
      <w:r>
        <w:rPr>
          <w:rFonts w:ascii="Times New Roman;sans-serif" w:hAnsi="Times New Roman;sans-serif"/>
          <w:b w:val="false"/>
          <w:color w:val="000000"/>
          <w:sz w:val="20"/>
        </w:rPr>
        <w:t>March 31, 2023, compared to $16.3 million for the same period in the prior year. The Company's private investments generated income of $1.6 million for the three months ended</w:t>
      </w:r>
      <w:r>
        <w:rPr>
          <w:color w:val="000000"/>
        </w:rPr>
        <w:t xml:space="preserve"> </w:t>
      </w:r>
      <w:r>
        <w:rPr>
          <w:rFonts w:ascii="Times New Roman;sans-serif" w:hAnsi="Times New Roman;sans-serif"/>
          <w:b w:val="false"/>
          <w:color w:val="000000"/>
          <w:sz w:val="20"/>
        </w:rPr>
        <w:t>March 31, 2023 compared to income of $2.9 million in the respective prior year period. Excluding private investments, our net investment income for the three months ended March 31, 2023 increased 80.9% from the prior year, principally due to higher yields on fixed maturities and bank loan participations. The average duration of our portfolio excluding restricted cash equivalents was 4.1 years at March 31, 2023.</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Major categories of the Company’s net investment income are summarized as follows:</w:t>
      </w:r>
    </w:p>
    <w:tbl>
      <w:tblPr>
        <w:tblW w:w="9671" w:type="dxa"/>
        <w:jc w:val="left"/>
        <w:tblInd w:w="0" w:type="dxa"/>
        <w:tblCellMar>
          <w:top w:w="28" w:type="dxa"/>
          <w:left w:w="28" w:type="dxa"/>
          <w:bottom w:w="28" w:type="dxa"/>
          <w:right w:w="28" w:type="dxa"/>
        </w:tblCellMar>
      </w:tblPr>
      <w:tblGrid>
        <w:gridCol w:w="2332"/>
        <w:gridCol w:w="2049"/>
        <w:gridCol w:w="2054"/>
        <w:gridCol w:w="109"/>
        <w:gridCol w:w="109"/>
        <w:gridCol w:w="139"/>
        <w:gridCol w:w="139"/>
        <w:gridCol w:w="269"/>
        <w:gridCol w:w="919"/>
        <w:gridCol w:w="139"/>
        <w:gridCol w:w="109"/>
        <w:gridCol w:w="109"/>
        <w:gridCol w:w="109"/>
        <w:gridCol w:w="211"/>
        <w:gridCol w:w="721"/>
        <w:gridCol w:w="154"/>
      </w:tblGrid>
      <w:tr>
        <w:trPr/>
        <w:tc>
          <w:tcPr>
            <w:tcW w:w="2332"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6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Renewable energy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private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annualized gross investment yields:</w:t>
      </w:r>
    </w:p>
    <w:tbl>
      <w:tblPr>
        <w:tblW w:w="5000" w:type="dxa"/>
        <w:jc w:val="left"/>
        <w:tblInd w:w="0" w:type="dxa"/>
        <w:tblCellMar>
          <w:top w:w="28" w:type="dxa"/>
          <w:left w:w="28" w:type="dxa"/>
          <w:bottom w:w="28" w:type="dxa"/>
          <w:right w:w="28" w:type="dxa"/>
        </w:tblCellMar>
      </w:tblPr>
      <w:tblGrid>
        <w:gridCol w:w="772"/>
        <w:gridCol w:w="678"/>
        <w:gridCol w:w="680"/>
        <w:gridCol w:w="109"/>
        <w:gridCol w:w="109"/>
        <w:gridCol w:w="247"/>
        <w:gridCol w:w="247"/>
        <w:gridCol w:w="247"/>
        <w:gridCol w:w="247"/>
        <w:gridCol w:w="615"/>
        <w:gridCol w:w="109"/>
        <w:gridCol w:w="109"/>
        <w:gridCol w:w="109"/>
        <w:gridCol w:w="203"/>
        <w:gridCol w:w="203"/>
        <w:gridCol w:w="316"/>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49" w:type="dxa"/>
            <w:gridSpan w:val="6"/>
            <w:tcBorders/>
            <w:shd w:fill="auto" w:val="clea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invested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$2,413.8 million at March 31, 2023 (excluding restricted cash equivalents), $199.9 million represents the cash and cash equivalents portion of the portfolio. The majority of the portfolio, or $1,898.8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$146.8 million of bank loan participations, $116.1 million of equity securities, $25.1 million of short-term investments, and $27.2 million of other invested assets.</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ans-serif" w:hAnsi="Times New Roman;sans-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ans-serif" w:hAnsi="Times New Roman;sans-serif"/>
          <w:b w:val="false"/>
          <w:color w:val="000000"/>
          <w:sz w:val="20"/>
        </w:rPr>
        <w:t>At March 31, 2023 and December 31, 2022, the fair market value of these securities was $146.8 million and $155.0 million,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recognized net realized and unrealized investment gains of $407,000, including $2.5 million of net unrealized gains on bank loan participations, $1.2 million of net unrealized losses for the change in the fair value of equity securities, an $85,000 impairment loss for one fixed maturity security, $1.1 million of net realized investment losses on the sale of bank loan participations, and $314,000 of net realized investment gains on the sale of equity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Company recognized net realized and unrealized investment losses of $5.0 million, including $2.0 million of net unrealized losses on bank loan participations, $2.7 million of net unrealized losses for the change in the fair value of equity securities, $202,000 of net realized investment gains on the sale of fixed maturity securities, $89,000 of net realized investment losses on the sale of bank loan participations, and $357,000 of net realized investment losses on the sale of equity securities.</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In conjunction with its outside investment managers, the Company performs quarterly reviews of all securities within its investment portfolio to determine whether any impairment has occurred. During the three months ended </w:t>
      </w:r>
      <w:r>
        <w:rPr>
          <w:rFonts w:ascii="Times New Roman;sans-serif" w:hAnsi="Times New Roman;sans-serif"/>
          <w:b w:val="false"/>
          <w:color w:val="231F20"/>
          <w:sz w:val="20"/>
        </w:rPr>
        <w:t>March 31, 2023, m</w:t>
      </w:r>
      <w:r>
        <w:rPr>
          <w:rFonts w:ascii="Times New Roman;sans-serif" w:hAnsi="Times New Roman;sans-serif"/>
          <w:b w:val="false"/>
          <w:color w:val="000000"/>
          <w:sz w:val="20"/>
        </w:rPr>
        <w:t xml:space="preserve">anagement recognized an impairment loss of $85,000 for one fixed maturity security due to its intent to sell the security.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pPr>
      <w:r>
        <w:rPr>
          <w:rFonts w:ascii="Times New Roman;sans-serif" w:hAnsi="Times New Roman;sans-serif"/>
          <w:b w:val="false"/>
          <w:color w:val="000000"/>
          <w:sz w:val="20"/>
        </w:rPr>
        <w:t xml:space="preserve">Management concluded that none of its fixed maturity securities were impaired at December 31, 2022. At March 31, 2023, 99.9% of the Company’s fixed maturity security portfolio was rated “BBB-” or better (“investment grade”) by Standard &amp; Poor’s or received an equivalent rating from another nationally recognized rating agency. </w:t>
      </w:r>
      <w:r>
        <w:rPr>
          <w:rFonts w:ascii="Times New Roman;sans-serif" w:hAnsi="Times New Roman;sans-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393" w:type="dxa"/>
        <w:jc w:val="left"/>
        <w:tblInd w:w="0" w:type="dxa"/>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8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18.2 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18.6 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23.3 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22.5 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37.9 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37.6 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16.9 </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17.3 </w:t>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3.7 </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4.0 </w:t>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5" w:type="dxa"/>
            <w:gridSpan w:val="3"/>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The following table sets forth the composition of the Company’s portfolio of available-for-sale fixed maturity securities by rating as of </w:t>
      </w:r>
      <w:r>
        <w:rPr>
          <w:rFonts w:ascii="Times New Roman;sans-serif" w:hAnsi="Times New Roman;sans-serif"/>
          <w:b w:val="false"/>
          <w:color w:val="231F20"/>
          <w:sz w:val="20"/>
        </w:rPr>
        <w:t>March 31, 2023</w:t>
      </w:r>
      <w:r>
        <w:rPr>
          <w:rFonts w:ascii="Times New Roman;sans-serif" w:hAnsi="Times New Roman;sans-serif"/>
          <w:b w:val="false"/>
          <w:color w:val="000000"/>
          <w:sz w:val="20"/>
        </w:rPr>
        <w:t>:</w:t>
      </w:r>
    </w:p>
    <w:tbl>
      <w:tblPr>
        <w:tblW w:w="6234" w:type="dxa"/>
        <w:jc w:val="left"/>
        <w:tblInd w:w="0" w:type="dxa"/>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28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BBB and unrated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0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 Value</w:t>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5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3.4 </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26.6 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17.9 </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12.0 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23.3 </w:t>
            </w:r>
          </w:p>
        </w:tc>
        <w:tc>
          <w:tcPr>
            <w:tcW w:w="5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5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spacing w:lineRule="auto" w:line="288" w:before="0" w:after="120"/>
        <w:ind w:left="0" w:right="0" w:firstLine="360"/>
        <w:jc w:val="both"/>
        <w:rPr/>
      </w:pPr>
      <w:r>
        <w:rPr>
          <w:rFonts w:ascii="Times New Roman;sans-serif" w:hAnsi="Times New Roman;sans-serif"/>
          <w:b w:val="false"/>
          <w:color w:val="000000"/>
          <w:sz w:val="20"/>
        </w:rPr>
        <w:t>Other income and expense primarily consists of non-operating expenses of $575,000 and $347,000 for the three</w:t>
      </w:r>
      <w:r>
        <w:rPr>
          <w:color w:val="231F20"/>
        </w:rPr>
        <w:t xml:space="preserve"> </w:t>
      </w:r>
      <w:r>
        <w:rPr>
          <w:rFonts w:ascii="Times New Roman;sans-serif" w:hAnsi="Times New Roman;sans-serif"/>
          <w:b w:val="false"/>
          <w:color w:val="231F20"/>
          <w:sz w:val="20"/>
        </w:rPr>
        <w:t>months ended March 31, 2023 and 2022, respectively</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Non-operating expenses </w:t>
      </w:r>
      <w:r>
        <w:rPr>
          <w:rFonts w:ascii="Times New Roman;sans-serif" w:hAnsi="Times New Roman;sans-serif"/>
          <w:b w:val="false"/>
          <w:color w:val="000000"/>
          <w:sz w:val="20"/>
        </w:rPr>
        <w:t>include legal fees related to a purported class action lawsuit, legal and other professional fees and other expenses related to various strategic initiatives including loss portfolio transfers accounted for as retroactive reinsurance, and employee severance costs.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$6.6 million and $2.3 million for the three months ended March 31, 2023 and 2022, respectively. The increase over the prior year primarily reflects the impact of rising interest rates on our variable rate senior and trust preferred debt. Interest expense for the respective periods also includes $1.0 million and $15,000 of crediting fees on the Funds Withheld Account balance under the Casualty Re LPT. See “—Liquidity and Capital Resources—Sources and Uses of Funds” for more information regarding our senior bank debt facilities and trust preferred securities.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$91,000 of amortization of intangible assets in each of the three months ended March 31, 2023 and 2022.</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or expenses on share based compensation. For the three months ended March 31, 2023 and 2022, our U.S. federal income tax expense was 24.6% of the income before taxes in each period. For both periods, the effective rate exceeded the 21.0% U.S. statutory rate due to a projected annual loss in Bermuda that does not provide a tax benefit and due to discrete items for the quarter primarily related to excess tax expenses associated with vested restricted share units (“RSUs”) in the respective three month periods.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indicator of reserve strength that we monitor closely is the percentage of our gross and net loss reserves that are comprised of incurred but not reported (“IBNR”) reserves.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March 31, 2023 was $2,842.0 million. Of this amount, 63.3% relates to amounts that are IBNR. This amount was 61.5% at December 31, 2022. The Company’s gross reserves for losses and loss adjustment expenses by segment are summarized as follows:</w:t>
      </w:r>
    </w:p>
    <w:tbl>
      <w:tblPr>
        <w:tblW w:w="7107" w:type="dxa"/>
        <w:jc w:val="left"/>
        <w:tblInd w:w="0" w:type="dxa"/>
        <w:tblCellMar>
          <w:top w:w="28" w:type="dxa"/>
          <w:left w:w="28" w:type="dxa"/>
          <w:bottom w:w="28" w:type="dxa"/>
          <w:right w:w="28" w:type="dxa"/>
        </w:tblCellMar>
      </w:tblPr>
      <w:tblGrid>
        <w:gridCol w:w="911"/>
        <w:gridCol w:w="801"/>
        <w:gridCol w:w="808"/>
        <w:gridCol w:w="211"/>
        <w:gridCol w:w="976"/>
        <w:gridCol w:w="109"/>
        <w:gridCol w:w="109"/>
        <w:gridCol w:w="109"/>
        <w:gridCol w:w="109"/>
        <w:gridCol w:w="211"/>
        <w:gridCol w:w="976"/>
        <w:gridCol w:w="109"/>
        <w:gridCol w:w="109"/>
        <w:gridCol w:w="109"/>
        <w:gridCol w:w="109"/>
        <w:gridCol w:w="211"/>
        <w:gridCol w:w="976"/>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Reserves at March 31, 2023</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1,632,057 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amount of net reserves (prior to the $661,000 allowance for uncollectible reinsurance recoverables) of $1,299.8 million that related to IBNR was 69.3%. This amount was 66.6% at December 31, 2022. The Company’s net reserves for losses and loss adjustment expenses by segment are summarized as follows:</w:t>
      </w:r>
    </w:p>
    <w:tbl>
      <w:tblPr>
        <w:tblW w:w="6807" w:type="dxa"/>
        <w:jc w:val="left"/>
        <w:tblInd w:w="0" w:type="dxa"/>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826"/>
        <w:gridCol w:w="109"/>
        <w:gridCol w:w="109"/>
        <w:gridCol w:w="109"/>
        <w:gridCol w:w="109"/>
        <w:gridCol w:w="211"/>
        <w:gridCol w:w="976"/>
        <w:gridCol w:w="154"/>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Reserves at March 31, 2023</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1,004,467 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 premiums written, investment income, reinsurance recoveries, proceeds from sales and redemptions of investments, borrowings on our credit facilities, and the issuance of common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or reinsurance contract means that substantial and unpredictable payments may need to be made within relatively short periods of time.</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7838" w:type="dxa"/>
        <w:jc w:val="left"/>
        <w:tblInd w:w="0" w:type="dxa"/>
        <w:tblCellMar>
          <w:top w:w="28" w:type="dxa"/>
          <w:left w:w="28" w:type="dxa"/>
          <w:bottom w:w="28" w:type="dxa"/>
          <w:right w:w="28" w:type="dxa"/>
        </w:tblCellMar>
      </w:tblPr>
      <w:tblGrid>
        <w:gridCol w:w="1950"/>
        <w:gridCol w:w="1712"/>
        <w:gridCol w:w="1722"/>
        <w:gridCol w:w="211"/>
        <w:gridCol w:w="721"/>
        <w:gridCol w:w="109"/>
        <w:gridCol w:w="109"/>
        <w:gridCol w:w="109"/>
        <w:gridCol w:w="109"/>
        <w:gridCol w:w="211"/>
        <w:gridCol w:w="721"/>
        <w:gridCol w:w="154"/>
      </w:tblGrid>
      <w:tr>
        <w:trPr/>
        <w:tc>
          <w:tcPr>
            <w:tcW w:w="1950"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color w:val="000000"/>
        </w:rPr>
      </w:pPr>
      <w:r>
        <w:rPr>
          <w:color w:val="000000"/>
        </w:rPr>
        <w:t> </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excluding restricted cash equivalents of $18.4 million and $65.4 million for the three months ended March 31, 2023 and 2022, respectively, was driven by the growth in our U.S. segments and the collection of premiums receivable at a quicker rate than payments of loss and loss adjustment expenses. The cash provided by operating activities declined relative to the prior year due to the suspension of underwriting activities in the Casualty Reinsurance segment earlier this year.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of $17.1 million for the three months ended March 31, 2023 primarily reflects the suspension of underwriting activities in the Casualty Reinsurance segment earlier this year and the withdrawal of invested assets to fund claims and operating expenses for the segment. Cash used in investing activities of $87.1 million for the three months ended March 31, 2022 reflects our efforts to enhance the yield in our investment portfolio by investing available cash and cash equivalents into higher yielding investments. Cash and cash equivalents (excluding restricted cash equivalents) comprised 8.3% and 11.3% of total cash and invested assets at March 31, 2023 and 2022,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of $8.8 million for the three months ended March 31, 2023 includes $2.0 million of dividends paid to common shareholders and $5.3 million of dividends paid on the Series A Preferred Shares. Cash provided by financing activities of $101.9 million for the three months ended March 31, 2022 includes $144.9 million of net proceeds (after expenses) from the issuance and sale of 150,000 Series A Preferred Shares on March 1, 2022. The proceeds were used for general corporate purposes and to repay $40.0 million of loans outstanding on the 2017 Facility (as defined below) on March 28, 2022. Financing activities for the three months ended March 31, 2022 also include $2.1 million of dividends paid to common shareholders.</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The activity in restricted cash equivalents for the three months ended March 31, 2023 and 2022 relates to a former insured, per the terms of a collateral trust.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TextBody"/>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spacing w:lineRule="auto" w:line="268" w:before="0" w:after="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regulators have broad powers to prevent reduction of statutory surplus to inadequate levels and could refuse to permit the payment of dividends calculated under any applicable formula. See “Item 1. Business – U.S. Insurance Regulation – State Regulation” in our Annual Report on Form 10-K for the year ended December 31, 2022 filed with the SEC on February 28, 2023 for additional information. The maximum amount of dividends available to the U.S. holding company from our U.S. insurance subsidiaries during 2023 without regulatory approval is $53.7 million.</w:t>
      </w:r>
    </w:p>
    <w:p>
      <w:pPr>
        <w:pStyle w:val="TextBody"/>
        <w:spacing w:lineRule="auto" w:line="268" w:before="0" w:after="0"/>
        <w:ind w:left="0" w:right="0" w:firstLine="405"/>
        <w:rPr>
          <w:rFonts w:ascii="Times New Roman;sans-serif" w:hAnsi="Times New Roman;sans-serif"/>
          <w:b w:val="false"/>
          <w:color w:val="000000"/>
          <w:sz w:val="20"/>
        </w:rPr>
      </w:pPr>
      <w:r>
        <w:rPr>
          <w:rFonts w:ascii="Times New Roman;sans-serif" w:hAnsi="Times New Roman;sans-serif"/>
          <w:b w:val="false"/>
          <w:color w:val="000000"/>
          <w:sz w:val="20"/>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(as shown on its previous financial year's statutory balance sheet). See “Item 1. Business – Regulation – Restrictions on Dividends and Distributions” in our Annual Report on Form 10-K for the year ended December 31, 2022 filed with the SEC on February 28, 2023 for additional information. Based on that calculation, the maximum combined amount of dividends and return of capital available to us from JRG Re without regulatory approval in 2023 is calculated to be approximately $93.9 million. However, any dividend payment is contingent upon continued compliance with Bermuda regulatory requirements, including but not limited to the enhanced solvency requirement calculations.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our election. On the five-year anniversary of the Closing Date, and each five-year anniversary thereafter, the dividend rate will reset to a rate equal to the five-year U.S. treasury rate plus 5.2%. Dividends accrue and are payable quarterly. Cash dividends of $5.3 million were paid in the three months ended March 31, 2023 including cash dividends paid in January for the three months ended December 31, 2022 and cash dividends paid in March for the three months ended March 31, 2023.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Bermuda holding company had $809,000 of cash and cash equivalents. The U.S. holding company had $18.5 million of cash and invested assets, comprised of cash and cash equivalents of $10.9 million, short-term investments of $5.1 million, and other invested assets of $2.6 million, which are not subject to regulatory restrictions. Additionally, our U.K. intermediate holding company had no invested assets and cash of less than ten thousand dollars at March 31, 2023.</w:t>
      </w:r>
    </w:p>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$315.0 million senior revolving credit facility (as amended or amended and restated, the “2013 Facility”). The 2013 Facility is comprised of the following at March 31, 2023:</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$102.5 million secured revolving facility used by JRG Re to issue letters of credit for the benefit of third-party reinsureds. This portion of our credit facility is secured by our investment securities. At March 31, 2023, the Company had $44.2 million of letters of credit issued under the secured facility.</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and is payable in arrears, currently at 1-month SOFR (the Company, per the terms of the credit agreement, can elect between one, two, three, or six month interest periods) plus a 0.1% SOFR index adjustment and a SOFR margin which is currently 1.5% and is subject to change according to terms in the credit agreement. At March 31, 2023, the Company had a drawn balance of $185.8 million outstanding on the unsecured revolver.</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March 31, 2023.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March 31, 2023. The loans and letters of credit made or issued under the revolving line of credit of the 2017 Facility may be used to finance the borrowers' general corporate purposes. The 2017 Facility has been amended from time to time since its inception in 2017, including on November 8, 2019 when the Company entered into a First Amendment to Credit Agreement which, among other things, lowered the applicable interest rate and modified certain negative covenants to be less restrictive. Interest accrues and is payable in arrears at variable rates which are subject to change according to terms in the credit agreement. At March 31, 2023, unsecured loans of $21.5 million and secured letters of credit totaling $36.0 million were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on the 2017 Facility. During the three months ended March 31, 2022, the Company repaid $40.0 million of loans that were outstanding under the 2017 Facility.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March 31, 2023, and which, among other things, restrict our ability to assume senior indebtedness secured by our U.S. holding company’s common stock or its subsidiaries’ capital stock or to issue shares of its subsidiaries’ capital stock.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March 31, 2023 (including the Company’s repurchases of a portion of these trust preferred securities):</w:t>
      </w:r>
    </w:p>
    <w:tbl>
      <w:tblPr>
        <w:tblW w:w="10205" w:type="dxa"/>
        <w:jc w:val="left"/>
        <w:tblInd w:w="0" w:type="dxa"/>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r>
      <w:tr>
        <w:trPr/>
        <w:tc>
          <w:tcPr>
            <w:tcW w:w="2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LIBOR plus</w:t>
              <w:br/>
              <w:t>4.0%</w:t>
            </w:r>
          </w:p>
        </w:tc>
      </w:tr>
    </w:tbl>
    <w:p>
      <w:pPr>
        <w:pStyle w:val="TextBody"/>
        <w:spacing w:lineRule="auto" w:line="288" w:before="10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junior subordinated debt contains certain covenants with which we are in compliance as of March 31, 2023.</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Company's leverage ratio was 22.8% and 22.9%,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 We believe having debt as part of our capital structure allows us to generate a higher return on equity and greater book value per share results than we could by using equity capital alone.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March 31, 2023 and 2022, our net premium retention was 50.3% and 48.9%, respectively.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March 31, 2023:</w:t>
      </w:r>
    </w:p>
    <w:tbl>
      <w:tblPr>
        <w:tblW w:w="10205" w:type="dxa"/>
        <w:jc w:val="left"/>
        <w:tblInd w:w="0" w:type="dxa"/>
        <w:tblCellMar>
          <w:top w:w="28" w:type="dxa"/>
          <w:left w:w="28" w:type="dxa"/>
          <w:bottom w:w="28" w:type="dxa"/>
          <w:right w:w="28" w:type="dxa"/>
        </w:tblCellMar>
      </w:tblPr>
      <w:tblGrid>
        <w:gridCol w:w="1529"/>
        <w:gridCol w:w="1317"/>
        <w:gridCol w:w="1317"/>
        <w:gridCol w:w="109"/>
        <w:gridCol w:w="109"/>
        <w:gridCol w:w="109"/>
        <w:gridCol w:w="1701"/>
        <w:gridCol w:w="1660"/>
        <w:gridCol w:w="2354"/>
      </w:tblGrid>
      <w:tr>
        <w:trPr/>
        <w:tc>
          <w:tcPr>
            <w:tcW w:w="1529"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r>
      <w:tr>
        <w:trPr/>
        <w:tc>
          <w:tcPr>
            <w:tcW w:w="41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4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6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Primary Specialty Casualty, including Professional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$1.0 million per occurrence, subject to a $1.0 million aggregate deductible.</w:t>
            </w:r>
            <w:r>
              <w:rPr>
                <w:rFonts w:ascii="Times New Roman;sans-serif" w:hAnsi="Times New Roman;sans-serif"/>
                <w:b w:val="false"/>
                <w:color w:val="000000"/>
                <w:sz w:val="13"/>
              </w:rPr>
              <w:t>(1)</w:t>
            </w:r>
          </w:p>
        </w:tc>
      </w:tr>
      <w:tr>
        <w:trPr/>
        <w:tc>
          <w:tcPr>
            <w:tcW w:w="4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$2.0 million per occurrence.</w:t>
            </w:r>
            <w:r>
              <w:rPr>
                <w:rFonts w:ascii="Times New Roman;sans-serif" w:hAnsi="Times New Roman;sans-serif"/>
                <w:b w:val="false"/>
                <w:color w:val="000000"/>
                <w:sz w:val="13"/>
              </w:rPr>
              <w:t>(2)</w:t>
            </w:r>
          </w:p>
        </w:tc>
      </w:tr>
      <w:tr>
        <w:trPr/>
        <w:tc>
          <w:tcPr>
            <w:tcW w:w="41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$2.0 million per occurrence.</w:t>
            </w:r>
            <w:r>
              <w:rPr>
                <w:rFonts w:ascii="Times New Roman;sans-serif" w:hAnsi="Times New Roman;sans-serif"/>
                <w:b w:val="false"/>
                <w:color w:val="000000"/>
                <w:sz w:val="13"/>
              </w:rPr>
              <w:t>(3)</w:t>
            </w:r>
          </w:p>
        </w:tc>
      </w:tr>
      <w:tr>
        <w:trPr/>
        <w:tc>
          <w:tcPr>
            <w:tcW w:w="41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Up to $5.0 million per event.</w:t>
            </w:r>
            <w:r>
              <w:rPr>
                <w:rFonts w:ascii="Times New Roman;sans-serif" w:hAnsi="Times New Roman;sans-serif"/>
                <w:b w:val="false"/>
                <w:color w:val="000000"/>
                <w:sz w:val="13"/>
              </w:rPr>
              <w:t>(4)</w:t>
            </w:r>
          </w:p>
        </w:tc>
      </w:tr>
    </w:tbl>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    Except for Life Sciences quota share carve out, which is up to $2.0 million per occurrence.</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$1.0 million.</w:t>
      </w:r>
    </w:p>
    <w:p>
      <w:pPr>
        <w:pStyle w:val="TextBody"/>
        <w:spacing w:lineRule="auto" w:line="288" w:before="0" w:after="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(3)    For policies with an occurrence limit up to $10.0 million, the excess casualty treaty is set such that our retention is no more than $2.0 million.</w:t>
      </w:r>
    </w:p>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(4)    The property catastrophe reinsurance treaty has a limit of $55.0 million with one reinstatement.</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specific quota share treaty in effect to cover property risks. The quota share treaty along with facultative reinsurance helps ensure that our net retained limit per risk will be $5.0 million or less.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modeling of our Excess and Surplus Lines and Specialty Admitted segments, it would take an event at the 1 in 1000 year PML to exhaust our $60.0 million property catastrophe reinsurance. In the event of a catastrophe loss exhausting our $60.0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spacing w:lineRule="auto" w:line="288" w:before="0" w:after="120"/>
        <w:ind w:left="0" w:right="0" w:firstLine="405"/>
        <w:jc w:val="both"/>
        <w:rPr/>
      </w:pPr>
      <w:r>
        <w:rPr>
          <w:rFonts w:ascii="Times New Roman;sans-serif" w:hAnsi="Times New Roman;sans-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ans-serif" w:hAnsi="Times New Roman;sans-serif"/>
          <w:b w:val="false"/>
          <w:i/>
          <w:color w:val="000000"/>
          <w:sz w:val="20"/>
        </w:rPr>
        <w:t>Amounts Recoverable from an Indemnifying Party and Reinsurer on the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March 31, 2023:</w:t>
      </w:r>
    </w:p>
    <w:tbl>
      <w:tblPr>
        <w:tblW w:w="10205" w:type="dxa"/>
        <w:jc w:val="left"/>
        <w:tblInd w:w="0" w:type="dxa"/>
        <w:tblCellMar>
          <w:top w:w="28" w:type="dxa"/>
          <w:left w:w="28" w:type="dxa"/>
          <w:bottom w:w="28" w:type="dxa"/>
          <w:right w:w="28" w:type="dxa"/>
        </w:tblCellMar>
      </w:tblPr>
      <w:tblGrid>
        <w:gridCol w:w="1062"/>
        <w:gridCol w:w="696"/>
        <w:gridCol w:w="644"/>
        <w:gridCol w:w="109"/>
        <w:gridCol w:w="109"/>
        <w:gridCol w:w="109"/>
        <w:gridCol w:w="2327"/>
        <w:gridCol w:w="2112"/>
        <w:gridCol w:w="3037"/>
      </w:tblGrid>
      <w:tr>
        <w:trPr/>
        <w:tc>
          <w:tcPr>
            <w:tcW w:w="106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7" w:type="dxa"/>
            <w:tcBorders/>
            <w:shd w:fill="auto" w:val="clear"/>
            <w:vAlign w:val="center"/>
          </w:tcPr>
          <w:p>
            <w:pPr>
              <w:pStyle w:val="TableContents"/>
              <w:spacing w:before="0" w:after="283"/>
              <w:rPr>
                <w:sz w:val="4"/>
                <w:szCs w:val="4"/>
              </w:rPr>
            </w:pPr>
            <w:r>
              <w:rPr>
                <w:sz w:val="4"/>
                <w:szCs w:val="4"/>
              </w:rPr>
            </w:r>
          </w:p>
        </w:tc>
        <w:tc>
          <w:tcPr>
            <w:tcW w:w="2112" w:type="dxa"/>
            <w:tcBorders/>
            <w:shd w:fill="auto" w:val="clear"/>
            <w:vAlign w:val="center"/>
          </w:tcPr>
          <w:p>
            <w:pPr>
              <w:pStyle w:val="TableContents"/>
              <w:spacing w:before="0" w:after="283"/>
              <w:rPr>
                <w:sz w:val="4"/>
                <w:szCs w:val="4"/>
              </w:rPr>
            </w:pPr>
            <w:r>
              <w:rPr>
                <w:sz w:val="4"/>
                <w:szCs w:val="4"/>
              </w:rPr>
            </w:r>
          </w:p>
        </w:tc>
        <w:tc>
          <w:tcPr>
            <w:tcW w:w="3037" w:type="dxa"/>
            <w:tcBorders/>
            <w:shd w:fill="auto" w:val="clear"/>
            <w:vAlign w:val="center"/>
          </w:tcPr>
          <w:p>
            <w:pPr>
              <w:pStyle w:val="TableContents"/>
              <w:spacing w:before="0" w:after="283"/>
              <w:rPr>
                <w:sz w:val="4"/>
                <w:szCs w:val="4"/>
              </w:rPr>
            </w:pPr>
            <w:r>
              <w:rPr>
                <w:sz w:val="4"/>
                <w:szCs w:val="4"/>
              </w:rPr>
            </w:r>
          </w:p>
        </w:tc>
      </w:tr>
      <w:tr>
        <w:trPr/>
        <w:tc>
          <w:tcPr>
            <w:tcW w:w="24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4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4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Workers’ Compensation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Excess of loss coverage for $29.5 million in excess of $500,000.</w:t>
            </w:r>
            <w:r>
              <w:rPr>
                <w:rFonts w:ascii="Times New Roman;sans-serif" w:hAnsi="Times New Roman;sans-serif"/>
                <w:b w:val="false"/>
                <w:color w:val="000000"/>
                <w:sz w:val="13"/>
              </w:rPr>
              <w:t>(1)</w:t>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50%-90% of limits up to $1.5 million liability and $7.5 million physical damage per occurrence.</w:t>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62.5%-100% of limits up to $3.0 million per occurrence.</w:t>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65% of limits up to $10.0 million per occurrence, and 75% of excess of loss coverage for $5.0 million in excess of $10.0 million.</w:t>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within Package - Programs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occurrence.</w:t>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$58.9 million.</w:t>
            </w:r>
          </w:p>
        </w:tc>
      </w:tr>
      <w:tr>
        <w:trPr/>
        <w:tc>
          <w:tcPr>
            <w:tcW w:w="2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Catastrophe Coverage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$59.0 million in excess of $1.0 million per occurrence.</w:t>
            </w:r>
          </w:p>
        </w:tc>
      </w:tr>
      <w:tr>
        <w:trPr/>
        <w:tc>
          <w:tcPr>
            <w:tcW w:w="2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6"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80% of limits up to $20 million liability and $2.5 million hull per occurrence, each aircraft; and excess of loss coverage for up to $8.7M excess of $300,000 of our 20% share of the quota share each occurrence.</w:t>
            </w:r>
          </w:p>
        </w:tc>
      </w:tr>
    </w:tbl>
    <w:p>
      <w:pPr>
        <w:pStyle w:val="TextBody"/>
        <w:spacing w:lineRule="auto" w:line="288" w:before="120" w:after="6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(1)    Excluding one program which has quota share coverage for 84% of the first $1.0 million per occurrence and excess of loss coverage for $49.0 million in excess of $1.0 million per occurrence. </w:t>
      </w:r>
    </w:p>
    <w:p>
      <w:pPr>
        <w:pStyle w:val="TextBody"/>
        <w:spacing w:lineRule="auto" w:line="288" w:before="12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$59.0 million in excess of $1.0 million per occurrence to manage its property exposure to an approximate 1 in 1,000 year PML.</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our Casualty Reinsurance segment, we also have limited property catastrophe exposure on treaties in run-off, primarily through auto physical damage coverage. In the aggregate, we believe our pre-tax group-wide PML from a 1 in 1,000 year property catastrophe event would not exceed 2.5% of shareholders’ equity, inclusive of reinstatement premiums payable.</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JRG Re entered into the Casualty Re LPT with FRL to reinsure the majority of the segment risk, which closed on March 31, 2022. Under the terms of the transaction, JRG Re (a) ceded to FRL all existing and future claims for losses arising under certain casualty reinsurance agreements with underlying insurance companies with treaty inception dates ranging from 2011 to 2020 (the “Subject Business”), in each case net of third-party reinsurance and other recoveries, up to an aggregate limit of $400.0 million; (b) continues to manage and retain the benefit of other third-party reinsurance on the Subject Business; (c) paid FRL a reinsurance premium of $335.0 million, $310.0 million of which JRG Re credited to a notional funds withheld account (the “Funds Withheld Account”) and $25.0 million of which was paid in cash to FRL.</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 As of March 31, 2023, our average net retained limit per risk is $2.5 million.</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present. This treaty had one reinstatement and expired on December 31, 2022.</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2023, the allowance for credit losses on reinsurance recoverables was $661,000.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had reinsurance recoverables on unpaid losses of $1,541.5 million (net of a $661,000 allowance for credit losses) and reinsurance recoverables on paid losses of $158.8 million, and all material recoverable amounts were from companies with A.M. Best ratings of “A-" (Excellent) or better, or are collateralized by the reinsurer for our benefit through letters of credit or funds on deposit in trust accounts.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 respectively:</w:t>
      </w:r>
    </w:p>
    <w:p>
      <w:pPr>
        <w:pStyle w:val="TextBody"/>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March 31, 2023, the balance in the Indemnity Trust was $175.8 million, and, together with the balance of the Loss Fund Trust (as defined below) attributable to the Indemnity Agreements as described below, the total balance of collateral securing Rasier’s obligations under the Indemnity Agreements was $245.0 million.</w:t>
      </w:r>
    </w:p>
    <w:p>
      <w:pPr>
        <w:pStyle w:val="TextBody"/>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statutory actuarial principles and based on reserves recorded in the Company's statutory financial statements. The collateral is provided through a collateral trust arrangement (the “LPT Trust”) established in favor of James River by Aleka. At March 31, 2023, the balance in the LPT Trust was $80.5 million, and, together with the balance of the Loss Fund Trust (as defined below) attributable to the Commercial Auto LPT as described below, the total balance of collateral securing Aleka’s obligations under the Commercial Auto LPT was $108.7 million. At March 31, 2023, the total reinsurance recoverables under the Commercial Auto LPT was $145.3 million (including $135.4 million of unpaid recoverables and $9.9 million of paid recoverables).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March 31, 2023, the balance in the Loss Fund Trust was $104.3 million, including $69.2 million representing collateral supporting Rasier’s obligations under the Indemnity Agreements and $28.2 million representing collateral supporting Aleka’s obligations under the Commercial Auto LPT. Funds posted to the Loss Fund Trust are classified as restricted cash equivalents on the Company's balance sheet.</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Ratings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insurance and reinsurance subsidiaries allow our subsidiaries to actively pursue relationships with the agents and brokers identified in their marketing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Shares</w:t>
      </w:r>
    </w:p>
    <w:p>
      <w:pPr>
        <w:pStyle w:val="TextBody"/>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37,470,237 at December 31, 2022 to 37,619,226 at March 31, 2023, reflecting 148,989 common shares issued in the three months ended March 31, 2023 related to vesting of RSUs.</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recognized $2.7 million and $1.8 million of share based compensation expense, respectively. As of March 31, 2023, the Company had $17.4 million of unrecognized share based compensation expense expected to be charged to earnings over a weighted-average period of 2.2 years.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spacing w:lineRule="auto" w:line="288" w:before="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51" w:type="dxa"/>
        <w:jc w:val="left"/>
        <w:tblInd w:w="0" w:type="dxa"/>
        <w:tblCellMar>
          <w:top w:w="28" w:type="dxa"/>
          <w:left w:w="28" w:type="dxa"/>
          <w:bottom w:w="28" w:type="dxa"/>
          <w:right w:w="28" w:type="dxa"/>
        </w:tblCellMar>
      </w:tblPr>
      <w:tblGrid>
        <w:gridCol w:w="809"/>
        <w:gridCol w:w="711"/>
        <w:gridCol w:w="715"/>
        <w:gridCol w:w="449"/>
        <w:gridCol w:w="451"/>
        <w:gridCol w:w="196"/>
        <w:gridCol w:w="109"/>
        <w:gridCol w:w="109"/>
        <w:gridCol w:w="109"/>
        <w:gridCol w:w="211"/>
        <w:gridCol w:w="616"/>
        <w:gridCol w:w="109"/>
        <w:gridCol w:w="109"/>
        <w:gridCol w:w="109"/>
        <w:gridCol w:w="109"/>
        <w:gridCol w:w="413"/>
        <w:gridCol w:w="413"/>
        <w:gridCol w:w="196"/>
        <w:gridCol w:w="109"/>
        <w:gridCol w:w="109"/>
        <w:gridCol w:w="109"/>
        <w:gridCol w:w="211"/>
        <w:gridCol w:w="616"/>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01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78,320 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outstanding options are fully vested (vesting period of three years from date of grant) and have a contractual life of seven years from the original date of grant.</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292,135 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363,484 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(109,589)</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812,521 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RSUs granted to employees generally vest ratably over a three year vesting period. RSUs granted to non-employee directors have a one year vesting period. The RSUs granted in 2023 include 91,818 PRSU awards.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Underwriting Performance Ratios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underwriting performance ratios of the Company inclusive of the business subject to retroactive reinsurance accounting for loss portfolio transfers. There is no economic impact to the Company over the life of a loss portfolio transfer contract so long as any additional losses subject to the contract are within the limit of the loss portfolio transfer and the counterparty performs under the contract. Retroactive reinsurance accounting is not indicative of our current and ongoing operations. Management believes that providing loss ratios and combined ratios on business not subject to retroactive reinsurance accounting for loss portfolio transfers gives the users of our financial statements useful information in evaluating our current and ongoing operations.</w:t>
      </w:r>
    </w:p>
    <w:tbl>
      <w:tblPr>
        <w:tblW w:w="8212" w:type="dxa"/>
        <w:jc w:val="left"/>
        <w:tblInd w:w="0" w:type="dxa"/>
        <w:tblCellMar>
          <w:top w:w="28" w:type="dxa"/>
          <w:left w:w="28" w:type="dxa"/>
          <w:bottom w:w="28" w:type="dxa"/>
          <w:right w:w="28" w:type="dxa"/>
        </w:tblCellMar>
      </w:tblPr>
      <w:tblGrid>
        <w:gridCol w:w="1811"/>
        <w:gridCol w:w="1596"/>
        <w:gridCol w:w="1603"/>
        <w:gridCol w:w="109"/>
        <w:gridCol w:w="109"/>
        <w:gridCol w:w="247"/>
        <w:gridCol w:w="247"/>
        <w:gridCol w:w="307"/>
        <w:gridCol w:w="309"/>
        <w:gridCol w:w="615"/>
        <w:gridCol w:w="109"/>
        <w:gridCol w:w="109"/>
        <w:gridCol w:w="109"/>
        <w:gridCol w:w="307"/>
        <w:gridCol w:w="309"/>
        <w:gridCol w:w="316"/>
      </w:tblGrid>
      <w:tr>
        <w:trPr/>
        <w:tc>
          <w:tcPr>
            <w:tcW w:w="1811"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259" w:type="dxa"/>
            <w:gridSpan w:val="6"/>
            <w:tcBorders/>
            <w:shd w:fill="auto" w:val="clea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120"/>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See “Key Metrics” above for descriptions of why management believes the following Non-GAAP measures provide useful information about our financial condition and results of operation.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underwriting profit as net earned premiums and gross fee income (in specific instances when the Company is not retaining insurance risk) less losses and loss adjustment expenses on business not subject to retroactive reinsurance accounting for loss portfolio transfers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profit (loss) of the operating segments by individual segment to consolidated income before income taxes:</w:t>
      </w:r>
    </w:p>
    <w:tbl>
      <w:tblPr>
        <w:tblW w:w="8336" w:type="dxa"/>
        <w:jc w:val="left"/>
        <w:tblInd w:w="0" w:type="dxa"/>
        <w:tblCellMar>
          <w:top w:w="28" w:type="dxa"/>
          <w:left w:w="28" w:type="dxa"/>
          <w:bottom w:w="28" w:type="dxa"/>
          <w:right w:w="28" w:type="dxa"/>
        </w:tblCellMar>
      </w:tblPr>
      <w:tblGrid>
        <w:gridCol w:w="1848"/>
        <w:gridCol w:w="1622"/>
        <w:gridCol w:w="1630"/>
        <w:gridCol w:w="109"/>
        <w:gridCol w:w="109"/>
        <w:gridCol w:w="139"/>
        <w:gridCol w:w="139"/>
        <w:gridCol w:w="269"/>
        <w:gridCol w:w="919"/>
        <w:gridCol w:w="139"/>
        <w:gridCol w:w="109"/>
        <w:gridCol w:w="109"/>
        <w:gridCol w:w="109"/>
        <w:gridCol w:w="211"/>
        <w:gridCol w:w="721"/>
        <w:gridCol w:w="154"/>
      </w:tblGrid>
      <w:tr>
        <w:trPr/>
        <w:tc>
          <w:tcPr>
            <w:tcW w:w="1848"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Underwriting profit </w:t>
            </w: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(losses)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(1)Included in underwriting results for the three months ended March 31, 2023 and 2022 is gross fee income of $5.7 million and $5.6 million, respectively.</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Income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is defined as income available to common shareholders excluding a) the impact of loss portfolio transfers accounted for as retroactive reinsurance, b) net realized and unrealized gains (losses) on investments, c) certain non-operating expenses such as professional service fees related to a purported class action lawsuit, various strategic initiatives, and the filing of registration statements for the offering of securities, and d)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available to common shareholders reconciles to our adjusted net operating income as follows:</w:t>
      </w:r>
    </w:p>
    <w:tbl>
      <w:tblPr>
        <w:tblW w:w="10205" w:type="dxa"/>
        <w:jc w:val="left"/>
        <w:tblInd w:w="0" w:type="dxa"/>
        <w:tblCellMar>
          <w:top w:w="28" w:type="dxa"/>
          <w:left w:w="28" w:type="dxa"/>
          <w:bottom w:w="28" w:type="dxa"/>
          <w:right w:w="28" w:type="dxa"/>
        </w:tblCellMar>
      </w:tblPr>
      <w:tblGrid>
        <w:gridCol w:w="1815"/>
        <w:gridCol w:w="1596"/>
        <w:gridCol w:w="16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15"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5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9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50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9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 losses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Tangible Equity and Tangible Equity per Share</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Tangible equity is defined as shareholders' equity plus mezzanine Series A Preferred Shares and the unrecognized deferred retroactive reinsurance gain on loss portfolio transfers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current conversion price). Our definitions of tangible equity and tangible equity per share may not be comparable to that of other companies, and they should not be viewed as a substitute for shareholders’ equity and shareholders’ equity per share calculated in accordance with GAAP.</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shareholders’ equity to tangible equity as of March 31, 2023 and December 31, 2022:</w:t>
      </w:r>
    </w:p>
    <w:tbl>
      <w:tblPr>
        <w:tblW w:w="10205" w:type="dxa"/>
        <w:jc w:val="left"/>
        <w:tblInd w:w="0" w:type="dxa"/>
        <w:tblCellMar>
          <w:top w:w="28" w:type="dxa"/>
          <w:left w:w="28" w:type="dxa"/>
          <w:bottom w:w="28" w:type="dxa"/>
          <w:right w:w="28" w:type="dxa"/>
        </w:tblCellMar>
      </w:tblPr>
      <w:tblGrid>
        <w:gridCol w:w="1785"/>
        <w:gridCol w:w="1568"/>
        <w:gridCol w:w="1572"/>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56"/>
      </w:tblGrid>
      <w:tr>
        <w:trPr/>
        <w:tc>
          <w:tcPr>
            <w:tcW w:w="1785"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r>
      <w:tr>
        <w:trPr/>
        <w:tc>
          <w:tcPr>
            <w:tcW w:w="4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8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 except share amounts)</w:t>
            </w:r>
          </w:p>
        </w:tc>
      </w:tr>
      <w:tr>
        <w:trPr/>
        <w:tc>
          <w:tcPr>
            <w:tcW w:w="4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492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492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4925"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from assumed conversion of Series A Preferred Shares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after assumed conversion of Series A Preferred Shares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43,259,384 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43,110,395 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color w:val="000000"/>
        </w:rPr>
      </w:pPr>
      <w:r>
        <w:rPr>
          <w:color w:val="000000"/>
        </w:rPr>
        <w:t>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from the information provided in Item 7A of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2023,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2023.</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March 31, 2023 that have materially affected, or are reasonably likely to materially affect, our internal control over financial reporting.</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including commercial matters and litigation regarding insurance claims which arise in the ordinary course of business, as well as an alleged class action lawsuit. In addition, the Company is involved from time to time in legal actions which seek extra-contractual damages, punitive damages or penalties, including claims alleging bad faith in handling of insurance claims. We believe that the outcome of such matters, individually and in the aggregate, is not reasonably likely to have a material adverse effect on our consolidated financial position, results of operations or cash flows.</w:t>
      </w:r>
    </w:p>
    <w:p>
      <w:pPr>
        <w:pStyle w:val="TextBody"/>
        <w:spacing w:lineRule="auto" w:line="288" w:before="0" w:after="120"/>
        <w:ind w:left="0" w:right="0" w:firstLine="360"/>
        <w:jc w:val="both"/>
        <w:rPr/>
      </w:pPr>
      <w:r>
        <w:rPr>
          <w:rFonts w:ascii="Times New Roman;sans-serif" w:hAnsi="Times New Roman;sans-serif"/>
          <w:b w:val="false"/>
          <w:color w:val="000000"/>
          <w:sz w:val="20"/>
        </w:rPr>
        <w:t xml:space="preserve">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On September 22, 2021, the Court entered an order appointing Employees’ Retirement Fund of the City of Fort Worth and the City of Miami General Employees’ and Sanitation Employees’ Retirement Trust as co-lead plaintiffs (together, “Plaintiffs”). Plaintiffs’ consolidated amended complaint was filed on November 19, 2021 (the “First Amended Complaint”). The Defendants filed a motion to dismiss the First Amended Complaint on January 18, 2022, Plaintiffs’ opposition thereto was filed on March 4, 2022, and the Defendants’ reply to the Plaintiffs’ opposition was filed on April 4, 2022. On August 25, 2022, Plaintiffs filed a motion for leave to file a second amended class action complaint (the "Second Amended Complaint"). On September </w:t>
      </w:r>
      <w:r>
        <w:rPr>
          <w:rFonts w:ascii="Times New Roman;sans-serif" w:hAnsi="Times New Roman;sans-serif"/>
          <w:b w:val="false"/>
          <w:color w:val="000000"/>
          <w:sz w:val="20"/>
          <w:highlight w:val="white"/>
        </w:rPr>
        <w:t>8</w:t>
      </w:r>
      <w:r>
        <w:rPr>
          <w:rFonts w:ascii="Times New Roman;sans-serif" w:hAnsi="Times New Roman;sans-serif"/>
          <w:b w:val="false"/>
          <w:color w:val="000000"/>
          <w:sz w:val="20"/>
        </w:rPr>
        <w:t xml:space="preserve">, 2022, the Defendants consented to the Plaintiffs’ motion to file the Second Amended Complaint, and filed a motion to dismiss the Second Amended Complaint on October 24, 2022 (the "Second MTD"). The Plaintiffs’ opposition to the Second MTD was filed on November 7, 2022, and the Defendant's reply to the Plaintiffs' opposition was filed on November 14, 2022. The First Amended Complaint and Second Amended Complaint assert claims under Sections 10(b) and 20(a) of the Securities Exchange Act of 1934 on behalf of a putative class of persons and entities that purchased the Company's stock between February 22, 2019 and October 25, 2021, and allege that Defendants failed to make appropriate disclosures concerning the adequacy of reserves for policies that covered Rasier LLC, a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color w:val="000000"/>
        </w:rPr>
      </w:pPr>
      <w:r>
        <w:rPr>
          <w:color w:val="000000"/>
        </w:rPr>
        <w:t> </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subsidiary of Uber Technologies, Inc., and seek unspecified damages, costs, attorneys’ fees and such other relief as the court may deem proper. We believe that the Plaintiffs’ claims are without merit and we intend to vigorously defend this lawsuit.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in the quarter ended March 31, 2023 from those disclosed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hold the 2023 annual general meeting of shareholders (the "2023 Annual Meeting") on July 27, 2023. The record date, time and location of the 2023 Annual Meeting will be set forth in the proxy statement for the 2023 Annual Meeting to be distributed to shareholders prior to the meeting.</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 proposals intended for inclusion in the Company's definitive proxy statement for the 2023 Annual Meeting pursuant to Rule 14a-8 of the Exchange Act must be received by May 23, 2023. Any such shareholder proposal should be sent to our registered office c/o Conyers Corporate Services (Bermuda) Limited, Clarendon House, P.O. Box HM 1022, Hamilton HM DX, Bermuda. Any such proposal must comply with the requirements of Rule 14a-8.</w:t>
      </w:r>
    </w:p>
    <w:p>
      <w:pPr>
        <w:pStyle w:val="TextBody"/>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Company's Fourth Amended and Restated Bye-laws (the "Bye-laws"), shareholders who intend to nominate a person for election as a director or submit a proposal regarding any other matter of business at the 2023 Annual Meeting must deliver written notice of the shareholder's intention to do so, which notice must include the information required by the Bye-laws. To be timely, the shareholder's notice must be delivered to or mailed and received by the Company's Secretary at the registered office of the Company identified above no later than May 18, 2023, and must include the information required by the Bye-laws. In addition to satisfying the foregoing requirements under the Bye-laws, to comply with the universal proxy rules, shareholders who intend to solicit proxies in support of director nominees other than the board of directors' nominees must provide notice that sets forth the information required by Rule 14a-19 promulgated under the Exchange Act, which must also be received within the time period specified in the immediately preceding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90"/>
        <w:gridCol w:w="256"/>
        <w:gridCol w:w="258"/>
        <w:gridCol w:w="109"/>
        <w:gridCol w:w="109"/>
        <w:gridCol w:w="109"/>
        <w:gridCol w:w="2713"/>
        <w:gridCol w:w="2618"/>
        <w:gridCol w:w="3743"/>
      </w:tblGrid>
      <w:tr>
        <w:trPr/>
        <w:tc>
          <w:tcPr>
            <w:tcW w:w="29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3" w:type="dxa"/>
            <w:tcBorders/>
            <w:shd w:fill="auto" w:val="clear"/>
            <w:vAlign w:val="center"/>
          </w:tcPr>
          <w:p>
            <w:pPr>
              <w:pStyle w:val="TableContents"/>
              <w:spacing w:before="0" w:after="283"/>
              <w:rPr>
                <w:sz w:val="4"/>
                <w:szCs w:val="4"/>
              </w:rPr>
            </w:pPr>
            <w:r>
              <w:rPr>
                <w:sz w:val="4"/>
                <w:szCs w:val="4"/>
              </w:rPr>
            </w:r>
          </w:p>
        </w:tc>
        <w:tc>
          <w:tcPr>
            <w:tcW w:w="2618" w:type="dxa"/>
            <w:tcBorders/>
            <w:shd w:fill="auto" w:val="clear"/>
            <w:vAlign w:val="center"/>
          </w:tcPr>
          <w:p>
            <w:pPr>
              <w:pStyle w:val="TableContents"/>
              <w:spacing w:before="0" w:after="283"/>
              <w:rPr>
                <w:sz w:val="4"/>
                <w:szCs w:val="4"/>
              </w:rPr>
            </w:pPr>
            <w:r>
              <w:rPr>
                <w:sz w:val="4"/>
                <w:szCs w:val="4"/>
              </w:rPr>
            </w:r>
          </w:p>
        </w:tc>
        <w:tc>
          <w:tcPr>
            <w:tcW w:w="3743" w:type="dxa"/>
            <w:tcBorders/>
            <w:shd w:fill="auto" w:val="cle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jrvrex311.htm">
              <w:r>
                <w:rPr>
                  <w:rStyle w:val="InternetLink"/>
                  <w:rFonts w:ascii="Times New Roman;sans-serif" w:hAnsi="Times New Roman;sans-serif"/>
                  <w:b w:val="false"/>
                  <w:color w:val="0000FF"/>
                  <w:sz w:val="20"/>
                  <w:u w:val="single"/>
                </w:rPr>
                <w:t>Chief Executive Officer Certification pursuant to Rule 13a-14(a)/15d-14(a)</w:t>
              </w:r>
            </w:hyperlink>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q23jrvrex312.htm">
              <w:r>
                <w:rPr>
                  <w:rStyle w:val="InternetLink"/>
                  <w:rFonts w:ascii="Times New Roman;sans-serif" w:hAnsi="Times New Roman;sans-serif"/>
                  <w:b w:val="false"/>
                  <w:color w:val="0000FF"/>
                  <w:sz w:val="20"/>
                  <w:u w:val="single"/>
                </w:rPr>
                <w:t>Chief Financial Officer Certification pursuant to Rule 13a-14(a)/15d-14(a)</w:t>
              </w:r>
            </w:hyperlink>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1q23jrvrex32.htm">
              <w:r>
                <w:rPr>
                  <w:rStyle w:val="InternetLink"/>
                  <w:rFonts w:ascii="Times New Roman;sans-serif" w:hAnsi="Times New Roman;sans-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9e81bf2011bf4c4590cc974715318c63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164" w:type="dxa"/>
        <w:jc w:val="left"/>
        <w:tblInd w:w="0" w:type="dxa"/>
        <w:tblCellMar>
          <w:top w:w="28" w:type="dxa"/>
          <w:left w:w="28" w:type="dxa"/>
          <w:bottom w:w="28" w:type="dxa"/>
          <w:right w:w="28" w:type="dxa"/>
        </w:tblCellMar>
      </w:tblPr>
      <w:tblGrid>
        <w:gridCol w:w="200"/>
        <w:gridCol w:w="177"/>
        <w:gridCol w:w="178"/>
        <w:gridCol w:w="379"/>
        <w:gridCol w:w="379"/>
        <w:gridCol w:w="381"/>
        <w:gridCol w:w="450"/>
        <w:gridCol w:w="450"/>
        <w:gridCol w:w="450"/>
        <w:gridCol w:w="909"/>
        <w:gridCol w:w="909"/>
        <w:gridCol w:w="130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4470"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p>
      <w:pPr>
        <w:pStyle w:val="TextBody"/>
        <w:spacing w:lineRule="auto" w:line="288" w:before="0" w:after="0"/>
        <w:rPr>
          <w:color w:val="000000"/>
        </w:rPr>
      </w:pPr>
      <w:r>
        <w:rPr>
          <w:color w:val="000000"/>
        </w:rPr>
        <w:t> </w:t>
      </w:r>
    </w:p>
    <w:tbl>
      <w:tblPr>
        <w:tblW w:w="2816" w:type="dxa"/>
        <w:jc w:val="center"/>
        <w:tblInd w:w="0" w:type="dxa"/>
        <w:tblCellMar>
          <w:top w:w="28" w:type="dxa"/>
          <w:left w:w="28" w:type="dxa"/>
          <w:bottom w:w="28" w:type="dxa"/>
          <w:right w:w="28" w:type="dxa"/>
        </w:tblCellMar>
      </w:tblPr>
      <w:tblGrid>
        <w:gridCol w:w="886"/>
        <w:gridCol w:w="776"/>
        <w:gridCol w:w="782"/>
        <w:gridCol w:w="109"/>
        <w:gridCol w:w="109"/>
        <w:gridCol w:w="154"/>
      </w:tblGrid>
      <w:tr>
        <w:trPr/>
        <w:tc>
          <w:tcPr>
            <w:tcW w:w="88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3, 2023 </w:t>
      </w:r>
    </w:p>
    <w:p>
      <w:pPr>
        <w:pStyle w:val="TextBody"/>
        <w:spacing w:before="100" w:after="283"/>
        <w:rPr/>
      </w:pPr>
      <w:r>
        <w:rPr/>
      </w:r>
    </w:p>
    <w:tbl>
      <w:tblPr>
        <w:tblW w:w="2757" w:type="dxa"/>
        <w:jc w:val="center"/>
        <w:tblInd w:w="0" w:type="dxa"/>
        <w:tblCellMar>
          <w:top w:w="28" w:type="dxa"/>
          <w:left w:w="28" w:type="dxa"/>
          <w:bottom w:w="28" w:type="dxa"/>
          <w:right w:w="28" w:type="dxa"/>
        </w:tblCellMar>
      </w:tblPr>
      <w:tblGrid>
        <w:gridCol w:w="863"/>
        <w:gridCol w:w="759"/>
        <w:gridCol w:w="763"/>
        <w:gridCol w:w="109"/>
        <w:gridCol w:w="109"/>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rPr>
          <w:color w:val="000000"/>
        </w:rPr>
      </w:pPr>
      <w:r>
        <w:rPr>
          <w:color w:val="000000"/>
        </w:rPr>
        <w:t> </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James River Group Holdings, Ltd. (the “Company”) on Form 10-Q for the period ended March 31, 2023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spacing w:lineRule="auto" w:line="288" w:before="120" w:after="120"/>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spacing w:lineRule="auto" w:line="288" w:before="12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2817" w:type="dxa"/>
        <w:jc w:val="center"/>
        <w:tblInd w:w="0" w:type="dxa"/>
        <w:tblCellMar>
          <w:top w:w="28" w:type="dxa"/>
          <w:left w:w="28" w:type="dxa"/>
          <w:bottom w:w="28" w:type="dxa"/>
          <w:right w:w="28" w:type="dxa"/>
        </w:tblCellMar>
      </w:tblPr>
      <w:tblGrid>
        <w:gridCol w:w="124"/>
        <w:gridCol w:w="109"/>
        <w:gridCol w:w="109"/>
        <w:gridCol w:w="724"/>
        <w:gridCol w:w="724"/>
        <w:gridCol w:w="10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30257</Words>
  <CharactersWithSpaces>196716</CharactersWithSpaces>
  <Paragraphs>4036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