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4"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120" w:after="120"/>
        <w:jc w:val="center"/>
        <w:rPr>
          <w:rFonts w:ascii="Times New Roman;serif" w:hAnsi="Times New Roman;serif"/>
          <w:b/>
          <w:color w:val="000000"/>
          <w:sz w:val="36"/>
        </w:rPr>
      </w:pPr>
      <w:r>
        <w:rPr>
          <w:rFonts w:ascii="Times New Roman;serif" w:hAnsi="Times New Roman;serif"/>
          <w:b/>
          <w:color w:val="000000"/>
          <w:sz w:val="36"/>
        </w:rPr>
        <w:t>FORM 10-Q</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2"/>
        <w:gridCol w:w="2882"/>
        <w:gridCol w:w="409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2882" w:type="dxa"/>
            <w:tcBorders/>
            <w:vAlign w:val="center"/>
          </w:tcPr>
          <w:p>
            <w:pPr>
              <w:pStyle w:val="TableContents"/>
              <w:bidi w:val="0"/>
              <w:spacing w:before="0" w:after="283"/>
              <w:jc w:val="left"/>
              <w:rPr>
                <w:sz w:val="4"/>
                <w:szCs w:val="4"/>
              </w:rPr>
            </w:pPr>
            <w:r>
              <w:rPr>
                <w:sz w:val="4"/>
                <w:szCs w:val="4"/>
              </w:rPr>
            </w:r>
          </w:p>
        </w:tc>
        <w:tc>
          <w:tcPr>
            <w:tcW w:w="409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 for the quarterly period ended March 31, 2026</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9"/>
        <w:gridCol w:w="2889"/>
        <w:gridCol w:w="408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2889" w:type="dxa"/>
            <w:tcBorders/>
            <w:vAlign w:val="center"/>
          </w:tcPr>
          <w:p>
            <w:pPr>
              <w:pStyle w:val="TableContents"/>
              <w:bidi w:val="0"/>
              <w:spacing w:before="0" w:after="283"/>
              <w:jc w:val="left"/>
              <w:rPr>
                <w:sz w:val="4"/>
                <w:szCs w:val="4"/>
              </w:rPr>
            </w:pPr>
            <w:r>
              <w:rPr>
                <w:sz w:val="4"/>
                <w:szCs w:val="4"/>
              </w:rPr>
            </w:r>
          </w:p>
        </w:tc>
        <w:tc>
          <w:tcPr>
            <w:tcW w:w="408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 for the transition period from _______ to _______</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Commission File Number: 001-36777</w:t>
      </w:r>
    </w:p>
    <w:tbl>
      <w:tblPr>
        <w:tblW w:w="9225" w:type="dxa"/>
        <w:jc w:val="center"/>
        <w:tblInd w:w="0" w:type="dxa"/>
        <w:tblLayout w:type="fixed"/>
        <w:tblCellMar>
          <w:top w:w="28" w:type="dxa"/>
          <w:left w:w="28" w:type="dxa"/>
          <w:bottom w:w="28" w:type="dxa"/>
          <w:right w:w="28" w:type="dxa"/>
        </w:tblCellMar>
      </w:tblPr>
      <w:tblGrid>
        <w:gridCol w:w="2955"/>
        <w:gridCol w:w="2597"/>
        <w:gridCol w:w="3673"/>
      </w:tblGrid>
      <w:tr>
        <w:trPr/>
        <w:tc>
          <w:tcPr>
            <w:tcW w:w="2955" w:type="dxa"/>
            <w:tcBorders/>
            <w:vAlign w:val="center"/>
          </w:tcPr>
          <w:p>
            <w:pPr>
              <w:pStyle w:val="TableContents"/>
              <w:bidi w:val="0"/>
              <w:spacing w:before="0" w:after="283"/>
              <w:jc w:val="left"/>
              <w:rPr>
                <w:sz w:val="4"/>
                <w:szCs w:val="4"/>
              </w:rPr>
            </w:pPr>
            <w:r>
              <w:rPr>
                <w:sz w:val="4"/>
                <w:szCs w:val="4"/>
              </w:rPr>
            </w:r>
          </w:p>
        </w:tc>
        <w:tc>
          <w:tcPr>
            <w:tcW w:w="2597" w:type="dxa"/>
            <w:tcBorders/>
            <w:vAlign w:val="center"/>
          </w:tcPr>
          <w:p>
            <w:pPr>
              <w:pStyle w:val="TableContents"/>
              <w:bidi w:val="0"/>
              <w:spacing w:before="0" w:after="283"/>
              <w:jc w:val="left"/>
              <w:rPr>
                <w:sz w:val="4"/>
                <w:szCs w:val="4"/>
              </w:rPr>
            </w:pPr>
            <w:r>
              <w:rPr>
                <w:sz w:val="4"/>
                <w:szCs w:val="4"/>
              </w:rPr>
            </w:r>
          </w:p>
        </w:tc>
        <w:tc>
          <w:tcPr>
            <w:tcW w:w="3673" w:type="dxa"/>
            <w:tcBorders/>
            <w:vAlign w:val="center"/>
          </w:tcPr>
          <w:p>
            <w:pPr>
              <w:pStyle w:val="TableContents"/>
              <w:bidi w:val="0"/>
              <w:spacing w:before="0" w:after="283"/>
              <w:jc w:val="left"/>
              <w:rPr>
                <w:sz w:val="4"/>
                <w:szCs w:val="4"/>
              </w:rPr>
            </w:pPr>
            <w:r>
              <w:rPr>
                <w:sz w:val="4"/>
                <w:szCs w:val="4"/>
              </w:rPr>
            </w:r>
          </w:p>
        </w:tc>
      </w:tr>
      <w:tr>
        <w:trPr/>
        <w:tc>
          <w:tcPr>
            <w:tcW w:w="922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erif" w:hAnsi="Times New Roman;serif"/>
                <w:b/>
                <w:color w:val="000000"/>
                <w:sz w:val="48"/>
              </w:rPr>
            </w:pPr>
            <w:r>
              <w:rPr>
                <w:rFonts w:ascii="Times New Roman;serif" w:hAnsi="Times New Roman;serif"/>
                <w:b/>
                <w:color w:val="000000"/>
                <w:sz w:val="48"/>
              </w:rPr>
              <w:t>JAMES RIVER GROUP HOLDINGS, INC.</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4271" w:type="dxa"/>
        <w:jc w:val="center"/>
        <w:tblInd w:w="0" w:type="dxa"/>
        <w:tblLayout w:type="fixed"/>
        <w:tblCellMar>
          <w:top w:w="28" w:type="dxa"/>
          <w:left w:w="28" w:type="dxa"/>
          <w:bottom w:w="28" w:type="dxa"/>
          <w:right w:w="28" w:type="dxa"/>
        </w:tblCellMar>
      </w:tblPr>
      <w:tblGrid>
        <w:gridCol w:w="872"/>
        <w:gridCol w:w="767"/>
        <w:gridCol w:w="775"/>
        <w:gridCol w:w="109"/>
        <w:gridCol w:w="109"/>
        <w:gridCol w:w="109"/>
        <w:gridCol w:w="447"/>
        <w:gridCol w:w="447"/>
        <w:gridCol w:w="636"/>
      </w:tblGrid>
      <w:tr>
        <w:trPr/>
        <w:tc>
          <w:tcPr>
            <w:tcW w:w="872"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98-0585280</w:t>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5"/>
              <w:jc w:val="center"/>
              <w:rPr>
                <w:rFonts w:ascii="Times New Roman;serif" w:hAnsi="Times New Roman;serif"/>
                <w:b/>
                <w:color w:val="000000"/>
                <w:sz w:val="16"/>
              </w:rPr>
            </w:pPr>
            <w:r>
              <w:rPr>
                <w:rFonts w:ascii="Times New Roman;serif" w:hAnsi="Times New Roman;serif"/>
                <w:b/>
                <w:color w:val="000000"/>
                <w:sz w:val="16"/>
              </w:rPr>
              <w:t>(State or other jurisdiction of</w:t>
            </w:r>
          </w:p>
          <w:p>
            <w:pPr>
              <w:pStyle w:val="TableContents"/>
              <w:bidi w:val="0"/>
              <w:spacing w:lineRule="auto" w:line="240" w:before="0" w:after="0"/>
              <w:ind w:left="0" w:right="0" w:firstLine="45"/>
              <w:jc w:val="center"/>
              <w:rPr>
                <w:rFonts w:ascii="Times New Roman;serif" w:hAnsi="Times New Roman;serif"/>
                <w:b/>
                <w:color w:val="000000"/>
                <w:sz w:val="16"/>
              </w:rPr>
            </w:pPr>
            <w:r>
              <w:rPr>
                <w:rFonts w:ascii="Times New Roman;serif" w:hAnsi="Times New Roman;serif"/>
                <w:b/>
                <w:color w:val="000000"/>
                <w:sz w:val="16"/>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30" w:type="dxa"/>
            <w:gridSpan w:val="3"/>
            <w:tcBorders/>
            <w:tcMar>
              <w:top w:w="0" w:type="dxa"/>
              <w:left w:w="0" w:type="dxa"/>
              <w:bottom w:w="0" w:type="dxa"/>
              <w:right w:w="0" w:type="dxa"/>
            </w:tcMar>
            <w:vAlign w:val="center"/>
          </w:tcPr>
          <w:p>
            <w:pPr>
              <w:pStyle w:val="TableContents"/>
              <w:bidi w:val="0"/>
              <w:spacing w:lineRule="auto" w:line="240" w:before="0" w:after="0"/>
              <w:ind w:left="0" w:right="0" w:firstLine="45"/>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40" w:before="0" w:after="0"/>
              <w:ind w:left="0" w:right="0" w:firstLine="45"/>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1414 Raleigh Road, Suite 405, Chapel Hill, North Carolina, 27517</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(Zip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(919) 900-1200</w:t>
      </w:r>
    </w:p>
    <w:p>
      <w:pPr>
        <w:pStyle w:val="TextBody"/>
        <w:bidi w:val="0"/>
        <w:spacing w:lineRule="auto" w:line="288" w:before="0" w:after="120"/>
        <w:jc w:val="center"/>
        <w:rPr/>
      </w:pPr>
      <w:r>
        <w:rPr>
          <w:rFonts w:ascii="Times New Roman;serif" w:hAnsi="Times New Roman;serif"/>
          <w:b/>
          <w:color w:val="000000"/>
          <w:sz w:val="20"/>
        </w:rPr>
        <w:t>(Registrant</w:t>
      </w:r>
      <w:r>
        <w:rPr>
          <w:rFonts w:ascii="Times New Roman;serif" w:hAnsi="Times New Roman;serif"/>
          <w:b w:val="false"/>
          <w:color w:val="000000"/>
          <w:sz w:val="20"/>
        </w:rPr>
        <w:t>'</w:t>
      </w:r>
      <w:r>
        <w:rPr>
          <w:rFonts w:ascii="Times New Roman;serif" w:hAnsi="Times New Roman;serif"/>
          <w:b/>
          <w:color w:val="000000"/>
          <w:sz w:val="20"/>
        </w:rPr>
        <w:t>s telephone number, including area code)</w:t>
      </w:r>
    </w:p>
    <w:p>
      <w:pPr>
        <w:pStyle w:val="TextBody"/>
        <w:bidi w:val="0"/>
        <w:spacing w:lineRule="auto" w:line="288" w:before="120" w:after="283"/>
        <w:jc w:val="center"/>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016" w:type="dxa"/>
        <w:jc w:val="center"/>
        <w:tblInd w:w="0" w:type="dxa"/>
        <w:tblLayout w:type="fixed"/>
        <w:tblCellMar>
          <w:top w:w="28" w:type="dxa"/>
          <w:left w:w="28" w:type="dxa"/>
          <w:bottom w:w="28" w:type="dxa"/>
          <w:right w:w="28" w:type="dxa"/>
        </w:tblCellMar>
      </w:tblPr>
      <w:tblGrid>
        <w:gridCol w:w="1342"/>
        <w:gridCol w:w="1174"/>
        <w:gridCol w:w="1189"/>
        <w:gridCol w:w="539"/>
        <w:gridCol w:w="539"/>
        <w:gridCol w:w="541"/>
        <w:gridCol w:w="304"/>
        <w:gridCol w:w="304"/>
        <w:gridCol w:w="304"/>
        <w:gridCol w:w="304"/>
        <w:gridCol w:w="304"/>
        <w:gridCol w:w="304"/>
        <w:gridCol w:w="610"/>
        <w:gridCol w:w="610"/>
        <w:gridCol w:w="610"/>
        <w:gridCol w:w="304"/>
        <w:gridCol w:w="304"/>
        <w:gridCol w:w="430"/>
      </w:tblGrid>
      <w:tr>
        <w:trPr/>
        <w:tc>
          <w:tcPr>
            <w:tcW w:w="1342" w:type="dxa"/>
            <w:tcBorders/>
            <w:vAlign w:val="center"/>
          </w:tcPr>
          <w:p>
            <w:pPr>
              <w:pStyle w:val="TableContents"/>
              <w:bidi w:val="0"/>
              <w:spacing w:before="0" w:after="283"/>
              <w:jc w:val="left"/>
              <w:rPr>
                <w:sz w:val="4"/>
                <w:szCs w:val="4"/>
              </w:rPr>
            </w:pPr>
            <w:r>
              <w:rPr>
                <w:sz w:val="4"/>
                <w:szCs w:val="4"/>
              </w:rPr>
            </w:r>
          </w:p>
        </w:tc>
        <w:tc>
          <w:tcPr>
            <w:tcW w:w="1174"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Title of each class</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Trading Symbol(s)</w:t>
            </w:r>
          </w:p>
        </w:tc>
        <w:tc>
          <w:tcPr>
            <w:tcW w:w="469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u w:val="single"/>
              </w:rPr>
            </w:pPr>
            <w:r>
              <w:rPr>
                <w:rFonts w:ascii="Times New Roman;serif" w:hAnsi="Times New Roman;serif"/>
                <w:b w:val="false"/>
                <w:color w:val="000000"/>
                <w:sz w:val="20"/>
                <w:u w:val="single"/>
              </w:rPr>
              <w:t>Names of each exchange on which registered</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$0.0002 per share</w:t>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JRVR</w:t>
            </w:r>
          </w:p>
        </w:tc>
        <w:tc>
          <w:tcPr>
            <w:tcW w:w="9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NASDAQ</w:t>
            </w:r>
          </w:p>
        </w:tc>
        <w:tc>
          <w:tcPr>
            <w:tcW w:w="18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Global Select Market</w:t>
            </w:r>
          </w:p>
        </w:tc>
        <w:tc>
          <w:tcPr>
            <w:tcW w:w="10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both"/>
        <w:rPr/>
      </w:pPr>
      <w:r>
        <w:rPr>
          <w:rFonts w:ascii="Times New Roman;serif" w:hAnsi="Times New Roman;serif"/>
          <w:b w:val="false"/>
          <w:color w:val="000000"/>
          <w:sz w:val="20"/>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0" w:after="120"/>
        <w:jc w:val="both"/>
        <w:rPr/>
      </w:pPr>
      <w:r>
        <w:rPr>
          <w:rFonts w:ascii="Times New Roman;serif" w:hAnsi="Times New Roman;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val="false"/>
          <w:color w:val="000000"/>
          <w:sz w:val="20"/>
        </w:rPr>
        <w:t>x</w:t>
      </w:r>
      <w:r>
        <w:rPr>
          <w:color w:val="000000"/>
        </w:rPr>
        <w:t xml:space="preserve">    </w:t>
      </w:r>
      <w:r>
        <w:rPr>
          <w:rFonts w:ascii="Times New Roman;serif" w:hAnsi="Times New Roman;serif"/>
          <w:b w:val="false"/>
          <w:color w:val="000000"/>
          <w:sz w:val="20"/>
        </w:rPr>
        <w:t xml:space="preserve">No   </w:t>
      </w:r>
      <w:r>
        <w:rPr>
          <w:color w:val="000000"/>
        </w:rPr>
        <w: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10205" w:type="dxa"/>
        <w:jc w:val="left"/>
        <w:tblInd w:w="0" w:type="dxa"/>
        <w:tblLayout w:type="fixed"/>
        <w:tblCellMar>
          <w:top w:w="28" w:type="dxa"/>
          <w:left w:w="28" w:type="dxa"/>
          <w:bottom w:w="28" w:type="dxa"/>
          <w:right w:w="28" w:type="dxa"/>
        </w:tblCellMar>
      </w:tblPr>
      <w:tblGrid>
        <w:gridCol w:w="592"/>
        <w:gridCol w:w="520"/>
        <w:gridCol w:w="522"/>
        <w:gridCol w:w="109"/>
        <w:gridCol w:w="109"/>
        <w:gridCol w:w="109"/>
        <w:gridCol w:w="415"/>
        <w:gridCol w:w="415"/>
        <w:gridCol w:w="416"/>
        <w:gridCol w:w="109"/>
        <w:gridCol w:w="109"/>
        <w:gridCol w:w="109"/>
        <w:gridCol w:w="540"/>
        <w:gridCol w:w="540"/>
        <w:gridCol w:w="541"/>
        <w:gridCol w:w="109"/>
        <w:gridCol w:w="109"/>
        <w:gridCol w:w="109"/>
        <w:gridCol w:w="675"/>
        <w:gridCol w:w="675"/>
        <w:gridCol w:w="676"/>
        <w:gridCol w:w="109"/>
        <w:gridCol w:w="109"/>
        <w:gridCol w:w="109"/>
        <w:gridCol w:w="663"/>
        <w:gridCol w:w="663"/>
        <w:gridCol w:w="666"/>
        <w:gridCol w:w="109"/>
        <w:gridCol w:w="109"/>
        <w:gridCol w:w="160"/>
      </w:tblGrid>
      <w:tr>
        <w:trPr/>
        <w:tc>
          <w:tcPr>
            <w:tcW w:w="592"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5"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2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Wingdings;sans-serif" w:hAnsi="Wingdings;sans-serif"/>
                <w:b w:val="false"/>
                <w:color w:val="000000"/>
                <w:sz w:val="18"/>
              </w:rPr>
            </w:pPr>
            <w:r>
              <w:rPr>
                <w:rFonts w:ascii="Wingdings;sans-serif" w:hAnsi="Wingdings;sans-serif"/>
                <w:b w:val="false"/>
                <w:color w:val="000000"/>
                <w:sz w:val="18"/>
              </w:rPr>
              <w:t>x</w:t>
            </w:r>
          </w:p>
        </w:tc>
        <w:tc>
          <w:tcPr>
            <w:tcW w:w="16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19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78"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bl>
    <w:p>
      <w:pPr>
        <w:pStyle w:val="TextBody"/>
        <w:bidi w:val="0"/>
        <w:spacing w:lineRule="auto" w:line="288" w:before="120" w:after="120"/>
        <w:jc w:val="both"/>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shell company (as defined in Rule 12b-2 of the Exchange Act).</w:t>
      </w:r>
    </w:p>
    <w:p>
      <w:pPr>
        <w:pStyle w:val="TextBody"/>
        <w:bidi w:val="0"/>
        <w:spacing w:lineRule="auto" w:line="288" w:before="0" w:after="120"/>
        <w:jc w:val="both"/>
        <w:rPr/>
      </w:pPr>
      <w:r>
        <w:rPr>
          <w:rFonts w:ascii="Times New Roman;serif" w:hAnsi="Times New Roman;serif"/>
          <w:b w:val="false"/>
          <w:color w:val="000000"/>
          <w:sz w:val="20"/>
        </w:rPr>
        <w:t xml:space="preserve">Yes   </w:t>
      </w:r>
      <w:r>
        <w:rPr>
          <w:color w:val="000000"/>
        </w:rPr>
        <w:t>☐     </w:t>
      </w:r>
      <w:r>
        <w:rPr>
          <w:rFonts w:ascii="Times New Roman;serif" w:hAnsi="Times New Roman;serif"/>
          <w:b w:val="false"/>
          <w:color w:val="000000"/>
          <w:sz w:val="20"/>
        </w:rPr>
        <w:t xml:space="preserve">No   </w:t>
      </w:r>
      <w:r>
        <w:rPr>
          <w:rFonts w:ascii="Wingdings;sans-serif" w:hAnsi="Wingdings;sans-serif"/>
          <w:b w:val="false"/>
          <w:color w:val="000000"/>
          <w:sz w:val="20"/>
        </w:rPr>
        <w:t>x</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Number of shares of the registrant's common shares outstanding at May 4, 2026: 46,236,856</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James River Group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w:t>
      </w:r>
    </w:p>
    <w:tbl>
      <w:tblPr>
        <w:tblW w:w="10205" w:type="dxa"/>
        <w:jc w:val="left"/>
        <w:tblInd w:w="0" w:type="dxa"/>
        <w:tblLayout w:type="fixed"/>
        <w:tblCellMar>
          <w:top w:w="28" w:type="dxa"/>
          <w:left w:w="28" w:type="dxa"/>
          <w:bottom w:w="28" w:type="dxa"/>
          <w:right w:w="28" w:type="dxa"/>
        </w:tblCellMar>
      </w:tblPr>
      <w:tblGrid>
        <w:gridCol w:w="509"/>
        <w:gridCol w:w="428"/>
        <w:gridCol w:w="428"/>
        <w:gridCol w:w="2791"/>
        <w:gridCol w:w="2665"/>
        <w:gridCol w:w="2645"/>
        <w:gridCol w:w="215"/>
        <w:gridCol w:w="215"/>
        <w:gridCol w:w="309"/>
      </w:tblGrid>
      <w:tr>
        <w:trPr/>
        <w:tc>
          <w:tcPr>
            <w:tcW w:w="509"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791" w:type="dxa"/>
            <w:tcBorders/>
            <w:vAlign w:val="center"/>
          </w:tcPr>
          <w:p>
            <w:pPr>
              <w:pStyle w:val="TableContents"/>
              <w:bidi w:val="0"/>
              <w:spacing w:before="0" w:after="283"/>
              <w:jc w:val="left"/>
              <w:rPr>
                <w:sz w:val="4"/>
                <w:szCs w:val="4"/>
              </w:rPr>
            </w:pPr>
            <w:r>
              <w:rPr>
                <w:sz w:val="4"/>
                <w:szCs w:val="4"/>
              </w:rPr>
            </w:r>
          </w:p>
        </w:tc>
        <w:tc>
          <w:tcPr>
            <w:tcW w:w="2665" w:type="dxa"/>
            <w:tcBorders/>
            <w:vAlign w:val="center"/>
          </w:tcPr>
          <w:p>
            <w:pPr>
              <w:pStyle w:val="TableContents"/>
              <w:bidi w:val="0"/>
              <w:spacing w:before="0" w:after="283"/>
              <w:jc w:val="left"/>
              <w:rPr>
                <w:sz w:val="4"/>
                <w:szCs w:val="4"/>
              </w:rPr>
            </w:pPr>
            <w:r>
              <w:rPr>
                <w:sz w:val="4"/>
                <w:szCs w:val="4"/>
              </w:rPr>
            </w:r>
          </w:p>
        </w:tc>
        <w:tc>
          <w:tcPr>
            <w:tcW w:w="264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r>
      <w:tr>
        <w:trPr/>
        <w:tc>
          <w:tcPr>
            <w:tcW w:w="9466"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Page</w:t>
              <w:br/>
              <w:t>Number</w:t>
            </w:r>
          </w:p>
        </w:tc>
      </w:tr>
      <w:tr>
        <w:trPr/>
        <w:tc>
          <w:tcPr>
            <w:tcW w:w="9466"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79e96abde144df8bdcdd49602e9d335_10">
              <w:r>
                <w:rPr>
                  <w:rStyle w:val="InternetLink"/>
                  <w:rFonts w:ascii="Times New Roman;serif" w:hAnsi="Times New Roman;serif"/>
                  <w:b w:val="false"/>
                  <w:color w:val="0000FF"/>
                  <w:sz w:val="20"/>
                  <w:u w:val="single"/>
                </w:rPr>
                <w:t>PART I. FINANCIAL INFORMATION</w:t>
              </w:r>
            </w:hyperlink>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79e96abde144df8bdcdd49602e9d335_13">
              <w:r>
                <w:rPr>
                  <w:rStyle w:val="InternetLink"/>
                  <w:rFonts w:ascii="Times New Roman;serif" w:hAnsi="Times New Roman;serif"/>
                  <w:b w:val="false"/>
                  <w:color w:val="0000FF"/>
                  <w:sz w:val="20"/>
                  <w:u w:val="single"/>
                </w:rPr>
                <w:t>Item 1.</w:t>
              </w:r>
            </w:hyperlink>
          </w:p>
        </w:tc>
        <w:tc>
          <w:tcPr>
            <w:tcW w:w="81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79e96abde144df8bdcdd49602e9d335_13">
              <w:r>
                <w:rPr>
                  <w:rStyle w:val="InternetLink"/>
                  <w:rFonts w:ascii="Times New Roman;serif" w:hAnsi="Times New Roman;serif"/>
                  <w:b w:val="false"/>
                  <w:color w:val="0000FF"/>
                  <w:sz w:val="20"/>
                  <w:u w:val="single"/>
                </w:rPr>
                <w:t>Financial Statements</w:t>
              </w:r>
            </w:hyperlink>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79e96abde144df8bdcdd49602e9d335_16">
              <w:r>
                <w:rPr>
                  <w:rStyle w:val="InternetLink"/>
                  <w:rFonts w:ascii="Times New Roman;serif" w:hAnsi="Times New Roman;serif"/>
                  <w:b w:val="false"/>
                  <w:color w:val="000080"/>
                  <w:sz w:val="20"/>
                  <w:u w:val="single"/>
                </w:rPr>
                <w:t>Condensed Consolidated Balance Sheets</w:t>
              </w:r>
            </w:hyperlink>
            <w:hyperlink w:anchor="i979e96abde144df8bdcdd49602e9d335_19">
              <w:r>
                <w:rPr>
                  <w:rStyle w:val="InternetLink"/>
                  <w:rFonts w:ascii="Times New Roman;serif" w:hAnsi="Times New Roman;serif"/>
                  <w:b w:val="false"/>
                  <w:color w:val="000080"/>
                  <w:sz w:val="20"/>
                  <w:u w:val="single"/>
                </w:rPr>
                <w:t>—</w:t>
              </w:r>
            </w:hyperlink>
            <w:hyperlink w:anchor="i979e96abde144df8bdcdd49602e9d335_16">
              <w:r>
                <w:rPr>
                  <w:rStyle w:val="InternetLink"/>
                  <w:rFonts w:ascii="Times New Roman;serif" w:hAnsi="Times New Roman;serif"/>
                  <w:b w:val="false"/>
                  <w:color w:val="000080"/>
                  <w:sz w:val="20"/>
                  <w:u w:val="single"/>
                </w:rPr>
                <w:t>March 31, 2026 and December 31, 2025</w:t>
              </w:r>
            </w:hyperlink>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79e96abde144df8bdcdd49602e9d335_16">
              <w:r>
                <w:rPr>
                  <w:rStyle w:val="InternetLink"/>
                  <w:rFonts w:ascii="Times New Roman;serif" w:hAnsi="Times New Roman;serif"/>
                  <w:b w:val="false"/>
                  <w:color w:val="0000FF"/>
                  <w:sz w:val="20"/>
                  <w:u w:val="single"/>
                </w:rPr>
                <w:t>5</w:t>
              </w:r>
            </w:hyperlink>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79e96abde144df8bdcdd49602e9d335_19">
              <w:r>
                <w:rPr>
                  <w:rStyle w:val="InternetLink"/>
                  <w:rFonts w:ascii="Times New Roman;serif" w:hAnsi="Times New Roman;serif"/>
                  <w:b w:val="false"/>
                  <w:color w:val="0000FF"/>
                  <w:sz w:val="20"/>
                  <w:u w:val="single"/>
                </w:rPr>
                <w:t>Condensed Consolidated Statements of (Loss) Income and Comprehensive (Loss) Income—Three Months Ended March 31, 2026 and 2025</w:t>
              </w:r>
            </w:hyperlink>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79e96abde144df8bdcdd49602e9d335_19">
              <w:r>
                <w:rPr>
                  <w:rStyle w:val="InternetLink"/>
                  <w:rFonts w:ascii="Times New Roman;serif" w:hAnsi="Times New Roman;serif"/>
                  <w:b w:val="false"/>
                  <w:color w:val="0000FF"/>
                  <w:sz w:val="20"/>
                  <w:u w:val="single"/>
                </w:rPr>
                <w:t>7</w:t>
              </w:r>
            </w:hyperlink>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79e96abde144df8bdcdd49602e9d335_22">
              <w:r>
                <w:rPr>
                  <w:rStyle w:val="InternetLink"/>
                  <w:rFonts w:ascii="Times New Roman;serif" w:hAnsi="Times New Roman;serif"/>
                  <w:b w:val="false"/>
                  <w:color w:val="0000FF"/>
                  <w:sz w:val="20"/>
                  <w:u w:val="single"/>
                </w:rPr>
                <w:t>Condensed Consolidated Statements of Changes in Shareholders’ Equity—Three Months Ended March 31, 2026 and 2025</w:t>
              </w:r>
            </w:hyperlink>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79e96abde144df8bdcdd49602e9d335_22">
              <w:r>
                <w:rPr>
                  <w:rStyle w:val="InternetLink"/>
                  <w:rFonts w:ascii="Times New Roman;serif" w:hAnsi="Times New Roman;serif"/>
                  <w:b w:val="false"/>
                  <w:color w:val="0000FF"/>
                  <w:sz w:val="20"/>
                  <w:u w:val="single"/>
                </w:rPr>
                <w:t>8</w:t>
              </w:r>
            </w:hyperlink>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79e96abde144df8bdcdd49602e9d335_25">
              <w:r>
                <w:rPr>
                  <w:rStyle w:val="InternetLink"/>
                  <w:rFonts w:ascii="Times New Roman;serif" w:hAnsi="Times New Roman;serif"/>
                  <w:b w:val="false"/>
                  <w:color w:val="0000FF"/>
                  <w:sz w:val="20"/>
                  <w:u w:val="single"/>
                </w:rPr>
                <w:t>Condensed Consolidated Statements of Cash Flows—Three Months Ended March 31, 2026 and 2025</w:t>
              </w:r>
            </w:hyperlink>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79e96abde144df8bdcdd49602e9d335_25">
              <w:r>
                <w:rPr>
                  <w:rStyle w:val="InternetLink"/>
                  <w:rFonts w:ascii="Times New Roman;serif" w:hAnsi="Times New Roman;serif"/>
                  <w:b w:val="false"/>
                  <w:color w:val="0000FF"/>
                  <w:sz w:val="20"/>
                  <w:u w:val="single"/>
                </w:rPr>
                <w:t>9</w:t>
              </w:r>
            </w:hyperlink>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79e96abde144df8bdcdd49602e9d335_28">
              <w:r>
                <w:rPr>
                  <w:rStyle w:val="InternetLink"/>
                  <w:rFonts w:ascii="Times New Roman;serif" w:hAnsi="Times New Roman;serif"/>
                  <w:b w:val="false"/>
                  <w:color w:val="0000FF"/>
                  <w:sz w:val="20"/>
                  <w:u w:val="single"/>
                </w:rPr>
                <w:t>Notes to Condensed Consolidated Financial Statements</w:t>
              </w:r>
            </w:hyperlink>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79e96abde144df8bdcdd49602e9d335_28">
              <w:r>
                <w:rPr>
                  <w:rStyle w:val="InternetLink"/>
                  <w:rFonts w:ascii="Times New Roman;serif" w:hAnsi="Times New Roman;serif"/>
                  <w:b w:val="false"/>
                  <w:color w:val="0000FF"/>
                  <w:sz w:val="20"/>
                  <w:u w:val="single"/>
                </w:rPr>
                <w:t>10</w:t>
              </w:r>
            </w:hyperlink>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79e96abde144df8bdcdd49602e9d335_76">
              <w:r>
                <w:rPr>
                  <w:rStyle w:val="InternetLink"/>
                  <w:rFonts w:ascii="Times New Roman;serif" w:hAnsi="Times New Roman;serif"/>
                  <w:b w:val="false"/>
                  <w:color w:val="0000FF"/>
                  <w:sz w:val="20"/>
                  <w:u w:val="single"/>
                </w:rPr>
                <w:t>Item 2.</w:t>
              </w:r>
            </w:hyperlink>
          </w:p>
        </w:tc>
        <w:tc>
          <w:tcPr>
            <w:tcW w:w="81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79e96abde144df8bdcdd49602e9d335_76">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79e96abde144df8bdcdd49602e9d335_76">
              <w:r>
                <w:rPr>
                  <w:rStyle w:val="InternetLink"/>
                  <w:rFonts w:ascii="Times New Roman;serif" w:hAnsi="Times New Roman;serif"/>
                  <w:b w:val="false"/>
                  <w:color w:val="0000FF"/>
                  <w:sz w:val="20"/>
                  <w:u w:val="single"/>
                </w:rPr>
                <w:t>34</w:t>
              </w:r>
            </w:hyperlink>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79e96abde144df8bdcdd49602e9d335_79">
              <w:r>
                <w:rPr>
                  <w:rStyle w:val="InternetLink"/>
                  <w:rFonts w:ascii="Times New Roman;serif" w:hAnsi="Times New Roman;serif"/>
                  <w:b w:val="false"/>
                  <w:color w:val="0000FF"/>
                  <w:sz w:val="20"/>
                  <w:u w:val="single"/>
                </w:rPr>
                <w:t>Critical Accounting Policies and Estimates</w:t>
              </w:r>
            </w:hyperlink>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79e96abde144df8bdcdd49602e9d335_79">
              <w:r>
                <w:rPr>
                  <w:rStyle w:val="InternetLink"/>
                  <w:rFonts w:ascii="Times New Roman;serif" w:hAnsi="Times New Roman;serif"/>
                  <w:b w:val="false"/>
                  <w:color w:val="0000FF"/>
                  <w:sz w:val="20"/>
                  <w:u w:val="single"/>
                </w:rPr>
                <w:t>36</w:t>
              </w:r>
            </w:hyperlink>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79e96abde144df8bdcdd49602e9d335_94">
              <w:r>
                <w:rPr>
                  <w:rStyle w:val="InternetLink"/>
                  <w:rFonts w:ascii="Times New Roman;serif" w:hAnsi="Times New Roman;serif"/>
                  <w:b w:val="false"/>
                  <w:color w:val="0000FF"/>
                  <w:sz w:val="20"/>
                  <w:u w:val="single"/>
                </w:rPr>
                <w:t>Item 3.</w:t>
              </w:r>
            </w:hyperlink>
          </w:p>
        </w:tc>
        <w:tc>
          <w:tcPr>
            <w:tcW w:w="81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79e96abde144df8bdcdd49602e9d335_94">
              <w:r>
                <w:rPr>
                  <w:rStyle w:val="InternetLink"/>
                  <w:rFonts w:ascii="Times New Roman;serif" w:hAnsi="Times New Roman;serif"/>
                  <w:b w:val="false"/>
                  <w:color w:val="0000FF"/>
                  <w:sz w:val="20"/>
                  <w:u w:val="single"/>
                </w:rPr>
                <w:t>Quantitative and Qualitative Disclosures About Market Risk</w:t>
              </w:r>
            </w:hyperlink>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79e96abde144df8bdcdd49602e9d335_94">
              <w:r>
                <w:rPr>
                  <w:rStyle w:val="InternetLink"/>
                  <w:rFonts w:ascii="Times New Roman;serif" w:hAnsi="Times New Roman;serif"/>
                  <w:b w:val="false"/>
                  <w:color w:val="0000FF"/>
                  <w:sz w:val="20"/>
                  <w:u w:val="single"/>
                </w:rPr>
                <w:t>57</w:t>
              </w:r>
            </w:hyperlink>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79e96abde144df8bdcdd49602e9d335_97">
              <w:r>
                <w:rPr>
                  <w:rStyle w:val="InternetLink"/>
                  <w:rFonts w:ascii="Times New Roman;serif" w:hAnsi="Times New Roman;serif"/>
                  <w:b w:val="false"/>
                  <w:color w:val="0000FF"/>
                  <w:sz w:val="20"/>
                  <w:u w:val="single"/>
                </w:rPr>
                <w:t>Item 4.</w:t>
              </w:r>
            </w:hyperlink>
          </w:p>
        </w:tc>
        <w:tc>
          <w:tcPr>
            <w:tcW w:w="81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79e96abde144df8bdcdd49602e9d335_97">
              <w:r>
                <w:rPr>
                  <w:rStyle w:val="InternetLink"/>
                  <w:rFonts w:ascii="Times New Roman;serif" w:hAnsi="Times New Roman;serif"/>
                  <w:b w:val="false"/>
                  <w:color w:val="0000FF"/>
                  <w:sz w:val="20"/>
                  <w:u w:val="single"/>
                </w:rPr>
                <w:t>Controls and Procedures</w:t>
              </w:r>
            </w:hyperlink>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79e96abde144df8bdcdd49602e9d335_97">
              <w:r>
                <w:rPr>
                  <w:rStyle w:val="InternetLink"/>
                  <w:rFonts w:ascii="Times New Roman;serif" w:hAnsi="Times New Roman;serif"/>
                  <w:b w:val="false"/>
                  <w:color w:val="0000FF"/>
                  <w:sz w:val="20"/>
                  <w:u w:val="single"/>
                </w:rPr>
                <w:t>57</w:t>
              </w:r>
            </w:hyperlink>
          </w:p>
        </w:tc>
      </w:tr>
      <w:tr>
        <w:trPr/>
        <w:tc>
          <w:tcPr>
            <w:tcW w:w="9466"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466"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79e96abde144df8bdcdd49602e9d335_100">
              <w:r>
                <w:rPr>
                  <w:rStyle w:val="InternetLink"/>
                  <w:rFonts w:ascii="Times New Roman;serif" w:hAnsi="Times New Roman;serif"/>
                  <w:b w:val="false"/>
                  <w:color w:val="0000FF"/>
                  <w:sz w:val="20"/>
                  <w:u w:val="single"/>
                </w:rPr>
                <w:t>PART II. OTHER INFORMATION</w:t>
              </w:r>
            </w:hyperlink>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10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79e96abde144df8bdcdd49602e9d335_103">
              <w:r>
                <w:rPr>
                  <w:rStyle w:val="InternetLink"/>
                  <w:rFonts w:ascii="Times New Roman;serif" w:hAnsi="Times New Roman;serif"/>
                  <w:b w:val="false"/>
                  <w:color w:val="0000FF"/>
                  <w:sz w:val="20"/>
                  <w:u w:val="single"/>
                </w:rPr>
                <w:t>Item 1.</w:t>
              </w:r>
            </w:hyperlink>
          </w:p>
        </w:tc>
        <w:tc>
          <w:tcPr>
            <w:tcW w:w="81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79e96abde144df8bdcdd49602e9d335_103">
              <w:r>
                <w:rPr>
                  <w:rStyle w:val="InternetLink"/>
                  <w:rFonts w:ascii="Times New Roman;serif" w:hAnsi="Times New Roman;serif"/>
                  <w:b w:val="false"/>
                  <w:color w:val="0000FF"/>
                  <w:sz w:val="20"/>
                  <w:u w:val="single"/>
                </w:rPr>
                <w:t>Legal Proceedings</w:t>
              </w:r>
            </w:hyperlink>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79e96abde144df8bdcdd49602e9d335_103">
              <w:r>
                <w:rPr>
                  <w:rStyle w:val="InternetLink"/>
                  <w:rFonts w:ascii="Times New Roman;serif" w:hAnsi="Times New Roman;serif"/>
                  <w:b w:val="false"/>
                  <w:color w:val="0000FF"/>
                  <w:sz w:val="20"/>
                  <w:u w:val="single"/>
                </w:rPr>
                <w:t>57</w:t>
              </w:r>
            </w:hyperlink>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9e96abde144df8bdcdd49602e9d335_106">
              <w:r>
                <w:rPr>
                  <w:rStyle w:val="InternetLink"/>
                  <w:rFonts w:ascii="Times New Roman;serif" w:hAnsi="Times New Roman;serif"/>
                  <w:b w:val="false"/>
                  <w:color w:val="0000FF"/>
                  <w:sz w:val="20"/>
                  <w:u w:val="single"/>
                </w:rPr>
                <w:t>Item 1A.</w:t>
              </w:r>
            </w:hyperlink>
          </w:p>
        </w:tc>
        <w:tc>
          <w:tcPr>
            <w:tcW w:w="81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9e96abde144df8bdcdd49602e9d335_106">
              <w:r>
                <w:rPr>
                  <w:rStyle w:val="InternetLink"/>
                  <w:rFonts w:ascii="Times New Roman;serif" w:hAnsi="Times New Roman;serif"/>
                  <w:b w:val="false"/>
                  <w:color w:val="0000FF"/>
                  <w:sz w:val="20"/>
                  <w:u w:val="single"/>
                </w:rPr>
                <w:t>Risk Factors</w:t>
              </w:r>
            </w:hyperlink>
          </w:p>
        </w:tc>
        <w:tc>
          <w:tcPr>
            <w:tcW w:w="73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79e96abde144df8bdcdd49602e9d335_106">
              <w:r>
                <w:rPr>
                  <w:rStyle w:val="InternetLink"/>
                  <w:rFonts w:ascii="Times New Roman;serif" w:hAnsi="Times New Roman;serif"/>
                  <w:b w:val="false"/>
                  <w:color w:val="0000FF"/>
                  <w:sz w:val="20"/>
                  <w:u w:val="single"/>
                </w:rPr>
                <w:t>57</w:t>
              </w:r>
            </w:hyperlink>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79e96abde144df8bdcdd49602e9d335_109">
              <w:r>
                <w:rPr>
                  <w:rStyle w:val="InternetLink"/>
                  <w:rFonts w:ascii="Times New Roman;serif" w:hAnsi="Times New Roman;serif"/>
                  <w:b w:val="false"/>
                  <w:color w:val="0000FF"/>
                  <w:sz w:val="20"/>
                  <w:u w:val="single"/>
                </w:rPr>
                <w:t>Item 2.</w:t>
              </w:r>
            </w:hyperlink>
          </w:p>
        </w:tc>
        <w:tc>
          <w:tcPr>
            <w:tcW w:w="81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79e96abde144df8bdcdd49602e9d335_109">
              <w:r>
                <w:rPr>
                  <w:rStyle w:val="InternetLink"/>
                  <w:rFonts w:ascii="Times New Roman;serif" w:hAnsi="Times New Roman;serif"/>
                  <w:b w:val="false"/>
                  <w:color w:val="0000FF"/>
                  <w:sz w:val="20"/>
                  <w:u w:val="single"/>
                </w:rPr>
                <w:t>Unregistered Sales of Equity Securities and Use of Proceeds</w:t>
              </w:r>
            </w:hyperlink>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79e96abde144df8bdcdd49602e9d335_109">
              <w:r>
                <w:rPr>
                  <w:rStyle w:val="InternetLink"/>
                  <w:rFonts w:ascii="Times New Roman;serif" w:hAnsi="Times New Roman;serif"/>
                  <w:b w:val="false"/>
                  <w:color w:val="0000FF"/>
                  <w:sz w:val="20"/>
                  <w:u w:val="single"/>
                </w:rPr>
                <w:t>58</w:t>
              </w:r>
            </w:hyperlink>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9e96abde144df8bdcdd49602e9d335_112">
              <w:r>
                <w:rPr>
                  <w:rStyle w:val="InternetLink"/>
                  <w:rFonts w:ascii="Times New Roman;serif" w:hAnsi="Times New Roman;serif"/>
                  <w:b w:val="false"/>
                  <w:color w:val="0000FF"/>
                  <w:sz w:val="20"/>
                  <w:u w:val="single"/>
                </w:rPr>
                <w:t>Item 3.</w:t>
              </w:r>
            </w:hyperlink>
          </w:p>
        </w:tc>
        <w:tc>
          <w:tcPr>
            <w:tcW w:w="81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9e96abde144df8bdcdd49602e9d335_112">
              <w:r>
                <w:rPr>
                  <w:rStyle w:val="InternetLink"/>
                  <w:rFonts w:ascii="Times New Roman;serif" w:hAnsi="Times New Roman;serif"/>
                  <w:b w:val="false"/>
                  <w:color w:val="0000FF"/>
                  <w:sz w:val="20"/>
                  <w:u w:val="single"/>
                </w:rPr>
                <w:t>Defaults Upon Senior Securities</w:t>
              </w:r>
            </w:hyperlink>
          </w:p>
        </w:tc>
        <w:tc>
          <w:tcPr>
            <w:tcW w:w="73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79e96abde144df8bdcdd49602e9d335_112">
              <w:r>
                <w:rPr>
                  <w:rStyle w:val="InternetLink"/>
                  <w:rFonts w:ascii="Times New Roman;serif" w:hAnsi="Times New Roman;serif"/>
                  <w:b w:val="false"/>
                  <w:color w:val="0000FF"/>
                  <w:sz w:val="20"/>
                  <w:u w:val="single"/>
                </w:rPr>
                <w:t>58</w:t>
              </w:r>
            </w:hyperlink>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79e96abde144df8bdcdd49602e9d335_115">
              <w:r>
                <w:rPr>
                  <w:rStyle w:val="InternetLink"/>
                  <w:rFonts w:ascii="Times New Roman;serif" w:hAnsi="Times New Roman;serif"/>
                  <w:b w:val="false"/>
                  <w:color w:val="0000FF"/>
                  <w:sz w:val="20"/>
                  <w:u w:val="single"/>
                </w:rPr>
                <w:t>Item 4.</w:t>
              </w:r>
            </w:hyperlink>
          </w:p>
        </w:tc>
        <w:tc>
          <w:tcPr>
            <w:tcW w:w="81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79e96abde144df8bdcdd49602e9d335_115">
              <w:r>
                <w:rPr>
                  <w:rStyle w:val="InternetLink"/>
                  <w:rFonts w:ascii="Times New Roman;serif" w:hAnsi="Times New Roman;serif"/>
                  <w:b w:val="false"/>
                  <w:color w:val="0000FF"/>
                  <w:sz w:val="20"/>
                  <w:u w:val="single"/>
                </w:rPr>
                <w:t>Mine Safety Disclosures</w:t>
              </w:r>
            </w:hyperlink>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79e96abde144df8bdcdd49602e9d335_115">
              <w:r>
                <w:rPr>
                  <w:rStyle w:val="InternetLink"/>
                  <w:rFonts w:ascii="Times New Roman;serif" w:hAnsi="Times New Roman;serif"/>
                  <w:b w:val="false"/>
                  <w:color w:val="0000FF"/>
                  <w:sz w:val="20"/>
                  <w:u w:val="single"/>
                </w:rPr>
                <w:t>58</w:t>
              </w:r>
            </w:hyperlink>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9e96abde144df8bdcdd49602e9d335_118">
              <w:r>
                <w:rPr>
                  <w:rStyle w:val="InternetLink"/>
                  <w:rFonts w:ascii="Times New Roman;serif" w:hAnsi="Times New Roman;serif"/>
                  <w:b w:val="false"/>
                  <w:color w:val="0000FF"/>
                  <w:sz w:val="20"/>
                  <w:u w:val="single"/>
                </w:rPr>
                <w:t>Item 5.</w:t>
              </w:r>
            </w:hyperlink>
          </w:p>
        </w:tc>
        <w:tc>
          <w:tcPr>
            <w:tcW w:w="81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79e96abde144df8bdcdd49602e9d335_118">
              <w:r>
                <w:rPr>
                  <w:rStyle w:val="InternetLink"/>
                  <w:rFonts w:ascii="Times New Roman;serif" w:hAnsi="Times New Roman;serif"/>
                  <w:b w:val="false"/>
                  <w:color w:val="0000FF"/>
                  <w:sz w:val="20"/>
                  <w:u w:val="single"/>
                </w:rPr>
                <w:t>Other Information</w:t>
              </w:r>
            </w:hyperlink>
          </w:p>
        </w:tc>
        <w:tc>
          <w:tcPr>
            <w:tcW w:w="739"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79e96abde144df8bdcdd49602e9d335_118">
              <w:r>
                <w:rPr>
                  <w:rStyle w:val="InternetLink"/>
                  <w:rFonts w:ascii="Times New Roman;serif" w:hAnsi="Times New Roman;serif"/>
                  <w:b w:val="false"/>
                  <w:color w:val="0000FF"/>
                  <w:sz w:val="20"/>
                  <w:u w:val="single"/>
                </w:rPr>
                <w:t>58</w:t>
              </w:r>
            </w:hyperlink>
          </w:p>
        </w:tc>
      </w:tr>
      <w:tr>
        <w:trPr/>
        <w:tc>
          <w:tcPr>
            <w:tcW w:w="13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79e96abde144df8bdcdd49602e9d335_121">
              <w:r>
                <w:rPr>
                  <w:rStyle w:val="InternetLink"/>
                  <w:rFonts w:ascii="Times New Roman;serif" w:hAnsi="Times New Roman;serif"/>
                  <w:b w:val="false"/>
                  <w:color w:val="0000FF"/>
                  <w:sz w:val="20"/>
                  <w:u w:val="single"/>
                </w:rPr>
                <w:t>Item 6.</w:t>
              </w:r>
            </w:hyperlink>
          </w:p>
        </w:tc>
        <w:tc>
          <w:tcPr>
            <w:tcW w:w="81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79e96abde144df8bdcdd49602e9d335_121">
              <w:r>
                <w:rPr>
                  <w:rStyle w:val="InternetLink"/>
                  <w:rFonts w:ascii="Times New Roman;serif" w:hAnsi="Times New Roman;serif"/>
                  <w:b w:val="false"/>
                  <w:color w:val="0000FF"/>
                  <w:sz w:val="20"/>
                  <w:u w:val="single"/>
                </w:rPr>
                <w:t>Exhibits</w:t>
              </w:r>
            </w:hyperlink>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79e96abde144df8bdcdd49602e9d335_121">
              <w:r>
                <w:rPr>
                  <w:rStyle w:val="InternetLink"/>
                  <w:rFonts w:ascii="Times New Roman;serif" w:hAnsi="Times New Roman;serif"/>
                  <w:b w:val="false"/>
                  <w:color w:val="0000FF"/>
                  <w:sz w:val="20"/>
                  <w:u w:val="single"/>
                </w:rPr>
                <w:t>59</w:t>
              </w:r>
            </w:hyperlink>
          </w:p>
        </w:tc>
      </w:tr>
      <w:tr>
        <w:trPr/>
        <w:tc>
          <w:tcPr>
            <w:tcW w:w="9466"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3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9466" w:type="dxa"/>
            <w:gridSpan w:val="6"/>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i979e96abde144df8bdcdd49602e9d335_124">
              <w:r>
                <w:rPr>
                  <w:rStyle w:val="InternetLink"/>
                  <w:rFonts w:ascii="Times New Roman;serif" w:hAnsi="Times New Roman;serif"/>
                  <w:b w:val="false"/>
                  <w:color w:val="0000FF"/>
                  <w:sz w:val="20"/>
                  <w:u w:val="single"/>
                </w:rPr>
                <w:t>Signatures</w:t>
              </w:r>
            </w:hyperlink>
          </w:p>
        </w:tc>
        <w:tc>
          <w:tcPr>
            <w:tcW w:w="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i979e96abde144df8bdcdd49602e9d335_124">
              <w:r>
                <w:rPr>
                  <w:rStyle w:val="InternetLink"/>
                  <w:rFonts w:ascii="Times New Roman;serif" w:hAnsi="Times New Roman;serif"/>
                  <w:b w:val="false"/>
                  <w:color w:val="0000FF"/>
                  <w:sz w:val="20"/>
                  <w:u w:val="single"/>
                </w:rPr>
                <w:t>60</w:t>
              </w:r>
            </w:hyperlink>
          </w:p>
        </w:tc>
      </w:tr>
    </w:tbl>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On November 7, 2025, we completed a domestication resulting in our holding company, James River Group Holdings, Ltd., changing its jurisdiction of incorporation from Bermuda to Delaware and changing its name to James River Group Holdings, Inc. (the "Domestication"). This Quarterly Report on Form 10-Q includes the results of James River Group Holdings, Ltd. prior to the Domestication and James River Group Holdings, Inc. following the Domestication.</w:t>
      </w:r>
    </w:p>
    <w:p>
      <w:pPr>
        <w:pStyle w:val="TextBody"/>
        <w:bidi w:val="0"/>
        <w:spacing w:lineRule="auto" w:line="288" w:before="0" w:after="240"/>
        <w:jc w:val="both"/>
        <w:rPr>
          <w:rFonts w:ascii="Times New Roman;serif" w:hAnsi="Times New Roman;serif"/>
          <w:b w:val="false"/>
          <w:i/>
          <w:color w:val="000000"/>
          <w:sz w:val="20"/>
        </w:rPr>
      </w:pPr>
      <w:r>
        <w:rPr>
          <w:rFonts w:ascii="Times New Roman;serif" w:hAnsi="Times New Roman;serif"/>
          <w:b w:val="false"/>
          <w:i/>
          <w:color w:val="000000"/>
          <w:sz w:val="20"/>
        </w:rPr>
        <w:t>Unless the context indicates or suggests otherwise, references in this Quarterly Report on Form 10-Q to “the Company,” “we,” “us” and “our” refer to (i) James River Group Holdings, Inc. and its consolidated subsidiaries following the Domestication and (ii) James River Group Holdings, Ltd. and its consolidated subsidiaries prior to the Domestication.</w:t>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SPECIAL NOTE REGARDING FORWARD-LOOKING STATEMENTS</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This Quarterly Report on Form 10-Q, or Quarterly Report, contains forward-looking statements within the meaning of Section 27A of the Securities Act of 1933 and Section 21E of the Securities Exchange Act of 1934. These statements may be identified by the fact that they do not relate strictly to historical or current facts. You may identify forward-looking statements in this Quarterly Report by the use of words such as “anticipates,” “estimates,” “expects,” “intends,” “plans,” “seeks” and “believes,” and similar expressions or future or conditional verbs such as “will,” “should,” “would,” “may” and “could.” These forward-looking statements include, among others, all statements relating to our future financial performance, our business prospects and strategy, anticipated financial position and financial strength ratings, liquidity and capital needs and other similar matters. These forward-looking statements are based on management’s current expectations and assumptions about future events, which are inherently subject to uncertainties, risks and changes in circumstances that are difficult to predict.</w:t>
      </w:r>
    </w:p>
    <w:p>
      <w:pPr>
        <w:pStyle w:val="TextBody"/>
        <w:bidi w:val="0"/>
        <w:spacing w:lineRule="auto" w:line="288" w:before="0" w:after="24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actual results may differ materially from those expressed in, or implied by, the forward-looking statements included in this Quarterly Report as a result of various factors, many of which are beyond our control, including, among others:</w:t>
      </w:r>
    </w:p>
    <w:p>
      <w:pPr>
        <w:pStyle w:val="TextBody"/>
        <w:bidi w:val="0"/>
        <w:spacing w:lineRule="auto" w:line="288" w:before="0" w:after="120"/>
        <w:ind w:left="0" w:right="0" w:hanging="540"/>
        <w:jc w:val="both"/>
        <w:rPr/>
      </w:pPr>
      <w:r>
        <w:rPr>
          <w:color w:val="000000"/>
        </w:rPr>
        <w:t>•</w:t>
      </w:r>
      <w:r>
        <w:rPr>
          <w:rFonts w:ascii="Times New Roman;serif" w:hAnsi="Times New Roman;serif"/>
          <w:b w:val="false"/>
          <w:color w:val="000000"/>
          <w:sz w:val="20"/>
        </w:rPr>
        <w:t>the inherent uncertainty of estimating loss and loss adjustment expense reserves and the possibility that incurred losses and loss adjustment expenses may be greater than our estimate used to compute loss and loss adjustment expense reserves included in the financial statements;</w:t>
      </w:r>
    </w:p>
    <w:p>
      <w:pPr>
        <w:pStyle w:val="TextBody"/>
        <w:bidi w:val="0"/>
        <w:spacing w:lineRule="auto" w:line="288" w:before="0" w:after="120"/>
        <w:ind w:left="0" w:right="0" w:hanging="540"/>
        <w:jc w:val="both"/>
        <w:rPr/>
      </w:pPr>
      <w:r>
        <w:rPr>
          <w:color w:val="000000"/>
        </w:rPr>
        <w:t>•</w:t>
      </w:r>
      <w:r>
        <w:rPr>
          <w:rFonts w:ascii="Times New Roman;serif" w:hAnsi="Times New Roman;serif"/>
          <w:b w:val="false"/>
          <w:color w:val="000000"/>
          <w:sz w:val="20"/>
        </w:rPr>
        <w:t>inaccurate estimates and judgments in our risk management may expose us to greater risks than intended;</w:t>
      </w:r>
    </w:p>
    <w:p>
      <w:pPr>
        <w:pStyle w:val="TextBody"/>
        <w:bidi w:val="0"/>
        <w:spacing w:lineRule="auto" w:line="288" w:before="0" w:after="120"/>
        <w:ind w:left="0" w:right="0" w:hanging="540"/>
        <w:jc w:val="both"/>
        <w:rPr/>
      </w:pPr>
      <w:r>
        <w:rPr>
          <w:color w:val="000000"/>
        </w:rPr>
        <w:t>•</w:t>
      </w:r>
      <w:r>
        <w:rPr>
          <w:rFonts w:ascii="Times New Roman;serif" w:hAnsi="Times New Roman;serif"/>
          <w:b w:val="false"/>
          <w:color w:val="000000"/>
          <w:sz w:val="20"/>
        </w:rPr>
        <w:t>downgrades in the financial strength rating or outlook of our regulated insurance subsidiaries impacting our competitive position and ability to attract and retain insurance business that our subsidiaries write and ultimately our financial condition and triggering a default on our credit facility;</w:t>
      </w:r>
    </w:p>
    <w:p>
      <w:pPr>
        <w:pStyle w:val="TextBody"/>
        <w:bidi w:val="0"/>
        <w:spacing w:lineRule="auto" w:line="288" w:before="0" w:after="120"/>
        <w:ind w:left="0" w:right="0" w:hanging="540"/>
        <w:jc w:val="both"/>
        <w:rPr/>
      </w:pPr>
      <w:r>
        <w:rPr>
          <w:color w:val="000000"/>
        </w:rPr>
        <w:t>•</w:t>
      </w:r>
      <w:r>
        <w:rPr>
          <w:rFonts w:ascii="Times New Roman;serif" w:hAnsi="Times New Roman;serif"/>
          <w:b w:val="false"/>
          <w:color w:val="000000"/>
          <w:sz w:val="20"/>
        </w:rPr>
        <w:t>the potential loss of key members of our management team or key employees, and our ability to attract and retain personnel;</w:t>
      </w:r>
    </w:p>
    <w:p>
      <w:pPr>
        <w:pStyle w:val="TextBody"/>
        <w:bidi w:val="0"/>
        <w:spacing w:lineRule="auto" w:line="288" w:before="0" w:after="120"/>
        <w:ind w:left="0" w:right="0" w:hanging="540"/>
        <w:jc w:val="both"/>
        <w:rPr/>
      </w:pPr>
      <w:r>
        <w:rPr>
          <w:color w:val="000000"/>
        </w:rPr>
        <w:t>•</w:t>
      </w:r>
      <w:r>
        <w:rPr>
          <w:rFonts w:ascii="Times New Roman;serif" w:hAnsi="Times New Roman;serif"/>
          <w:b w:val="false"/>
          <w:color w:val="000000"/>
          <w:sz w:val="20"/>
        </w:rPr>
        <w:t>adverse economic and competitive factors resulting in the sale of fewer policies than expected or an increase in the frequency or severity of claims, or both;</w:t>
      </w:r>
    </w:p>
    <w:p>
      <w:pPr>
        <w:pStyle w:val="TextBody"/>
        <w:bidi w:val="0"/>
        <w:spacing w:lineRule="auto" w:line="288" w:before="0" w:after="120"/>
        <w:ind w:left="0" w:right="0" w:hanging="540"/>
        <w:jc w:val="both"/>
        <w:rPr/>
      </w:pPr>
      <w:r>
        <w:rPr>
          <w:color w:val="000000"/>
        </w:rPr>
        <w:t>•</w:t>
      </w:r>
      <w:r>
        <w:rPr>
          <w:rFonts w:ascii="Times New Roman;serif" w:hAnsi="Times New Roman;serif"/>
          <w:b w:val="false"/>
          <w:color w:val="000000"/>
          <w:sz w:val="20"/>
        </w:rPr>
        <w:t>the impact of a higher than expected inflationary environment on our reserves, loss adjustment expenses, the values of our investments and investment returns, and our compensation expenses;</w:t>
      </w:r>
    </w:p>
    <w:p>
      <w:pPr>
        <w:pStyle w:val="TextBody"/>
        <w:bidi w:val="0"/>
        <w:spacing w:lineRule="auto" w:line="288" w:before="0" w:after="120"/>
        <w:ind w:left="0" w:right="0" w:hanging="540"/>
        <w:jc w:val="both"/>
        <w:rPr/>
      </w:pPr>
      <w:r>
        <w:rPr>
          <w:color w:val="000000"/>
        </w:rPr>
        <w:t>•</w:t>
      </w:r>
      <w:r>
        <w:rPr>
          <w:rFonts w:ascii="Times New Roman;serif" w:hAnsi="Times New Roman;serif"/>
          <w:b w:val="false"/>
          <w:color w:val="000000"/>
          <w:sz w:val="20"/>
        </w:rPr>
        <w:t>exposure to credit risk, interest rate risk and other market risk in our investment portfolio and our reinsurers;</w:t>
      </w:r>
    </w:p>
    <w:p>
      <w:pPr>
        <w:pStyle w:val="TextBody"/>
        <w:bidi w:val="0"/>
        <w:spacing w:lineRule="auto" w:line="288" w:before="0" w:after="120"/>
        <w:ind w:left="0" w:right="0" w:hanging="540"/>
        <w:jc w:val="both"/>
        <w:rPr/>
      </w:pPr>
      <w:r>
        <w:rPr>
          <w:color w:val="000000"/>
        </w:rPr>
        <w:t>•</w:t>
      </w:r>
      <w:r>
        <w:rPr>
          <w:rFonts w:ascii="Times New Roman;serif" w:hAnsi="Times New Roman;serif"/>
          <w:b w:val="false"/>
          <w:color w:val="000000"/>
          <w:sz w:val="20"/>
        </w:rPr>
        <w:t>reliance on a select group of brokers and agents for a significant portion of our business and the impact of our potential failure to maintain such relationships;</w:t>
      </w:r>
    </w:p>
    <w:p>
      <w:pPr>
        <w:pStyle w:val="TextBody"/>
        <w:bidi w:val="0"/>
        <w:spacing w:lineRule="auto" w:line="288" w:before="0" w:after="120"/>
        <w:ind w:left="0" w:right="0" w:hanging="540"/>
        <w:jc w:val="both"/>
        <w:rPr/>
      </w:pPr>
      <w:r>
        <w:rPr>
          <w:color w:val="000000"/>
        </w:rPr>
        <w:t>•</w:t>
      </w:r>
      <w:r>
        <w:rPr>
          <w:rFonts w:ascii="Times New Roman;serif" w:hAnsi="Times New Roman;serif"/>
          <w:b w:val="false"/>
          <w:color w:val="000000"/>
          <w:sz w:val="20"/>
        </w:rPr>
        <w:t>reliance on a select group of customers for a significant portion of our business and the impact of our potential failure to maintain, or decision to terminate, such relationships;</w:t>
      </w:r>
    </w:p>
    <w:p>
      <w:pPr>
        <w:pStyle w:val="TextBody"/>
        <w:bidi w:val="0"/>
        <w:spacing w:lineRule="auto" w:line="288" w:before="0" w:after="120"/>
        <w:ind w:left="0" w:right="0" w:hanging="540"/>
        <w:jc w:val="both"/>
        <w:rPr/>
      </w:pPr>
      <w:r>
        <w:rPr>
          <w:color w:val="000000"/>
        </w:rPr>
        <w:t>•</w:t>
      </w:r>
      <w:r>
        <w:rPr>
          <w:rFonts w:ascii="Times New Roman;serif" w:hAnsi="Times New Roman;serif"/>
          <w:b w:val="false"/>
          <w:color w:val="000000"/>
          <w:sz w:val="20"/>
        </w:rPr>
        <w:t>our ability to obtain insurance and reinsurance coverage at prices and on terms that allow us to transfer risk, adequately protect our Company against financial loss and that supports our growth plans;</w:t>
      </w:r>
    </w:p>
    <w:p>
      <w:pPr>
        <w:pStyle w:val="TextBody"/>
        <w:bidi w:val="0"/>
        <w:spacing w:lineRule="auto" w:line="288" w:before="0" w:after="120"/>
        <w:ind w:left="0" w:right="0" w:hanging="540"/>
        <w:jc w:val="both"/>
        <w:rPr/>
      </w:pPr>
      <w:r>
        <w:rPr>
          <w:color w:val="000000"/>
        </w:rPr>
        <w:t>•</w:t>
      </w:r>
      <w:r>
        <w:rPr>
          <w:rFonts w:ascii="Times New Roman;serif" w:hAnsi="Times New Roman;serif"/>
          <w:b w:val="false"/>
          <w:color w:val="000000"/>
          <w:sz w:val="20"/>
        </w:rPr>
        <w:t>losses resulting from reinsurance counterparties failing to pay us on reinsurance claims, insurance companies with whom we have a fronting arrangement failing to pay us for claims, or a former customer with whom we have an indemnification arrangement failing to perform its reimbursement obligations, and our potential inability to demand or maintain adequate collateral to mitigate such risks;</w:t>
      </w:r>
    </w:p>
    <w:p>
      <w:pPr>
        <w:pStyle w:val="TextBody"/>
        <w:bidi w:val="0"/>
        <w:spacing w:lineRule="auto" w:line="288" w:before="0" w:after="120"/>
        <w:ind w:left="0" w:right="0" w:hanging="540"/>
        <w:jc w:val="both"/>
        <w:rPr/>
      </w:pPr>
      <w:r>
        <w:rPr>
          <w:color w:val="000000"/>
        </w:rPr>
        <w:t>•</w:t>
      </w:r>
      <w:r>
        <w:rPr>
          <w:rFonts w:ascii="Times New Roman;serif" w:hAnsi="Times New Roman;serif"/>
          <w:b w:val="false"/>
          <w:color w:val="000000"/>
          <w:sz w:val="20"/>
        </w:rPr>
        <w:t>the inherent uncertainty of estimating reinsurance recoverable on unpaid losses and the possibility that reinsurance may be less than our estimate of reinsurance recoverable on unpaid losses;</w:t>
      </w:r>
    </w:p>
    <w:p>
      <w:pPr>
        <w:pStyle w:val="TextBody"/>
        <w:bidi w:val="0"/>
        <w:spacing w:lineRule="auto" w:line="288" w:before="0" w:after="120"/>
        <w:ind w:left="0" w:right="0" w:hanging="540"/>
        <w:jc w:val="both"/>
        <w:rPr/>
      </w:pPr>
      <w:r>
        <w:rPr>
          <w:color w:val="000000"/>
        </w:rPr>
        <w:t>•</w:t>
      </w:r>
      <w:r>
        <w:rPr>
          <w:rFonts w:ascii="Times New Roman;serif" w:hAnsi="Times New Roman;serif"/>
          <w:b w:val="false"/>
          <w:color w:val="000000"/>
          <w:sz w:val="20"/>
        </w:rPr>
        <w:t>inadequacy of premiums we charge to compensate us for our losses incurred;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ind w:left="0" w:right="0" w:hanging="540"/>
        <w:jc w:val="both"/>
        <w:rPr/>
      </w:pPr>
      <w:r>
        <w:rPr>
          <w:color w:val="000000"/>
        </w:rPr>
        <w:t>•</w:t>
      </w:r>
      <w:r>
        <w:rPr>
          <w:rFonts w:ascii="Times New Roman;serif" w:hAnsi="Times New Roman;serif"/>
          <w:b w:val="false"/>
          <w:color w:val="000000"/>
          <w:sz w:val="20"/>
        </w:rPr>
        <w:t>changes in laws or government regulation, including tax or insurance laws and regulations;</w:t>
      </w:r>
    </w:p>
    <w:p>
      <w:pPr>
        <w:pStyle w:val="TextBody"/>
        <w:bidi w:val="0"/>
        <w:spacing w:lineRule="auto" w:line="288" w:before="0" w:after="120"/>
        <w:ind w:left="0" w:right="0" w:hanging="540"/>
        <w:jc w:val="both"/>
        <w:rPr/>
      </w:pPr>
      <w:r>
        <w:rPr>
          <w:color w:val="000000"/>
        </w:rPr>
        <w:t>•</w:t>
      </w:r>
      <w:r>
        <w:rPr>
          <w:rFonts w:ascii="Times New Roman;serif" w:hAnsi="Times New Roman;serif"/>
          <w:b w:val="false"/>
          <w:color w:val="000000"/>
          <w:sz w:val="20"/>
        </w:rPr>
        <w:t>changes in U.S. tax laws (including associated regulations) and the interpretation of certain provisions applicable to insurance/reinsurance businesses with U.S. and non-U.S. operations, which may be retroactive and could have a significant effect on us including, among other things, by potentially increasing our tax rate, as well as on our shareholders;</w:t>
      </w:r>
    </w:p>
    <w:p>
      <w:pPr>
        <w:pStyle w:val="TextBody"/>
        <w:bidi w:val="0"/>
        <w:spacing w:lineRule="auto" w:line="288" w:before="0" w:after="120"/>
        <w:ind w:left="0" w:right="0" w:hanging="540"/>
        <w:jc w:val="both"/>
        <w:rPr/>
      </w:pPr>
      <w:r>
        <w:rPr>
          <w:color w:val="000000"/>
        </w:rPr>
        <w:t>•</w:t>
      </w:r>
      <w:r>
        <w:rPr>
          <w:rFonts w:ascii="Times New Roman;serif" w:hAnsi="Times New Roman;serif"/>
          <w:b w:val="false"/>
          <w:color w:val="000000"/>
          <w:sz w:val="20"/>
        </w:rPr>
        <w:t>a failure of any of the loss limitations or exclusions we utilize in our insurance products to shield us from unanticipated financial losses or legal exposures, or other liabilities;</w:t>
      </w:r>
    </w:p>
    <w:p>
      <w:pPr>
        <w:pStyle w:val="TextBody"/>
        <w:bidi w:val="0"/>
        <w:spacing w:lineRule="auto" w:line="288" w:before="0" w:after="120"/>
        <w:ind w:left="0" w:right="0" w:hanging="540"/>
        <w:jc w:val="both"/>
        <w:rPr/>
      </w:pPr>
      <w:r>
        <w:rPr>
          <w:color w:val="000000"/>
        </w:rPr>
        <w:t>•</w:t>
      </w:r>
      <w:r>
        <w:rPr>
          <w:rFonts w:ascii="Times New Roman;serif" w:hAnsi="Times New Roman;serif"/>
          <w:b w:val="false"/>
          <w:color w:val="000000"/>
          <w:sz w:val="20"/>
        </w:rPr>
        <w:t>losses from catastrophic events, such as natural disasters and terrorist acts, which substantially exceed our expectations and/or exceed the amount of reinsurance we have purchased to protect us from such events;</w:t>
      </w:r>
    </w:p>
    <w:p>
      <w:pPr>
        <w:pStyle w:val="TextBody"/>
        <w:bidi w:val="0"/>
        <w:spacing w:lineRule="auto" w:line="288" w:before="0" w:after="120"/>
        <w:ind w:left="0" w:right="0" w:hanging="540"/>
        <w:jc w:val="both"/>
        <w:rPr/>
      </w:pPr>
      <w:r>
        <w:rPr>
          <w:color w:val="000000"/>
        </w:rPr>
        <w:t>•</w:t>
      </w:r>
      <w:r>
        <w:rPr>
          <w:rFonts w:ascii="Times New Roman;serif" w:hAnsi="Times New Roman;serif"/>
          <w:b w:val="false"/>
          <w:color w:val="000000"/>
          <w:sz w:val="20"/>
        </w:rPr>
        <w:t>potential effects on our business of emerging claim and coverage issues;</w:t>
      </w:r>
    </w:p>
    <w:p>
      <w:pPr>
        <w:pStyle w:val="TextBody"/>
        <w:bidi w:val="0"/>
        <w:spacing w:lineRule="auto" w:line="288" w:before="0" w:after="120"/>
        <w:ind w:left="0" w:right="0" w:hanging="540"/>
        <w:jc w:val="both"/>
        <w:rPr/>
      </w:pPr>
      <w:r>
        <w:rPr>
          <w:color w:val="000000"/>
        </w:rPr>
        <w:t>•</w:t>
      </w:r>
      <w:r>
        <w:rPr>
          <w:rFonts w:ascii="Times New Roman;serif" w:hAnsi="Times New Roman;serif"/>
          <w:b w:val="false"/>
          <w:color w:val="000000"/>
          <w:sz w:val="20"/>
        </w:rPr>
        <w:t>the potential impact of internal or external fraud, operational errors, systems malfunctions or cyber security incidents;</w:t>
      </w:r>
    </w:p>
    <w:p>
      <w:pPr>
        <w:pStyle w:val="TextBody"/>
        <w:bidi w:val="0"/>
        <w:spacing w:lineRule="auto" w:line="288" w:before="0" w:after="120"/>
        <w:ind w:left="0" w:right="0" w:hanging="540"/>
        <w:jc w:val="both"/>
        <w:rPr/>
      </w:pPr>
      <w:r>
        <w:rPr>
          <w:color w:val="000000"/>
        </w:rPr>
        <w:t>•</w:t>
      </w:r>
      <w:r>
        <w:rPr>
          <w:rFonts w:ascii="Times New Roman;serif" w:hAnsi="Times New Roman;serif"/>
          <w:b w:val="false"/>
          <w:color w:val="000000"/>
          <w:sz w:val="20"/>
        </w:rPr>
        <w:t>our ability to manage our growth effectively;</w:t>
      </w:r>
    </w:p>
    <w:p>
      <w:pPr>
        <w:pStyle w:val="TextBody"/>
        <w:bidi w:val="0"/>
        <w:spacing w:lineRule="auto" w:line="288" w:before="0" w:after="120"/>
        <w:ind w:left="0" w:right="0" w:hanging="540"/>
        <w:jc w:val="both"/>
        <w:rPr/>
      </w:pPr>
      <w:r>
        <w:rPr>
          <w:color w:val="000000"/>
        </w:rPr>
        <w:t>•</w:t>
      </w:r>
      <w:r>
        <w:rPr>
          <w:rFonts w:ascii="Times New Roman;serif" w:hAnsi="Times New Roman;serif"/>
          <w:b w:val="false"/>
          <w:color w:val="000000"/>
          <w:sz w:val="20"/>
        </w:rPr>
        <w:t>failure to maintain effective internal controls in accordance with the Sarbanes-Oxley Act of 2002, as amended;</w:t>
      </w:r>
    </w:p>
    <w:p>
      <w:pPr>
        <w:pStyle w:val="TextBody"/>
        <w:bidi w:val="0"/>
        <w:spacing w:lineRule="auto" w:line="288" w:before="0" w:after="120"/>
        <w:ind w:left="0" w:right="0" w:hanging="540"/>
        <w:jc w:val="both"/>
        <w:rPr/>
      </w:pPr>
      <w:r>
        <w:rPr>
          <w:color w:val="000000"/>
        </w:rPr>
        <w:t>•</w:t>
      </w:r>
      <w:r>
        <w:rPr>
          <w:rFonts w:ascii="Times New Roman;serif" w:hAnsi="Times New Roman;serif"/>
          <w:b w:val="false"/>
          <w:color w:val="000000"/>
          <w:sz w:val="20"/>
        </w:rPr>
        <w:t>changes in our financial condition, regulations or other factors that may restrict our subsidiaries’ ability to pay us dividends;</w:t>
      </w:r>
    </w:p>
    <w:p>
      <w:pPr>
        <w:pStyle w:val="TextBody"/>
        <w:bidi w:val="0"/>
        <w:spacing w:lineRule="auto" w:line="288" w:before="0" w:after="120"/>
        <w:ind w:left="0" w:right="0" w:hanging="540"/>
        <w:jc w:val="both"/>
        <w:rPr/>
      </w:pPr>
      <w:r>
        <w:rPr>
          <w:color w:val="000000"/>
        </w:rPr>
        <w:t>•</w:t>
      </w:r>
      <w:r>
        <w:rPr>
          <w:rFonts w:ascii="Times New Roman;serif" w:hAnsi="Times New Roman;serif"/>
          <w:b w:val="false"/>
          <w:color w:val="000000"/>
          <w:sz w:val="20"/>
        </w:rPr>
        <w:t>an adverse result in any litigation or legal proceedings we are or may become subject to;</w:t>
      </w:r>
    </w:p>
    <w:p>
      <w:pPr>
        <w:pStyle w:val="TextBody"/>
        <w:bidi w:val="0"/>
        <w:spacing w:lineRule="auto" w:line="288" w:before="0" w:after="120"/>
        <w:ind w:left="0" w:right="0" w:hanging="540"/>
        <w:jc w:val="both"/>
        <w:rPr/>
      </w:pPr>
      <w:r>
        <w:rPr>
          <w:color w:val="000000"/>
        </w:rPr>
        <w:t>•</w:t>
      </w:r>
      <w:r>
        <w:rPr>
          <w:rFonts w:ascii="Times New Roman;serif" w:hAnsi="Times New Roman;serif"/>
          <w:b w:val="false"/>
          <w:color w:val="000000"/>
          <w:sz w:val="20"/>
        </w:rPr>
        <w:t xml:space="preserve">inability to generate taxable income and execute tax planning strategies which could adversely impact our ability to recognize deferred tax assets at the level reflected on our balance sheet; and </w:t>
      </w:r>
    </w:p>
    <w:p>
      <w:pPr>
        <w:pStyle w:val="TextBody"/>
        <w:bidi w:val="0"/>
        <w:spacing w:lineRule="auto" w:line="288" w:before="0" w:after="120"/>
        <w:ind w:left="0" w:right="0" w:hanging="540"/>
        <w:jc w:val="both"/>
        <w:rPr/>
      </w:pPr>
      <w:r>
        <w:rPr>
          <w:color w:val="000000"/>
        </w:rPr>
        <w:t>•</w:t>
      </w:r>
      <w:r>
        <w:rPr>
          <w:rFonts w:ascii="Times New Roman;serif" w:hAnsi="Times New Roman;serif"/>
          <w:b w:val="false"/>
          <w:color w:val="000000"/>
          <w:sz w:val="20"/>
        </w:rPr>
        <w:t>other risks and uncertainties discussed in this Quarterly Report.</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Accordingly, you should read this Quarterly Report completely and with the understanding that our actual future results may be materially different from information contained in the forward-looking statements.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Additional information about these risks and uncertainties, as well as others that may cause actual results to differ materially from those in the forward-looking statements, is contained in our filings with the U.S. Securities and Exchange Commission (“SEC”), including our Annual Report on Form 10-K for the year ended December 31, 2025 filed with the SEC on March 3, 2026.</w:t>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Forward-looking statements speak only as of the date of this Quarterly Report. Except as expressly required under federal securities laws and the rules and regulations of the SEC, we do not have any obligation, and do not undertake, to update any forward-looking statements to reflect events or circumstances arising after the date of this Quarterly Report, whether as a result of new information or future events or otherwise. You should not place undue reliance on the forward-looking statements included in this Quarterly Report or that may be made elsewhere from time to time by us, or on our behalf. All forward-looking statements attributable to us are expressly qualified by these cautionary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left"/>
        <w:rPr/>
      </w:pPr>
      <w:hyperlink w:anchor="i979e96abde144df8bdcdd49602e9d3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PART 1. FINANCIAL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JAMES RIVER GROUP HOLDINGS, INC.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tbl>
      <w:tblPr>
        <w:tblW w:w="10205" w:type="dxa"/>
        <w:jc w:val="center"/>
        <w:tblInd w:w="0" w:type="dxa"/>
        <w:tblLayout w:type="fixed"/>
        <w:tblCellMar>
          <w:top w:w="28" w:type="dxa"/>
          <w:left w:w="28" w:type="dxa"/>
          <w:bottom w:w="28" w:type="dxa"/>
          <w:right w:w="28" w:type="dxa"/>
        </w:tblCellMar>
      </w:tblPr>
      <w:tblGrid>
        <w:gridCol w:w="2568"/>
        <w:gridCol w:w="2173"/>
        <w:gridCol w:w="2168"/>
        <w:gridCol w:w="264"/>
        <w:gridCol w:w="1225"/>
        <w:gridCol w:w="136"/>
        <w:gridCol w:w="109"/>
        <w:gridCol w:w="109"/>
        <w:gridCol w:w="109"/>
        <w:gridCol w:w="211"/>
        <w:gridCol w:w="976"/>
        <w:gridCol w:w="157"/>
      </w:tblGrid>
      <w:tr>
        <w:trPr/>
        <w:tc>
          <w:tcPr>
            <w:tcW w:w="2568" w:type="dxa"/>
            <w:tcBorders/>
            <w:vAlign w:val="center"/>
          </w:tcPr>
          <w:p>
            <w:pPr>
              <w:pStyle w:val="TableContents"/>
              <w:bidi w:val="0"/>
              <w:spacing w:before="0" w:after="283"/>
              <w:jc w:val="left"/>
              <w:rPr>
                <w:sz w:val="4"/>
                <w:szCs w:val="4"/>
              </w:rPr>
            </w:pPr>
            <w:r>
              <w:rPr>
                <w:sz w:val="4"/>
                <w:szCs w:val="4"/>
              </w:rPr>
            </w:r>
          </w:p>
        </w:tc>
        <w:tc>
          <w:tcPr>
            <w:tcW w:w="2173" w:type="dxa"/>
            <w:tcBorders/>
            <w:vAlign w:val="center"/>
          </w:tcPr>
          <w:p>
            <w:pPr>
              <w:pStyle w:val="TableContents"/>
              <w:bidi w:val="0"/>
              <w:spacing w:before="0" w:after="283"/>
              <w:jc w:val="left"/>
              <w:rPr>
                <w:sz w:val="4"/>
                <w:szCs w:val="4"/>
              </w:rPr>
            </w:pPr>
            <w:r>
              <w:rPr>
                <w:sz w:val="4"/>
                <w:szCs w:val="4"/>
              </w:rPr>
            </w:r>
          </w:p>
        </w:tc>
        <w:tc>
          <w:tcPr>
            <w:tcW w:w="2168"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1225"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69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 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690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w:t>
            </w:r>
          </w:p>
        </w:tc>
      </w:tr>
      <w:tr>
        <w:trPr/>
        <w:tc>
          <w:tcPr>
            <w:tcW w:w="6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6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Invested assets:</w:t>
            </w:r>
          </w:p>
        </w:tc>
        <w:tc>
          <w:tcPr>
            <w:tcW w:w="16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9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Fixed maturity securities, available-for-sale, at fair value (amortized cost: 2026 – $1,489,938; 2025 – $1,448,750)</w:t>
            </w:r>
          </w:p>
        </w:tc>
        <w:tc>
          <w:tcPr>
            <w:tcW w:w="26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1,434,375 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1,404,774 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Equity securities, at fair value (cost: 2026 – $67,911; 2025 – $66,916)</w:t>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72,317 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73,092 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 loan participations, at fair value</w:t>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153,336 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155,138 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invested assets</w:t>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67,413 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64,152 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invested assets</w:t>
            </w:r>
          </w:p>
        </w:tc>
        <w:tc>
          <w:tcPr>
            <w:tcW w:w="14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1,728,038 </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1,697,156 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227,607 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260,941 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equivalents</w:t>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8,557 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investment income</w:t>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12,900 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12,744 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Premiums receivable and agents’ balances, net</w:t>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127,702 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153,638 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Reinsurance recoverable on unpaid losses, net</w:t>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2,014,564 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2,026,110 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Reinsurance recoverable on paid losses</w:t>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82,808 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118,243 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reinsurance premiums</w:t>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179,427 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203,950 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policy acquisition costs</w:t>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30,042 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31,286 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net</w:t>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31,996 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32,087 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14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181,831 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181,831 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14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136,337 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133,463 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4,761,809 </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4,859,930 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w:t>
      </w:r>
    </w:p>
    <w:p>
      <w:pPr>
        <w:pStyle w:val="TextBody"/>
        <w:bidi w:val="0"/>
        <w:spacing w:lineRule="auto" w:line="288" w:before="0" w:after="0"/>
        <w:jc w:val="center"/>
        <w:rPr>
          <w:color w:val="000000"/>
        </w:rPr>
      </w:pPr>
      <w:r>
        <w:rPr>
          <w:color w:val="000000"/>
        </w:rPr>
        <w:t> </w:t>
      </w:r>
    </w:p>
    <w:p>
      <w:pPr>
        <w:pStyle w:val="TextBody"/>
        <w:bidi w:val="0"/>
        <w:spacing w:before="0" w:after="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left"/>
        <w:rPr/>
      </w:pPr>
      <w:hyperlink w:anchor="i979e96abde144df8bdcdd49602e9d3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JAMES RIVER GROUP HOLDINGS, INC.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 (continued)</w:t>
      </w:r>
    </w:p>
    <w:p>
      <w:pPr>
        <w:pStyle w:val="TextBody"/>
        <w:bidi w:val="0"/>
        <w:spacing w:lineRule="auto" w:line="288" w:before="0" w:after="0"/>
        <w:jc w:val="center"/>
        <w:rPr>
          <w:color w:val="000000"/>
        </w:rPr>
      </w:pPr>
      <w:r>
        <w:rPr>
          <w:color w:val="000000"/>
        </w:rPr>
        <w:t>  </w:t>
      </w:r>
    </w:p>
    <w:tbl>
      <w:tblPr>
        <w:tblW w:w="10205" w:type="dxa"/>
        <w:jc w:val="center"/>
        <w:tblInd w:w="0" w:type="dxa"/>
        <w:tblLayout w:type="fixed"/>
        <w:tblCellMar>
          <w:top w:w="28" w:type="dxa"/>
          <w:left w:w="28" w:type="dxa"/>
          <w:bottom w:w="28" w:type="dxa"/>
          <w:right w:w="28" w:type="dxa"/>
        </w:tblCellMar>
      </w:tblPr>
      <w:tblGrid>
        <w:gridCol w:w="2552"/>
        <w:gridCol w:w="2225"/>
        <w:gridCol w:w="2230"/>
        <w:gridCol w:w="248"/>
        <w:gridCol w:w="1151"/>
        <w:gridCol w:w="128"/>
        <w:gridCol w:w="109"/>
        <w:gridCol w:w="109"/>
        <w:gridCol w:w="109"/>
        <w:gridCol w:w="211"/>
        <w:gridCol w:w="976"/>
        <w:gridCol w:w="157"/>
      </w:tblGrid>
      <w:tr>
        <w:trPr/>
        <w:tc>
          <w:tcPr>
            <w:tcW w:w="2552" w:type="dxa"/>
            <w:tcBorders/>
            <w:vAlign w:val="center"/>
          </w:tcPr>
          <w:p>
            <w:pPr>
              <w:pStyle w:val="TableContents"/>
              <w:bidi w:val="0"/>
              <w:spacing w:before="0" w:after="283"/>
              <w:jc w:val="left"/>
              <w:rPr>
                <w:sz w:val="4"/>
                <w:szCs w:val="4"/>
              </w:rPr>
            </w:pPr>
            <w:r>
              <w:rPr>
                <w:sz w:val="4"/>
                <w:szCs w:val="4"/>
              </w:rPr>
            </w:r>
          </w:p>
        </w:tc>
        <w:tc>
          <w:tcPr>
            <w:tcW w:w="2225" w:type="dxa"/>
            <w:tcBorders/>
            <w:vAlign w:val="center"/>
          </w:tcPr>
          <w:p>
            <w:pPr>
              <w:pStyle w:val="TableContents"/>
              <w:bidi w:val="0"/>
              <w:spacing w:before="0" w:after="283"/>
              <w:jc w:val="left"/>
              <w:rPr>
                <w:sz w:val="4"/>
                <w:szCs w:val="4"/>
              </w:rPr>
            </w:pPr>
            <w:r>
              <w:rPr>
                <w:sz w:val="4"/>
                <w:szCs w:val="4"/>
              </w:rPr>
            </w:r>
          </w:p>
        </w:tc>
        <w:tc>
          <w:tcPr>
            <w:tcW w:w="2230"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7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 March 31,</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00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 except share amounts)</w:t>
            </w:r>
          </w:p>
        </w:tc>
      </w:tr>
      <w:tr>
        <w:trPr/>
        <w:tc>
          <w:tcPr>
            <w:tcW w:w="7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Shareholders’ Equity</w:t>
            </w:r>
          </w:p>
        </w:tc>
        <w:tc>
          <w:tcPr>
            <w:tcW w:w="1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Liabilities:</w:t>
            </w:r>
          </w:p>
        </w:tc>
        <w:tc>
          <w:tcPr>
            <w:tcW w:w="15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 for losses and loss adjustment expenses</w:t>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3,087,848 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3,099,418 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Unearned premiums</w:t>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407,499 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447,644 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Payables to reinsurers</w:t>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58,827 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68,459 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Funds held</w:t>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reinsurance gain</w:t>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100,909 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86,720 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debt</w:t>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225,800 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225,800 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Junior subordinated debt</w:t>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104,055 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104,055 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w:t>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31,006 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100,590 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118,075 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39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4,110,278 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4,188,662 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contingent liabilities (Note 8)</w:t>
            </w:r>
          </w:p>
        </w:tc>
        <w:tc>
          <w:tcPr>
            <w:tcW w:w="15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Series A redeemable preferred shares – 2026 and 2025: 165,000 shares authorized; 112,500 shares issued and outstanding</w:t>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133,115 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133,115 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15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00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 2026 and 2025: $0.0002 par value; 200,000,000 shares authorized; 46,236,856 and 45,968,584 shares issued and outstanding, respectively</w:t>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Preferred stock – 2026 and 2025: $0.00125 par value; 19,835,000 shares authorized; no shares issued and outstanding</w:t>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938,404 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937,611 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deficit</w:t>
            </w:r>
          </w:p>
        </w:tc>
        <w:tc>
          <w:tcPr>
            <w:tcW w:w="13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(376,102)</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(364,726)</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(43,895)</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(34,741)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shareholders’ equity</w:t>
            </w:r>
          </w:p>
        </w:tc>
        <w:tc>
          <w:tcPr>
            <w:tcW w:w="139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518,416 </w:t>
            </w:r>
          </w:p>
        </w:tc>
        <w:tc>
          <w:tcPr>
            <w:tcW w:w="12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538,153 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Series A redeemable preferred shares, and shareholders’ equity</w:t>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4,761,809 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4,859,930 </w:t>
            </w:r>
          </w:p>
        </w:tc>
        <w:tc>
          <w:tcPr>
            <w:tcW w:w="1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left"/>
        <w:rPr/>
      </w:pPr>
      <w:hyperlink w:anchor="i979e96abde144df8bdcdd49602e9d3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pPr>
      <w:r>
        <w:rPr>
          <w:color w:val="000000"/>
        </w:rPr>
        <w:t> </w:t>
      </w:r>
      <w:r>
        <w:rPr>
          <w:rFonts w:ascii="Times New Roman;serif" w:hAnsi="Times New Roman;serif"/>
          <w:b/>
          <w:color w:val="000000"/>
          <w:sz w:val="20"/>
        </w:rPr>
        <w:t>JAMES RIVER GROUP HOLDINGS, INC.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(Loss) Income and Comprehensive (Loss) Income (Unaudited)</w:t>
      </w:r>
    </w:p>
    <w:p>
      <w:pPr>
        <w:pStyle w:val="TextBody"/>
        <w:bidi w:val="0"/>
        <w:spacing w:before="0" w:after="0"/>
        <w:jc w:val="center"/>
        <w:rPr/>
      </w:pPr>
      <w:r>
        <w:rPr/>
      </w:r>
    </w:p>
    <w:tbl>
      <w:tblPr>
        <w:tblW w:w="9110" w:type="dxa"/>
        <w:jc w:val="center"/>
        <w:tblInd w:w="0" w:type="dxa"/>
        <w:tblLayout w:type="fixed"/>
        <w:tblCellMar>
          <w:top w:w="28" w:type="dxa"/>
          <w:left w:w="28" w:type="dxa"/>
          <w:bottom w:w="28" w:type="dxa"/>
          <w:right w:w="28" w:type="dxa"/>
        </w:tblCellMar>
      </w:tblPr>
      <w:tblGrid>
        <w:gridCol w:w="2106"/>
        <w:gridCol w:w="1851"/>
        <w:gridCol w:w="1878"/>
        <w:gridCol w:w="109"/>
        <w:gridCol w:w="109"/>
        <w:gridCol w:w="139"/>
        <w:gridCol w:w="139"/>
        <w:gridCol w:w="251"/>
        <w:gridCol w:w="945"/>
        <w:gridCol w:w="140"/>
        <w:gridCol w:w="109"/>
        <w:gridCol w:w="109"/>
        <w:gridCol w:w="109"/>
        <w:gridCol w:w="202"/>
        <w:gridCol w:w="759"/>
        <w:gridCol w:w="155"/>
      </w:tblGrid>
      <w:tr>
        <w:trPr/>
        <w:tc>
          <w:tcPr>
            <w:tcW w:w="2106" w:type="dxa"/>
            <w:tcBorders/>
            <w:vAlign w:val="center"/>
          </w:tcPr>
          <w:p>
            <w:pPr>
              <w:pStyle w:val="TableContents"/>
              <w:bidi w:val="0"/>
              <w:spacing w:before="0" w:after="283"/>
              <w:jc w:val="left"/>
              <w:rPr>
                <w:sz w:val="4"/>
                <w:szCs w:val="4"/>
              </w:rPr>
            </w:pPr>
            <w:r>
              <w:rPr>
                <w:sz w:val="4"/>
                <w:szCs w:val="4"/>
              </w:rPr>
            </w:r>
          </w:p>
        </w:tc>
        <w:tc>
          <w:tcPr>
            <w:tcW w:w="1851" w:type="dxa"/>
            <w:tcBorders/>
            <w:vAlign w:val="center"/>
          </w:tcPr>
          <w:p>
            <w:pPr>
              <w:pStyle w:val="TableContents"/>
              <w:bidi w:val="0"/>
              <w:spacing w:before="0" w:after="283"/>
              <w:jc w:val="left"/>
              <w:rPr>
                <w:sz w:val="4"/>
                <w:szCs w:val="4"/>
              </w:rPr>
            </w:pPr>
            <w:r>
              <w:rPr>
                <w:sz w:val="4"/>
                <w:szCs w:val="4"/>
              </w:rPr>
            </w:r>
          </w:p>
        </w:tc>
        <w:tc>
          <w:tcPr>
            <w:tcW w:w="18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8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443" w:type="dxa"/>
            <w:gridSpan w:val="6"/>
            <w:tcBorders/>
          </w:tcPr>
          <w:p>
            <w:pPr>
              <w:pStyle w:val="TableContents"/>
              <w:bidi w:val="0"/>
              <w:spacing w:before="0" w:after="283"/>
              <w:jc w:val="left"/>
              <w:rPr>
                <w:sz w:val="4"/>
                <w:szCs w:val="4"/>
              </w:rPr>
            </w:pPr>
            <w:r>
              <w:rPr>
                <w:sz w:val="4"/>
                <w:szCs w:val="4"/>
              </w:rPr>
            </w:r>
          </w:p>
        </w:tc>
      </w:tr>
      <w:tr>
        <w:trPr/>
        <w:tc>
          <w:tcPr>
            <w:tcW w:w="58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8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7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 except share amounts)</w:t>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Gross written premiums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236,373 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294,361 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Ceded written premiums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(116,275)</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(166,405)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written premiums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120,098 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127,956 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Change in net unearned premiums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15,614 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23,946 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earned premiums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135,712 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151,902 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investment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21,327 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20,008 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realized and unrealized losses on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(6,632)</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(1,371)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977 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1,750 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revenues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151,384 </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172,289 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Losses and loss adjustment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108,160 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99,525 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48,051 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50,560 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563 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5,589 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5,541 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Amortization of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162,019 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156,280 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income from continuing operations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(10,635)</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16,009 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Income tax (benefit) expense on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(1,861)</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5,021 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income from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(8,774)</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10,988 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Discontinued operations (Note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from 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Loss on disposal of discontinued operations,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loss from 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(149)</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(1,414)</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(loss)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(8,923)</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9,574 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Dividends on Series A preferred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(1,969)</w:t>
            </w:r>
          </w:p>
        </w:tc>
        <w:tc>
          <w:tcPr>
            <w:tcW w:w="1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(1,969)</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Net (loss) income available to common shareholders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(10,892)</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7,605 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Net unrealized (losses) gains, net of taxes of $(2,433) in 2026 and $3,807 in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(9,154)</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14,322 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comprehensive (loss)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(18,077)</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23,896 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 income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(0.23)</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(0.23)</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(0.23)</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(0.02)</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(0.23)</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0.16 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Dividend declared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9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0.01 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Weighted-average common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46,099,930 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45,803,501 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9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46,099,930 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59,659,075 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60"/>
        <w:jc w:val="left"/>
        <w:rPr/>
      </w:pPr>
      <w:r>
        <w:rPr/>
      </w:r>
    </w:p>
    <w:p>
      <w:pPr>
        <w:pStyle w:val="TextBody"/>
        <w:bidi w:val="0"/>
        <w:spacing w:lineRule="auto" w:line="288" w:before="0" w:after="0"/>
        <w:ind w:left="0" w:right="0" w:firstLine="360"/>
        <w:jc w:val="center"/>
        <w:rPr>
          <w:color w:val="000000"/>
        </w:rPr>
      </w:pPr>
      <w:r>
        <w:rPr>
          <w:color w:val="000000"/>
        </w:rPr>
        <w:t> </w:t>
      </w:r>
    </w:p>
    <w:p>
      <w:pPr>
        <w:pStyle w:val="TextBody"/>
        <w:bidi w:val="0"/>
        <w:spacing w:lineRule="auto" w:line="288" w:before="0" w:after="0"/>
        <w:jc w:val="center"/>
        <w:rPr/>
      </w:pPr>
      <w:r>
        <w:rPr>
          <w:rFonts w:ascii="Times New Roman;serif" w:hAnsi="Times New Roman;serif"/>
          <w:b w:val="false"/>
          <w:i/>
          <w:color w:val="000000"/>
          <w:sz w:val="20"/>
        </w:rPr>
        <w:t>See accompanying notes.</w:t>
      </w: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left"/>
        <w:rPr/>
      </w:pPr>
      <w:hyperlink w:anchor="i979e96abde144df8bdcdd49602e9d3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JAMES RIVER GROUP HOLDINGS, INC. AND SUBSIDIARIES</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Shareholders’ Equity (Unaudited)</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center"/>
        <w:rPr>
          <w:color w:val="000000"/>
        </w:rPr>
      </w:pPr>
      <w:r>
        <w:rPr>
          <w:color w:val="000000"/>
        </w:rPr>
        <w:t> </w:t>
      </w:r>
    </w:p>
    <w:tbl>
      <w:tblPr>
        <w:tblW w:w="10491" w:type="dxa"/>
        <w:jc w:val="left"/>
        <w:tblInd w:w="0" w:type="dxa"/>
        <w:tblLayout w:type="fixed"/>
        <w:tblCellMar>
          <w:top w:w="28" w:type="dxa"/>
          <w:left w:w="28" w:type="dxa"/>
          <w:bottom w:w="28" w:type="dxa"/>
          <w:right w:w="28" w:type="dxa"/>
        </w:tblCellMar>
      </w:tblPr>
      <w:tblGrid>
        <w:gridCol w:w="621"/>
        <w:gridCol w:w="282"/>
        <w:gridCol w:w="283"/>
        <w:gridCol w:w="480"/>
        <w:gridCol w:w="481"/>
        <w:gridCol w:w="336"/>
        <w:gridCol w:w="109"/>
        <w:gridCol w:w="109"/>
        <w:gridCol w:w="109"/>
        <w:gridCol w:w="274"/>
        <w:gridCol w:w="338"/>
        <w:gridCol w:w="154"/>
        <w:gridCol w:w="109"/>
        <w:gridCol w:w="109"/>
        <w:gridCol w:w="109"/>
        <w:gridCol w:w="223"/>
        <w:gridCol w:w="463"/>
        <w:gridCol w:w="125"/>
        <w:gridCol w:w="109"/>
        <w:gridCol w:w="109"/>
        <w:gridCol w:w="109"/>
        <w:gridCol w:w="196"/>
        <w:gridCol w:w="736"/>
        <w:gridCol w:w="109"/>
        <w:gridCol w:w="109"/>
        <w:gridCol w:w="109"/>
        <w:gridCol w:w="109"/>
        <w:gridCol w:w="196"/>
        <w:gridCol w:w="751"/>
        <w:gridCol w:w="109"/>
        <w:gridCol w:w="109"/>
        <w:gridCol w:w="109"/>
        <w:gridCol w:w="109"/>
        <w:gridCol w:w="246"/>
        <w:gridCol w:w="832"/>
        <w:gridCol w:w="138"/>
        <w:gridCol w:w="109"/>
        <w:gridCol w:w="109"/>
        <w:gridCol w:w="109"/>
        <w:gridCol w:w="208"/>
        <w:gridCol w:w="783"/>
        <w:gridCol w:w="165"/>
      </w:tblGrid>
      <w:tr>
        <w:trPr/>
        <w:tc>
          <w:tcPr>
            <w:tcW w:w="6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w:t>
              <w:br/>
              <w:t>Common</w:t>
              <w:br/>
              <w:t>Shares</w:t>
              <w:b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w:t>
              <w:br/>
              <w:t>Stock (Par)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Preferred</w:t>
              <w:br/>
              <w:t>Stock (Par)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Retained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br/>
              <w:t>Shareholders’</w:t>
              <w:br/>
              <w:t>Equity</w:t>
            </w:r>
          </w:p>
        </w:tc>
      </w:tr>
      <w:tr>
        <w:trPr/>
        <w:tc>
          <w:tcPr>
            <w:tcW w:w="118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305" w:type="dxa"/>
            <w:gridSpan w:val="3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 except share amounts)</w:t>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Balances at December 31, 2025</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45,968,584 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937,611 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(364,726)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(34,741)</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538,153 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loss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(8,923)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(8,923)</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loss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(9,154)</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(9,154)</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12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6"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RSUs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268,272 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(671)</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Compensation expense under share incentive plans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1,464 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on Series A preferred shares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(1,969)</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on common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Balances at March 31, 2026</w:t>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46,236,856 </w:t>
            </w:r>
          </w:p>
        </w:tc>
        <w:tc>
          <w:tcPr>
            <w:tcW w:w="3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3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938,404 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(376,102)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8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(43,895)</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8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518,416 </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780"/>
        <w:gridCol w:w="479"/>
        <w:gridCol w:w="480"/>
        <w:gridCol w:w="480"/>
        <w:gridCol w:w="481"/>
        <w:gridCol w:w="109"/>
        <w:gridCol w:w="109"/>
        <w:gridCol w:w="109"/>
        <w:gridCol w:w="109"/>
        <w:gridCol w:w="196"/>
        <w:gridCol w:w="241"/>
        <w:gridCol w:w="109"/>
        <w:gridCol w:w="109"/>
        <w:gridCol w:w="109"/>
        <w:gridCol w:w="109"/>
        <w:gridCol w:w="196"/>
        <w:gridCol w:w="406"/>
        <w:gridCol w:w="109"/>
        <w:gridCol w:w="109"/>
        <w:gridCol w:w="109"/>
        <w:gridCol w:w="109"/>
        <w:gridCol w:w="196"/>
        <w:gridCol w:w="736"/>
        <w:gridCol w:w="109"/>
        <w:gridCol w:w="109"/>
        <w:gridCol w:w="109"/>
        <w:gridCol w:w="109"/>
        <w:gridCol w:w="196"/>
        <w:gridCol w:w="764"/>
        <w:gridCol w:w="109"/>
        <w:gridCol w:w="109"/>
        <w:gridCol w:w="109"/>
        <w:gridCol w:w="109"/>
        <w:gridCol w:w="196"/>
        <w:gridCol w:w="674"/>
        <w:gridCol w:w="109"/>
        <w:gridCol w:w="109"/>
        <w:gridCol w:w="109"/>
        <w:gridCol w:w="109"/>
        <w:gridCol w:w="196"/>
        <w:gridCol w:w="736"/>
        <w:gridCol w:w="156"/>
      </w:tblGrid>
      <w:tr>
        <w:trPr/>
        <w:tc>
          <w:tcPr>
            <w:tcW w:w="780"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7396" w:type="dxa"/>
            <w:gridSpan w:val="36"/>
            <w:tcBorders/>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Balances at December 31, 2024</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45,644,318 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933,311 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(402,408)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(69,997)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460,915 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9,574 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comprehensive income</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14,322 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vAlign w:val="center"/>
          </w:tcPr>
          <w:p>
            <w:pPr>
              <w:pStyle w:val="TableContents"/>
              <w:bidi w:val="0"/>
              <w:spacing w:before="0" w:after="283"/>
              <w:jc w:val="left"/>
              <w:rPr>
                <w:sz w:val="4"/>
                <w:szCs w:val="4"/>
              </w:rPr>
            </w:pPr>
            <w:r>
              <w:rPr>
                <w:sz w:val="4"/>
                <w:szCs w:val="4"/>
              </w:rPr>
            </w:r>
          </w:p>
        </w:tc>
        <w:tc>
          <w:tcPr>
            <w:tcW w:w="10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8" w:type="dxa"/>
            <w:gridSpan w:val="3"/>
            <w:tcBorders/>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Vesting of RSUs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248,388 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8"/>
              </w:rPr>
            </w:pPr>
            <w:r>
              <w:rPr>
                <w:rFonts w:ascii="Times New Roman;serif" w:hAnsi="Times New Roman;serif"/>
                <w:b w:val="false"/>
                <w:color w:val="000000"/>
                <w:sz w:val="18"/>
              </w:rPr>
              <w:t>Compensation expense under share incentive plans</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on Series A preferred shares</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(1,969)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on common stock</w:t>
            </w:r>
          </w:p>
        </w:tc>
        <w:tc>
          <w:tcPr>
            <w:tcW w:w="9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Balances at March 31, 2025</w:t>
            </w:r>
          </w:p>
        </w:tc>
        <w:tc>
          <w:tcPr>
            <w:tcW w:w="96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45,892,706 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935,426 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(395,280)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(55,675)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484,480 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60"/>
        <w:jc w:val="left"/>
        <w:rPr/>
      </w:pPr>
      <w:r>
        <w:rPr/>
      </w:r>
    </w:p>
    <w:p>
      <w:pPr>
        <w:pStyle w:val="TextBody"/>
        <w:bidi w:val="0"/>
        <w:spacing w:before="0" w:after="60"/>
        <w:jc w:val="center"/>
        <w:rPr/>
      </w:pPr>
      <w:r>
        <w:rPr/>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w:t>
      </w:r>
    </w:p>
    <w:p>
      <w:pPr>
        <w:pStyle w:val="TextBody"/>
        <w:bidi w:val="0"/>
        <w:spacing w:lineRule="auto" w:line="288" w:before="0" w:after="0"/>
        <w:jc w:val="center"/>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left"/>
        <w:rPr/>
      </w:pPr>
      <w:hyperlink w:anchor="i979e96abde144df8bdcdd49602e9d3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pPr>
      <w:r>
        <w:rPr>
          <w:color w:val="000000"/>
        </w:rPr>
        <w:t> </w:t>
      </w:r>
      <w:r>
        <w:rPr>
          <w:rFonts w:ascii="Times New Roman;serif" w:hAnsi="Times New Roman;serif"/>
          <w:b/>
          <w:color w:val="000000"/>
          <w:sz w:val="20"/>
        </w:rPr>
        <w:t>JAMES RIVER GROUP HOLDINGS, INC. AND SUBSIDIARIES</w:t>
      </w:r>
    </w:p>
    <w:p>
      <w:pPr>
        <w:pStyle w:val="TextBody"/>
        <w:bidi w:val="0"/>
        <w:spacing w:lineRule="auto" w:line="288" w:before="0" w:after="0"/>
        <w:jc w:val="center"/>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 (Unaudited)</w:t>
      </w:r>
    </w:p>
    <w:p>
      <w:pPr>
        <w:pStyle w:val="TextBody"/>
        <w:bidi w:val="0"/>
        <w:spacing w:before="0" w:after="0"/>
        <w:jc w:val="left"/>
        <w:rPr/>
      </w:pPr>
      <w:r>
        <w:rPr/>
      </w:r>
    </w:p>
    <w:tbl>
      <w:tblPr>
        <w:tblW w:w="9068" w:type="dxa"/>
        <w:jc w:val="center"/>
        <w:tblInd w:w="0" w:type="dxa"/>
        <w:tblLayout w:type="fixed"/>
        <w:tblCellMar>
          <w:top w:w="28" w:type="dxa"/>
          <w:left w:w="28" w:type="dxa"/>
          <w:bottom w:w="28" w:type="dxa"/>
          <w:right w:w="28" w:type="dxa"/>
        </w:tblCellMar>
      </w:tblPr>
      <w:tblGrid>
        <w:gridCol w:w="2320"/>
        <w:gridCol w:w="2035"/>
        <w:gridCol w:w="2049"/>
        <w:gridCol w:w="211"/>
        <w:gridCol w:w="826"/>
        <w:gridCol w:w="109"/>
        <w:gridCol w:w="109"/>
        <w:gridCol w:w="109"/>
        <w:gridCol w:w="109"/>
        <w:gridCol w:w="211"/>
        <w:gridCol w:w="826"/>
        <w:gridCol w:w="154"/>
      </w:tblGrid>
      <w:tr>
        <w:trPr/>
        <w:tc>
          <w:tcPr>
            <w:tcW w:w="2320" w:type="dxa"/>
            <w:tcBorders/>
            <w:vAlign w:val="center"/>
          </w:tcPr>
          <w:p>
            <w:pPr>
              <w:pStyle w:val="TableContents"/>
              <w:bidi w:val="0"/>
              <w:spacing w:before="0" w:after="283"/>
              <w:jc w:val="left"/>
              <w:rPr>
                <w:sz w:val="4"/>
                <w:szCs w:val="4"/>
              </w:rPr>
            </w:pPr>
            <w:r>
              <w:rPr>
                <w:sz w:val="4"/>
                <w:szCs w:val="4"/>
              </w:rPr>
            </w:r>
          </w:p>
        </w:tc>
        <w:tc>
          <w:tcPr>
            <w:tcW w:w="2035" w:type="dxa"/>
            <w:tcBorders/>
            <w:vAlign w:val="center"/>
          </w:tcPr>
          <w:p>
            <w:pPr>
              <w:pStyle w:val="TableContents"/>
              <w:bidi w:val="0"/>
              <w:spacing w:before="0" w:after="283"/>
              <w:jc w:val="left"/>
              <w:rPr>
                <w:sz w:val="4"/>
                <w:szCs w:val="4"/>
              </w:rPr>
            </w:pPr>
            <w:r>
              <w:rPr>
                <w:sz w:val="4"/>
                <w:szCs w:val="4"/>
              </w:rPr>
            </w:r>
          </w:p>
        </w:tc>
        <w:tc>
          <w:tcPr>
            <w:tcW w:w="204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0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640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40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w:t>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operating activities (a)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(51,467)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Investing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4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maturity securities, available-for-sale:</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(88,467)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(84,322)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5,856 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Maturities and calls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and redemptions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 loan participations: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(36,818)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invested assets: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Return of capital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sales and principal repayments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receivable or payable,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provided by investing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(53,030)</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Financing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debt issuances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Payroll taxes withheld and remitted on net settlement of RSUs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on Series A preferred shares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on common stock</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(used in) financing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cash, cash equivalents, and restricted cash equivalents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(33,258)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(82,611)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equivalents at beginning of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391,050 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equivalents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236,164 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308,439 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Supplemental information</w:t>
            </w:r>
          </w:p>
        </w:tc>
        <w:tc>
          <w:tcPr>
            <w:tcW w:w="114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paid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equivalents at beginning of period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28,705 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equivalents at end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restricted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120"/>
        <w:jc w:val="both"/>
        <w:rPr/>
      </w:pPr>
      <w:r>
        <w:rPr>
          <w:rFonts w:ascii="Times New Roman;serif" w:hAnsi="Times New Roman;serif"/>
          <w:b w:val="false"/>
          <w:color w:val="000000"/>
          <w:sz w:val="16"/>
        </w:rPr>
        <w:t xml:space="preserve">(a) Cash provided by operating activities for the three months ended March 31, 2026 and 2025 includes the restricted cash activity above related to a former insured, per the terms of a collateral trust. See “Item 2. Management’s Discussion and Analysis of Financial Condition and Results of Operations – </w:t>
      </w:r>
      <w:r>
        <w:rPr>
          <w:rFonts w:ascii="Times New Roman;serif" w:hAnsi="Times New Roman;serif"/>
          <w:b w:val="false"/>
          <w:i/>
          <w:color w:val="000000"/>
          <w:sz w:val="16"/>
        </w:rPr>
        <w:t>Amounts Recoverable from an Indemnifying Party and Reinsurer on Legacy Commercial Auto Book</w:t>
      </w:r>
      <w:r>
        <w:rPr>
          <w:color w:val="000000"/>
        </w:rPr>
        <w:t>”</w:t>
      </w:r>
      <w:r>
        <w:rPr>
          <w:rFonts w:ascii="Times New Roman;serif" w:hAnsi="Times New Roman;serif"/>
          <w:b w:val="false"/>
          <w:color w:val="000000"/>
          <w:sz w:val="16"/>
        </w:rPr>
        <w:t>. Excluding the restricted cash activity, cash used in operating activities was $760,000 and $51.8 million for the three months ended March 31, 2026 and 2025, respectively.</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left"/>
        <w:rPr/>
      </w:pPr>
      <w:hyperlink w:anchor="i979e96abde144df8bdcdd49602e9d3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color w:val="000000"/>
        </w:rPr>
      </w:pPr>
      <w:r>
        <w:rPr>
          <w:color w:val="000000"/>
        </w:rPr>
        <w:t> </w:t>
      </w:r>
      <w:r>
        <w:rPr>
          <w:rFonts w:ascii="Times New Roman;serif" w:hAnsi="Times New Roman;serif"/>
          <w:b/>
          <w:color w:val="000000"/>
          <w:sz w:val="20"/>
        </w:rPr>
        <w:t>JAMES RIVER GROUP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1.    Accounting Policies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Organization</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James River Group Holdings, Inc. (referred to as “JRG Holdings” or, with its subsidiaries, the “Company”) is a Delaware holding company organized for the purpose of acquiring and managing insurance entities.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owns five insurance companies based in the United States (“U.S.”) focused on specialty insurance niches as described below:</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James River Group is a Delaware domiciled insurance holding company formed in 2002, which owns all of the Company’s U.S.-based subsidiaries, either directly or indirectly through one of its wholly-owned U.S. subsidiaries. James River Group oversees the Company’s U.S. insurance operations.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James River Insurance Company (“James River Insurance”) is an Ohio domiciled excess and surplus lines insurance company that, with its wholly-owned insurance subsidiary, James River Casualty Company, is authorized to write business in every state and the District of Columbia.</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Falls Lake National Insurance Company (“Falls Lake National”) is an Ohio domiciled insurance company which wholly owns Stonewood Insurance Company (“Stonewood Insurance”), an Ohio domiciled company, and Falls Lake Fire and Casualty Company, a California domiciled company. Falls Lake National and its subsidiaries primarily write specialty admitted fronting and program business.</w:t>
      </w:r>
    </w:p>
    <w:p>
      <w:pPr>
        <w:pStyle w:val="TextBody"/>
        <w:bidi w:val="0"/>
        <w:spacing w:lineRule="auto" w:line="288" w:before="0" w:after="120"/>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The Company previously owned JRG Reinsurance Company Ltd. (“JRG Re”), a Bermuda domiciled reinsurer, which comprised the former Casualty Reinsurance segment, and which, prior to the suspension of its underwriting activities in 2023, primarily provided non-catastrophe casualty reinsurance to U.S. third parties. On November 8, 2023, the Company entered into an agreement to sell JRG Re. The sale closed on April 16, 2024 and resulted in the Company’s disposition of its casualty reinsurance business and related assets. The Company has no continued involvement with JRG Re following the sale. See Discontinued Operations below and Note 2 for additional disclosure.</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Basis of Presentation</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and notes have been prepared in accordance with U.S. generally accepted accounting principles (“GAAP”) for interim financial information and do not contain all of the information and footnotes required by U.S. GAAP for complete financial statements. The condensed consolidated financial statements include the results of the Company and its subsidiaries from their respective dates of inception or acquisition, as applicable. Readers are urged to review the Company’s Annual Report on Form 10-K for the year ended December 31, 2025 for a more complete description of the Company’s business and accounting policies. In the opinion of management, all adjustments necessary for a fair presentation of the condensed consolidated financial statements have been included. Such adjustments consist only of normal recurring items. Interim results are not necessarily indicative of results of operations for the full year. The consolidated balance sheet as of December 31, 2025 was derived from the Company’s audited annual consolidated financial statements.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Intercompany transactions and balances have been eliminated.</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Discontinued Operations</w:t>
      </w:r>
    </w:p>
    <w:p>
      <w:pPr>
        <w:pStyle w:val="TextBody"/>
        <w:bidi w:val="0"/>
        <w:spacing w:lineRule="auto" w:line="288" w:before="0" w:after="120"/>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The results of operations of a component of the Company are reported in discontinued operations when certain criteria are met as of the date of disposal, or earlier if classified as held-for-sale. The Company determined that the sale of JRG Re, which closed on April 16, 2024, represented a strategic shift that had a major effect on the Company's operations. Accordingly, the results of JRG Re's operations have been presented as discontinued operations for all periods presented in this interim report on Form 10-Q. See Note 2 for additional disclosure.</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Estimates and Assumptions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Preparation of the condensed consolidated financial statements in conformity with U.S. GAAP requires management to make estimates and assumptions that affect the amounts reported in the condensed consolidated financial statements and accompanying disclosures. Those estimates are inherently subject to change, and actual results may ultimately differ from those estimates.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left"/>
        <w:rPr/>
      </w:pPr>
      <w:hyperlink w:anchor="i979e96abde144df8bdcdd49602e9d3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JAMES RIVER GROUP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Variable Interest Entities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Entities that do not have sufficient equity at risk to allow the entity to finance its activities without additional financial support or in which the equity investors, as a group, do not have the characteristic of a controlling financial interest are referred to as variable interest entities (“VIE”). A VIE is consolidated by the variable interest holder that is determined to have the controlling financial interest (primary beneficiary) as a result of having both the power to direct the activities of a VIE that most significantly impact the VIE’s economic performance and the obligation to absorb losses or the right to receive benefits from the VIE that could potentially be significant to the VIE. The Company determines whether it is the primary beneficiary of an entity subject to consolidation based on a qualitative assessment of the VIE’s capital structure, contractual terms, nature of the VIE’s operations and purpose, and the Company’s relative exposure to the related risks of the VIE on the date it becomes initially involved in the VIE. The Company reassesses its VIE determination with respect to an entity on an ongoing basis.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holds interests in VIEs through certain equity method investments included in “other invested assets” in the accompanying condensed consolidated balance sheets. The Company has determined that it should not consolidate any of the VIEs as it is not the primary beneficiary in any of the relationships. Although the investments resulted in the Company holding variable interests in the entities, they did not empower the Company to direct the activities that most significantly impact the economic performance of the entities. The Company’s investments related to these VIEs totaled $7.2 million at March 31, 2026 and $7.3 million at December 31, 2025, representing the Company’s maximum exposure to loss.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Income Tax Expense</w:t>
      </w:r>
    </w:p>
    <w:p>
      <w:pPr>
        <w:pStyle w:val="TextBody"/>
        <w:bidi w:val="0"/>
        <w:spacing w:lineRule="auto" w:line="288" w:before="0" w:after="120"/>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The Company’s U.S. federal income tax expense differs from the amount computed by applying the federal statutory income tax rate of 21% to income before taxes primarily due to interest income on tax-advantaged state and municipal securities, dividends received income, and excess tax benefits and expenses on share based compensation. Prior to the Company's domestication from Bermuda to the U.S. on November 7, 2025, the Company's effective tax rate was impacted by the relative mix of income from continuing operations reported by country and the statutory tax rates of 0% and 21% imposed by Bermuda and the U.S., respectively. The Company did not receive a U.S. tax deduction for losses in Bermuda in the prior year period resulting from Bermuda holding company expenses and interest expense. For the three months ended March 31, 2026 and 2025, our effective tax rate on (loss) income from continuing operations was (17.5%) and 31.4%, respectively. The effective rate for the three months ended March 31, 2026 was below the federal statutory income tax rate of 21% primarily because of excess tax expenses on share based compensation. RSU awards vest on the anniversary of their grant date which are predominately in the first quarter of each year.</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Adopted Accounting Standards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were no new accounting standards adopted in 2026 that materially impacted the Company's financial statements.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Prospective Accounting Standards</w:t>
      </w:r>
    </w:p>
    <w:p>
      <w:pPr>
        <w:pStyle w:val="TextBody"/>
        <w:bidi w:val="0"/>
        <w:spacing w:lineRule="auto" w:line="288" w:before="0" w:after="120"/>
        <w:ind w:left="0" w:right="0" w:firstLine="360"/>
        <w:jc w:val="both"/>
        <w:rPr/>
      </w:pPr>
      <w:r>
        <w:rPr>
          <w:rFonts w:ascii="Times New Roman;serif" w:hAnsi="Times New Roman;serif"/>
          <w:b w:val="false"/>
          <w:color w:val="000000"/>
          <w:sz w:val="20"/>
        </w:rPr>
        <w:t>The guidance in ASU 2024-03</w:t>
      </w:r>
      <w:r>
        <w:rPr>
          <w:rFonts w:ascii="Times New Roman;serif" w:hAnsi="Times New Roman;serif"/>
          <w:b w:val="false"/>
          <w:i/>
          <w:color w:val="000000"/>
          <w:sz w:val="20"/>
        </w:rPr>
        <w:t>, Income Statement - Reporting Comprehensive Income - Expense Disaggregation Disclosures (Subtopic 220-40): Disaggregation of Income Statement Expenses</w:t>
      </w:r>
      <w:r>
        <w:rPr>
          <w:color w:val="000000"/>
        </w:rPr>
        <w:t xml:space="preserve"> </w:t>
      </w:r>
      <w:r>
        <w:rPr>
          <w:rFonts w:ascii="Times New Roman;serif" w:hAnsi="Times New Roman;serif"/>
          <w:b w:val="false"/>
          <w:color w:val="000000"/>
          <w:sz w:val="20"/>
        </w:rPr>
        <w:t>requires additional, disaggregated disclosure around certain income statement expense line items. This ASU is effective for fiscal years beginning after December 15, 2026 and interim periods beginning after December 15, 2027, although early adoption is permitted. The Company is in the process of evaluating the impact of this new guidance on the disclosures in its financial statements.</w:t>
      </w:r>
    </w:p>
    <w:p>
      <w:pPr>
        <w:pStyle w:val="TextBody"/>
        <w:bidi w:val="0"/>
        <w:spacing w:lineRule="auto" w:line="288" w:before="0" w:after="120"/>
        <w:ind w:left="0" w:right="0" w:firstLine="405"/>
        <w:jc w:val="both"/>
        <w:rPr/>
      </w:pPr>
      <w:r>
        <w:rPr>
          <w:rFonts w:ascii="Times New Roman;serif" w:hAnsi="Times New Roman;serif"/>
          <w:b w:val="false"/>
          <w:color w:val="000000"/>
          <w:sz w:val="20"/>
        </w:rPr>
        <w:t>The guidance in ASU 2025-06,</w:t>
      </w:r>
      <w:r>
        <w:rPr>
          <w:color w:val="000000"/>
        </w:rPr>
        <w:t xml:space="preserve"> </w:t>
      </w:r>
      <w:r>
        <w:rPr>
          <w:rFonts w:ascii="Times New Roman;serif" w:hAnsi="Times New Roman;serif"/>
          <w:b w:val="false"/>
          <w:i/>
          <w:color w:val="000000"/>
          <w:sz w:val="20"/>
        </w:rPr>
        <w:t xml:space="preserve">Intangibles-Goodwill and Other – Internal-Use Software (Subtopic 350-40): Targeted Improvements to the Accounting for Internal-Use Software </w:t>
      </w:r>
      <w:r>
        <w:rPr>
          <w:rFonts w:ascii="Times New Roman;serif" w:hAnsi="Times New Roman;serif"/>
          <w:b w:val="false"/>
          <w:color w:val="000000"/>
          <w:sz w:val="20"/>
        </w:rPr>
        <w:t>removes the concept of project stages and requires the capitalization of software costs when management has committed to funding the software project and it is probable that the project will be completed. This ASU is effective for fiscal years beginning after December 15, 2027, but early adoption is permitted as of the beginning of an annual reporting period. The Company is evaluating the impact of adopting this new guidance, but does not expect that the standard will have a material impact on our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ind w:left="0" w:right="0" w:hanging="360"/>
        <w:jc w:val="left"/>
        <w:rPr>
          <w:rFonts w:ascii="Times New Roman;serif" w:hAnsi="Times New Roman;serif"/>
          <w:b/>
          <w:color w:val="000000"/>
          <w:sz w:val="20"/>
        </w:rPr>
      </w:pPr>
      <w:r>
        <w:rPr>
          <w:rFonts w:ascii="Times New Roman;serif" w:hAnsi="Times New Roman;serif"/>
          <w:b/>
          <w:color w:val="000000"/>
          <w:sz w:val="20"/>
        </w:rPr>
        <w:t>2.    Discontinued Operations</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previously entered into a stock purchase agreement with Fleming Intermediate Holdings LLC, a Cayman Islands limited liability company (“Fleming”) pursuant to which Fleming agreed to purchase from the Company all of the common shares of JRG Reinsurance Company Ltd. (“JRG Re”). The sale of JRG Re, which previously comprised the remaining operations of the former Casualty Reinsurance segment, closed on April 16, 2024, and resulted in the disposition of the Company's casualty reinsurance business and related assets.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left"/>
        <w:rPr/>
      </w:pPr>
      <w:hyperlink w:anchor="i979e96abde144df8bdcdd49602e9d3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JAMES RIVER GROUP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determined that the sale of JRG Re represented a strategic shift that had a major effect on its operations. Accordingly, losses recognized on the disposal of JRG Re have been presented as discontinued operations for all periods presented in this interim report on Form 10-Q.</w:t>
      </w:r>
    </w:p>
    <w:p>
      <w:pPr>
        <w:pStyle w:val="TextBody"/>
        <w:bidi w:val="0"/>
        <w:spacing w:lineRule="auto" w:line="288" w:before="12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the loss on disposal of $149,000 reflects additional selling costs incurred by the Company related to the sale of JRG Re net of a tax benefit. For the three months ended March 31, 2025, the loss on disposal of $1.4 million included a final downward adjustment to the closing date purchase price plus interest of $520,000 and additional selling costs incurred by the Company related to the sale of JRG Re of $894,000.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3.    Investments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available-for-sale fixed maturity securities are summarized as follows:</w:t>
      </w:r>
    </w:p>
    <w:tbl>
      <w:tblPr>
        <w:tblW w:w="10205" w:type="dxa"/>
        <w:jc w:val="left"/>
        <w:tblInd w:w="0" w:type="dxa"/>
        <w:tblLayout w:type="fixed"/>
        <w:tblCellMar>
          <w:top w:w="28" w:type="dxa"/>
          <w:left w:w="28" w:type="dxa"/>
          <w:bottom w:w="28" w:type="dxa"/>
          <w:right w:w="28" w:type="dxa"/>
        </w:tblCellMar>
      </w:tblPr>
      <w:tblGrid>
        <w:gridCol w:w="1678"/>
        <w:gridCol w:w="1478"/>
        <w:gridCol w:w="1296"/>
        <w:gridCol w:w="211"/>
        <w:gridCol w:w="976"/>
        <w:gridCol w:w="109"/>
        <w:gridCol w:w="109"/>
        <w:gridCol w:w="109"/>
        <w:gridCol w:w="109"/>
        <w:gridCol w:w="211"/>
        <w:gridCol w:w="721"/>
        <w:gridCol w:w="109"/>
        <w:gridCol w:w="109"/>
        <w:gridCol w:w="109"/>
        <w:gridCol w:w="109"/>
        <w:gridCol w:w="211"/>
        <w:gridCol w:w="772"/>
        <w:gridCol w:w="109"/>
        <w:gridCol w:w="109"/>
        <w:gridCol w:w="109"/>
        <w:gridCol w:w="109"/>
        <w:gridCol w:w="211"/>
        <w:gridCol w:w="976"/>
        <w:gridCol w:w="156"/>
      </w:tblGrid>
      <w:tr>
        <w:trPr/>
        <w:tc>
          <w:tcPr>
            <w:tcW w:w="1678" w:type="dxa"/>
            <w:tcBorders/>
            <w:vAlign w:val="center"/>
          </w:tcPr>
          <w:p>
            <w:pPr>
              <w:pStyle w:val="TableContents"/>
              <w:bidi w:val="0"/>
              <w:spacing w:before="0" w:after="283"/>
              <w:jc w:val="left"/>
              <w:rPr>
                <w:sz w:val="4"/>
                <w:szCs w:val="4"/>
              </w:rPr>
            </w:pPr>
            <w:r>
              <w:rPr>
                <w:sz w:val="4"/>
                <w:szCs w:val="4"/>
              </w:rPr>
            </w:r>
          </w:p>
        </w:tc>
        <w:tc>
          <w:tcPr>
            <w:tcW w:w="1478"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4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or</w:t>
              <w:b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Gains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r>
      <w:tr>
        <w:trPr/>
        <w:tc>
          <w:tcPr>
            <w:tcW w:w="445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5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w:t>
            </w:r>
          </w:p>
        </w:tc>
      </w:tr>
      <w:tr>
        <w:trPr/>
        <w:tc>
          <w:tcPr>
            <w:tcW w:w="4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March 31, 2026</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maturity securities:</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45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State and municipal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224,455 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Residential mortgage-backed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466,820 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624,521 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606,439 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Commercial mortgage and asset-backed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121,745 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45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U.S. Treasury securities and obligations guaranteed by the U.S. government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maturity securities, available-for-sale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1,489,938 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(61,050)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1,434,375 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2025</w:t>
            </w:r>
          </w:p>
        </w:tc>
        <w:tc>
          <w:tcPr>
            <w:tcW w:w="129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maturity securities:</w:t>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45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State and municipal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219,477 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Residential mortgage-backed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483,074 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472,718 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577,754 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Commercial mortgage and asset-backed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45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U.S. Treasury securities and obligations guaranteed by the U.S. government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52"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44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maturity securities, available-for-sale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1,448,750 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(54,055)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1,404,774 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amortized cost and fair value of available-for-sale investments in fixed maturity securities at March 31, 2026 are summarized, by contractual maturity, as follows:</w:t>
      </w:r>
    </w:p>
    <w:tbl>
      <w:tblPr>
        <w:tblW w:w="6308" w:type="dxa"/>
        <w:jc w:val="left"/>
        <w:tblInd w:w="0" w:type="dxa"/>
        <w:tblLayout w:type="fixed"/>
        <w:tblCellMar>
          <w:top w:w="28" w:type="dxa"/>
          <w:left w:w="28" w:type="dxa"/>
          <w:bottom w:w="28" w:type="dxa"/>
          <w:right w:w="28" w:type="dxa"/>
        </w:tblCellMar>
      </w:tblPr>
      <w:tblGrid>
        <w:gridCol w:w="1205"/>
        <w:gridCol w:w="1062"/>
        <w:gridCol w:w="1077"/>
        <w:gridCol w:w="211"/>
        <w:gridCol w:w="976"/>
        <w:gridCol w:w="109"/>
        <w:gridCol w:w="109"/>
        <w:gridCol w:w="109"/>
        <w:gridCol w:w="109"/>
        <w:gridCol w:w="211"/>
        <w:gridCol w:w="976"/>
        <w:gridCol w:w="154"/>
      </w:tblGrid>
      <w:tr>
        <w:trPr/>
        <w:tc>
          <w:tcPr>
            <w:tcW w:w="1205" w:type="dxa"/>
            <w:tcBorders/>
            <w:vAlign w:val="center"/>
          </w:tcPr>
          <w:p>
            <w:pPr>
              <w:pStyle w:val="TableContents"/>
              <w:bidi w:val="0"/>
              <w:spacing w:before="0" w:after="283"/>
              <w:jc w:val="left"/>
              <w:rPr>
                <w:sz w:val="4"/>
                <w:szCs w:val="4"/>
              </w:rPr>
            </w:pPr>
            <w:r>
              <w:rPr>
                <w:sz w:val="4"/>
                <w:szCs w:val="4"/>
              </w:rPr>
            </w:r>
          </w:p>
        </w:tc>
        <w:tc>
          <w:tcPr>
            <w:tcW w:w="1062"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or</w:t>
              <w:br/>
              <w:t>Amortized</w:t>
              <w:br/>
              <w:t>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One year or less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After one year through five years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442,846 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433,282 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After five years through ten years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227,212 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After ten years</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152,785 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134,517 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mortgage-backed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466,820 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mortgage and asset-backed</w:t>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125,934 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121,745 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1,489,938 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1,434,375 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Actual maturities may differ for some securities because borrowers have the right to call or prepay obligations with or without penalties.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pPr>
      <w:hyperlink w:anchor="i979e96abde144df8bdcdd49602e9d3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JAMES RIVER GROUP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shows the Company’s gross unrealized losses and fair value for available-for-sale securities aggregated by investment category and the length of time that individual securities have been in a continuous unrealized loss position:</w:t>
      </w:r>
    </w:p>
    <w:tbl>
      <w:tblPr>
        <w:tblW w:w="10205" w:type="dxa"/>
        <w:jc w:val="left"/>
        <w:tblInd w:w="0" w:type="dxa"/>
        <w:tblLayout w:type="fixed"/>
        <w:tblCellMar>
          <w:top w:w="28" w:type="dxa"/>
          <w:left w:w="28" w:type="dxa"/>
          <w:bottom w:w="28" w:type="dxa"/>
          <w:right w:w="28" w:type="dxa"/>
        </w:tblCellMar>
      </w:tblPr>
      <w:tblGrid>
        <w:gridCol w:w="894"/>
        <w:gridCol w:w="621"/>
        <w:gridCol w:w="345"/>
        <w:gridCol w:w="211"/>
        <w:gridCol w:w="826"/>
        <w:gridCol w:w="109"/>
        <w:gridCol w:w="109"/>
        <w:gridCol w:w="109"/>
        <w:gridCol w:w="109"/>
        <w:gridCol w:w="211"/>
        <w:gridCol w:w="635"/>
        <w:gridCol w:w="109"/>
        <w:gridCol w:w="109"/>
        <w:gridCol w:w="109"/>
        <w:gridCol w:w="109"/>
        <w:gridCol w:w="211"/>
        <w:gridCol w:w="826"/>
        <w:gridCol w:w="109"/>
        <w:gridCol w:w="109"/>
        <w:gridCol w:w="109"/>
        <w:gridCol w:w="109"/>
        <w:gridCol w:w="211"/>
        <w:gridCol w:w="740"/>
        <w:gridCol w:w="109"/>
        <w:gridCol w:w="109"/>
        <w:gridCol w:w="109"/>
        <w:gridCol w:w="109"/>
        <w:gridCol w:w="211"/>
        <w:gridCol w:w="976"/>
        <w:gridCol w:w="109"/>
        <w:gridCol w:w="109"/>
        <w:gridCol w:w="109"/>
        <w:gridCol w:w="109"/>
        <w:gridCol w:w="211"/>
        <w:gridCol w:w="740"/>
        <w:gridCol w:w="156"/>
      </w:tblGrid>
      <w:tr>
        <w:trPr/>
        <w:tc>
          <w:tcPr>
            <w:tcW w:w="894" w:type="dxa"/>
            <w:tcBorders/>
            <w:vAlign w:val="center"/>
          </w:tcPr>
          <w:p>
            <w:pPr>
              <w:pStyle w:val="TableContents"/>
              <w:bidi w:val="0"/>
              <w:spacing w:before="0" w:after="283"/>
              <w:jc w:val="left"/>
              <w:rPr>
                <w:sz w:val="4"/>
                <w:szCs w:val="4"/>
              </w:rPr>
            </w:pPr>
            <w:r>
              <w:rPr>
                <w:sz w:val="4"/>
                <w:szCs w:val="4"/>
              </w:rPr>
            </w:r>
          </w:p>
        </w:tc>
        <w:tc>
          <w:tcPr>
            <w:tcW w:w="621"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Less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12 Months or More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Unrealized</w:t>
              <w:br/>
              <w:t>Losses</w:t>
            </w:r>
          </w:p>
        </w:tc>
      </w:tr>
      <w:tr>
        <w:trPr/>
        <w:tc>
          <w:tcPr>
            <w:tcW w:w="186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45"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w:t>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March 31, 2026</w:t>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maturity securities: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municipal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mortgage-backed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189,307 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310,108 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(15,387)</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189,892 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(20,811)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mortgage and asset-backed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U.S. Treasury securities and obligations guaranteed by the U.S. government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maturity securities, available-for-sale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460,884 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552,064 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1,012,948 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(61,050)</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December 31, 2025</w:t>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maturity securities: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municipal</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179,071 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mortgage-backed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276,145 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mortgage and asset-backed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U.S. Treasury securities and obligations guaranteed by the U.S. government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6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r>
      <w:tr>
        <w:trPr/>
        <w:tc>
          <w:tcPr>
            <w:tcW w:w="18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maturity securities, available-for-sale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159,643 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621,814 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(53,229)</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781,457 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(54,055)</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both"/>
        <w:rPr>
          <w:color w:val="000000"/>
        </w:rPr>
      </w:pPr>
      <w:r>
        <w:rPr>
          <w:color w:val="000000"/>
        </w:rPr>
        <w:t>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March 31, 2026, the Company held fixed maturity securities of 461 issuers that were in an unrealized loss position with a total fair value of $1,012.9 million and gross unrealized losses of $61.1 million. None of the fixed maturity securities with unrealized losses has ever missed, or been delinquent on a scheduled principal or interest payment. At March 31, 2026, 100.0% of the Company’s fixed maturity security portfolio was rated “BBB-” or better (“investment grade”) by Standard &amp; Poor’s or received an equivalent rating from another nationally recognized rating agency.</w:t>
      </w:r>
    </w:p>
    <w:p>
      <w:pPr>
        <w:pStyle w:val="TextBody"/>
        <w:bidi w:val="0"/>
        <w:spacing w:lineRule="auto" w:line="288" w:before="0" w:after="120"/>
        <w:ind w:left="0" w:right="0" w:firstLine="360"/>
        <w:jc w:val="both"/>
        <w:rPr/>
      </w:pPr>
      <w:r>
        <w:rPr>
          <w:rFonts w:ascii="Times New Roman;serif" w:hAnsi="Times New Roman;serif"/>
          <w:b w:val="false"/>
          <w:color w:val="231F20"/>
          <w:sz w:val="20"/>
        </w:rPr>
        <w:t>The Company periodically reviews its available-for-sale fixed maturities to determine whether any unrealized losses exist that are due to credit-related factors. An allowance for credit losses is established for any credit-related impairments, limited to the amount by which fair value is below amortized cost. Changes in the allowance for credit losses are recognized in earnings and included in n</w:t>
      </w:r>
      <w:r>
        <w:rPr>
          <w:rFonts w:ascii="Times New Roman;serif" w:hAnsi="Times New Roman;serif"/>
          <w:b w:val="false"/>
          <w:color w:val="000000"/>
          <w:sz w:val="20"/>
        </w:rPr>
        <w:t>et realized and unrealized gains (losses) on investments</w:t>
      </w:r>
      <w:r>
        <w:rPr>
          <w:rFonts w:ascii="Times New Roman;serif" w:hAnsi="Times New Roman;serif"/>
          <w:b w:val="false"/>
          <w:color w:val="231F20"/>
          <w:sz w:val="20"/>
        </w:rPr>
        <w:t>. Unrealized losses that are not credit-related are recognized in other comprehensive income.</w:t>
      </w:r>
    </w:p>
    <w:p>
      <w:pPr>
        <w:pStyle w:val="TextBody"/>
        <w:bidi w:val="0"/>
        <w:spacing w:lineRule="auto" w:line="288" w:before="0" w:after="120"/>
        <w:ind w:left="0" w:right="0" w:firstLine="360"/>
        <w:jc w:val="both"/>
        <w:rPr/>
      </w:pPr>
      <w:r>
        <w:rPr>
          <w:rFonts w:ascii="Times New Roman;serif" w:hAnsi="Times New Roman;serif"/>
          <w:b w:val="false"/>
          <w:color w:val="000000"/>
          <w:sz w:val="20"/>
        </w:rPr>
        <w:t xml:space="preserve">The Company considers the extent to which fair value is below amortized cost in determining whether a credit-related loss exists. The Company also considers the credit quality rating of the security, with a special emphasis on securities downgraded below investment grade. A comparison is made between the present value of expected future cash flows for a security and its amortized cost. If the present value of future expected cash flows is less than amortized cost, a credit loss is presumed to exist and an allowance for credit losses is established. Management may conclude that a qualitative analysis is sufficient to support its conclusion that the present value of the expected cash flows equals or exceeds a security’s amortized cost. As a result of this review, management concluded that there were no credit-related impairments of fixed maturity securities at March 31, 2026, December 31, 2025, or March 31, 2025. For securities in an unrealized loss position at March 31, 2026, management does not intend to sell the securities, and </w:t>
      </w:r>
      <w:r>
        <w:rPr>
          <w:rFonts w:ascii="Times New Roman;serif" w:hAnsi="Times New Roman;serif"/>
          <w:b w:val="false"/>
          <w:color w:val="231F20"/>
          <w:sz w:val="20"/>
        </w:rPr>
        <w:t>it is not “more likely than not” that the Company will be required to sell these securities before a recovery in their value to their amortized cost basis occurs.</w:t>
      </w:r>
    </w:p>
    <w:p>
      <w:pPr>
        <w:pStyle w:val="TextBody"/>
        <w:bidi w:val="0"/>
        <w:spacing w:lineRule="auto" w:line="288" w:before="0" w:after="120"/>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elected the fair value option to account for bank loan participations. Under the fair value option, bank loan participations are measured at fair value, and changes in unrealized gains and losses in bank loan participations are reported in the income statement as net realized and unrealized gains (losses) on investments. Applying the fair value option to the bank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left"/>
        <w:rPr/>
      </w:pPr>
      <w:hyperlink w:anchor="i979e96abde144df8bdcdd49602e9d3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JAMES RIVER GROUP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loan portfolio increases volatility in the Company's financial statements, but management believes it is less subjective and less burdensome to implement and maintain than ASU 2016-13, which would have otherwise been required. </w:t>
      </w:r>
    </w:p>
    <w:p>
      <w:pPr>
        <w:pStyle w:val="TextBody"/>
        <w:bidi w:val="0"/>
        <w:spacing w:lineRule="auto" w:line="288" w:before="0" w:after="120"/>
        <w:ind w:left="0" w:right="0" w:firstLine="360"/>
        <w:jc w:val="both"/>
        <w:rPr/>
      </w:pPr>
      <w:r>
        <w:rPr>
          <w:rFonts w:ascii="Times New Roman;serif" w:hAnsi="Times New Roman;serif"/>
          <w:b w:val="false"/>
          <w:color w:val="231F20"/>
          <w:sz w:val="20"/>
        </w:rPr>
        <w:t xml:space="preserve">At March 31, 2026, the Company's bank loan portfolio had an aggregate fair value of $153.3 million and unpaid principal of </w:t>
      </w:r>
      <w:r>
        <w:rPr>
          <w:rFonts w:ascii="Times New Roman;serif" w:hAnsi="Times New Roman;serif"/>
          <w:b w:val="false"/>
          <w:color w:val="000000"/>
          <w:sz w:val="20"/>
        </w:rPr>
        <w:t xml:space="preserve">$163.4 million. </w:t>
      </w:r>
      <w:r>
        <w:rPr>
          <w:rFonts w:ascii="Times New Roman;serif" w:hAnsi="Times New Roman;serif"/>
          <w:b w:val="false"/>
          <w:color w:val="231F20"/>
          <w:sz w:val="20"/>
        </w:rPr>
        <w:t xml:space="preserve">Investment income on bank loan participations included in net investment income was $3.0 million and </w:t>
      </w:r>
      <w:r>
        <w:rPr>
          <w:rFonts w:ascii="Times New Roman;serif" w:hAnsi="Times New Roman;serif"/>
          <w:b w:val="false"/>
          <w:color w:val="000000"/>
          <w:sz w:val="20"/>
        </w:rPr>
        <w:t xml:space="preserve">$3.2 million </w:t>
      </w:r>
      <w:r>
        <w:rPr>
          <w:rFonts w:ascii="Times New Roman;serif" w:hAnsi="Times New Roman;serif"/>
          <w:b w:val="false"/>
          <w:color w:val="231F20"/>
          <w:sz w:val="20"/>
        </w:rPr>
        <w:t xml:space="preserve">for the </w:t>
      </w:r>
      <w:r>
        <w:rPr>
          <w:rFonts w:ascii="Times New Roman;serif" w:hAnsi="Times New Roman;serif"/>
          <w:b w:val="false"/>
          <w:color w:val="000000"/>
          <w:sz w:val="20"/>
        </w:rPr>
        <w:t>three</w:t>
      </w:r>
      <w:r>
        <w:rPr>
          <w:color w:val="231F20"/>
        </w:rPr>
        <w:t xml:space="preserve"> </w:t>
      </w:r>
      <w:r>
        <w:rPr>
          <w:rFonts w:ascii="Times New Roman;serif" w:hAnsi="Times New Roman;serif"/>
          <w:b w:val="false"/>
          <w:color w:val="231F20"/>
          <w:sz w:val="20"/>
        </w:rPr>
        <w:t>months ended March 31, 2026 and 2025, respectively.</w:t>
      </w:r>
      <w:r>
        <w:rPr>
          <w:color w:val="000000"/>
        </w:rPr>
        <w:t xml:space="preserve"> </w:t>
      </w:r>
      <w:r>
        <w:rPr>
          <w:rFonts w:ascii="Times New Roman;serif" w:hAnsi="Times New Roman;serif"/>
          <w:b w:val="false"/>
          <w:color w:val="231F20"/>
          <w:sz w:val="20"/>
        </w:rPr>
        <w:t xml:space="preserve">Net realized and unrealized losses on bank loan participations were </w:t>
      </w:r>
      <w:r>
        <w:rPr>
          <w:rFonts w:ascii="Times New Roman;serif" w:hAnsi="Times New Roman;serif"/>
          <w:b w:val="false"/>
          <w:color w:val="000000"/>
          <w:sz w:val="20"/>
        </w:rPr>
        <w:t xml:space="preserve">$4.9 million and $2.3 million </w:t>
      </w:r>
      <w:r>
        <w:rPr>
          <w:rFonts w:ascii="Times New Roman;serif" w:hAnsi="Times New Roman;serif"/>
          <w:b w:val="false"/>
          <w:color w:val="231F20"/>
          <w:sz w:val="20"/>
        </w:rPr>
        <w:t xml:space="preserve">for the </w:t>
      </w:r>
      <w:r>
        <w:rPr>
          <w:rFonts w:ascii="Times New Roman;serif" w:hAnsi="Times New Roman;serif"/>
          <w:b w:val="false"/>
          <w:color w:val="000000"/>
          <w:sz w:val="20"/>
        </w:rPr>
        <w:t>three</w:t>
      </w:r>
      <w:r>
        <w:rPr>
          <w:color w:val="231F20"/>
        </w:rPr>
        <w:t xml:space="preserve"> </w:t>
      </w:r>
      <w:r>
        <w:rPr>
          <w:rFonts w:ascii="Times New Roman;serif" w:hAnsi="Times New Roman;serif"/>
          <w:b w:val="false"/>
          <w:color w:val="231F20"/>
          <w:sz w:val="20"/>
        </w:rPr>
        <w:t xml:space="preserve">months ended March 31, 2026 and 2025, respectively. Management concluded that </w:t>
      </w:r>
      <w:r>
        <w:rPr>
          <w:rFonts w:ascii="Times New Roman;serif" w:hAnsi="Times New Roman;serif"/>
          <w:b w:val="false"/>
          <w:color w:val="000000"/>
          <w:sz w:val="20"/>
        </w:rPr>
        <w:t xml:space="preserve">$256,000 </w:t>
      </w:r>
      <w:r>
        <w:rPr>
          <w:rFonts w:ascii="Times New Roman;serif" w:hAnsi="Times New Roman;serif"/>
          <w:b w:val="false"/>
          <w:color w:val="231F20"/>
          <w:sz w:val="20"/>
        </w:rPr>
        <w:t xml:space="preserve">of the net realized and unrealized losses were due to credit-related impairments for the </w:t>
      </w:r>
      <w:r>
        <w:rPr>
          <w:rFonts w:ascii="Times New Roman;serif" w:hAnsi="Times New Roman;serif"/>
          <w:b w:val="false"/>
          <w:color w:val="000000"/>
          <w:sz w:val="20"/>
        </w:rPr>
        <w:t xml:space="preserve">three months ended </w:t>
      </w:r>
      <w:r>
        <w:rPr>
          <w:rFonts w:ascii="Times New Roman;serif" w:hAnsi="Times New Roman;serif"/>
          <w:b w:val="false"/>
          <w:color w:val="231F20"/>
          <w:sz w:val="20"/>
        </w:rPr>
        <w:t>March 31, 2026.</w:t>
      </w:r>
      <w:r>
        <w:rPr>
          <w:color w:val="000000"/>
        </w:rPr>
        <w:t xml:space="preserve"> </w:t>
      </w:r>
      <w:r>
        <w:rPr>
          <w:rFonts w:ascii="Times New Roman;serif" w:hAnsi="Times New Roman;serif"/>
          <w:b w:val="false"/>
          <w:color w:val="231F20"/>
          <w:sz w:val="20"/>
        </w:rPr>
        <w:t xml:space="preserve">As of </w:t>
      </w:r>
      <w:r>
        <w:rPr>
          <w:rFonts w:ascii="Times New Roman;serif" w:hAnsi="Times New Roman;serif"/>
          <w:b w:val="false"/>
          <w:color w:val="000000"/>
          <w:sz w:val="20"/>
        </w:rPr>
        <w:t xml:space="preserve">March 31, 2025, management concluded that the unrealized losses of one bank loan issuer were due to a credit-related impairment. </w:t>
      </w:r>
      <w:r>
        <w:rPr>
          <w:rFonts w:ascii="Times New Roman;serif" w:hAnsi="Times New Roman;serif"/>
          <w:b w:val="false"/>
          <w:color w:val="231F20"/>
          <w:sz w:val="20"/>
        </w:rPr>
        <w:t>Losses due to credit-related impairments are determined based upon consultations and advice from the Company's specialized investment manager and consideration of any adverse situations that could affect the borrower's ability to repay, the estimated value of underlying collateral, and other relevant factors.</w:t>
      </w:r>
    </w:p>
    <w:p>
      <w:pPr>
        <w:pStyle w:val="TextBody"/>
        <w:bidi w:val="0"/>
        <w:spacing w:lineRule="auto" w:line="288" w:before="0" w:after="12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Bank loan participations generally provide a higher yield than our portfolio of fixed maturities and have a credit rating that is below investment grade (i.e. below “BBB-” for Standard &amp; Poor’s) at the date of purchase. These bank loans are primarily senior, secured floating-rate debt rated “BB”, “B”, or “CCC” by Standard &amp; Poor’s or an equivalent rating from another nationally recognized rating agency. These bank loans include assignments of, and participations in, performing and non-performing senior corporate debt generally acquired through primary bank syndications and in secondary markets. Bank loans consist of, but are not limited to, term loans, the funded and unfunded portions of revolving credit loans, and other similar loans and investments. Management believed that it was probable at the time that these loans were acquired that the Company would be able to collect all contractually required payments receivable.</w:t>
      </w:r>
    </w:p>
    <w:p>
      <w:pPr>
        <w:pStyle w:val="TextBody"/>
        <w:bidi w:val="0"/>
        <w:spacing w:lineRule="auto" w:line="288" w:before="0" w:after="12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Interest income on bank loan participations is accrued on the unpaid principal balance, and discounts and premiums on bank loan participations are amortized to income using the interest method. Generally, the accrual of interest on a bank loan participation is discontinued when the contractual payment of principal or interest has become 90 days past due or management has serious doubts about further collectability of principal or interest. A bank loan participation may remain on accrual status if it is in the process of collection and is either guaranteed or well secured. Generally, bank loan participations are restored to accrual status when the obligation is brought current, has performed in accordance with the contractual terms for a reasonable period of time, and the ultimate collectability of the total contractual principal and interest is no longer in doubt. Interest received on nonaccrual loans generally is reported as investment income. There were no bank loans on nonaccrual status at March 31, 2026 or December 31,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left"/>
        <w:rPr/>
      </w:pPr>
      <w:hyperlink w:anchor="i979e96abde144df8bdcdd49602e9d3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JAMES RIVER GROUP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net realized and unrealized gains and losses on investments are summarized as follows:</w:t>
      </w:r>
    </w:p>
    <w:tbl>
      <w:tblPr>
        <w:tblW w:w="8033" w:type="dxa"/>
        <w:jc w:val="left"/>
        <w:tblInd w:w="0" w:type="dxa"/>
        <w:tblLayout w:type="fixed"/>
        <w:tblCellMar>
          <w:top w:w="28" w:type="dxa"/>
          <w:left w:w="28" w:type="dxa"/>
          <w:bottom w:w="28" w:type="dxa"/>
          <w:right w:w="28" w:type="dxa"/>
        </w:tblCellMar>
      </w:tblPr>
      <w:tblGrid>
        <w:gridCol w:w="1749"/>
        <w:gridCol w:w="1538"/>
        <w:gridCol w:w="1542"/>
        <w:gridCol w:w="109"/>
        <w:gridCol w:w="109"/>
        <w:gridCol w:w="142"/>
        <w:gridCol w:w="142"/>
        <w:gridCol w:w="275"/>
        <w:gridCol w:w="902"/>
        <w:gridCol w:w="142"/>
        <w:gridCol w:w="109"/>
        <w:gridCol w:w="109"/>
        <w:gridCol w:w="109"/>
        <w:gridCol w:w="211"/>
        <w:gridCol w:w="691"/>
        <w:gridCol w:w="154"/>
      </w:tblGrid>
      <w:tr>
        <w:trPr/>
        <w:tc>
          <w:tcPr>
            <w:tcW w:w="1749"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5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383" w:type="dxa"/>
            <w:gridSpan w:val="6"/>
            <w:tcBorders/>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31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0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w:t>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maturity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realized gains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realized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 loan participations: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realized gains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1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realized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values of bank loan participations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17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(3,564)</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(4,897)</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319"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realized gains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realized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1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values of equity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(1,770)</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(1,770)</w:t>
            </w:r>
          </w:p>
        </w:tc>
        <w:tc>
          <w:tcPr>
            <w:tcW w:w="14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918 </w:t>
            </w:r>
          </w:p>
        </w:tc>
        <w:tc>
          <w:tcPr>
            <w:tcW w:w="154"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realized gains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1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realized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fair values of short-term investments and other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17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(6,632)</w:t>
            </w:r>
          </w:p>
        </w:tc>
        <w:tc>
          <w:tcPr>
            <w:tcW w:w="142"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9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Realized investment gains or losses are determined on a specific identification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left"/>
        <w:rPr/>
      </w:pPr>
      <w:hyperlink w:anchor="i979e96abde144df8bdcdd49602e9d3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JAMES RIVER GROUP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invests selectively in private debt and equity opportunities. These investments, which together comprise the Company’s other invested assets, are primarily focused in renewable energy, limited partnerships, and private debt.</w:t>
      </w:r>
    </w:p>
    <w:tbl>
      <w:tblPr>
        <w:tblW w:w="8589" w:type="dxa"/>
        <w:jc w:val="left"/>
        <w:tblInd w:w="0" w:type="dxa"/>
        <w:tblLayout w:type="fixed"/>
        <w:tblCellMar>
          <w:top w:w="28" w:type="dxa"/>
          <w:left w:w="28" w:type="dxa"/>
          <w:bottom w:w="28" w:type="dxa"/>
          <w:right w:w="28" w:type="dxa"/>
        </w:tblCellMar>
      </w:tblPr>
      <w:tblGrid>
        <w:gridCol w:w="864"/>
        <w:gridCol w:w="759"/>
        <w:gridCol w:w="761"/>
        <w:gridCol w:w="211"/>
        <w:gridCol w:w="721"/>
        <w:gridCol w:w="109"/>
        <w:gridCol w:w="109"/>
        <w:gridCol w:w="109"/>
        <w:gridCol w:w="109"/>
        <w:gridCol w:w="222"/>
        <w:gridCol w:w="759"/>
        <w:gridCol w:w="114"/>
        <w:gridCol w:w="109"/>
        <w:gridCol w:w="109"/>
        <w:gridCol w:w="109"/>
        <w:gridCol w:w="109"/>
        <w:gridCol w:w="109"/>
        <w:gridCol w:w="151"/>
        <w:gridCol w:w="151"/>
        <w:gridCol w:w="293"/>
        <w:gridCol w:w="857"/>
        <w:gridCol w:w="151"/>
        <w:gridCol w:w="109"/>
        <w:gridCol w:w="109"/>
        <w:gridCol w:w="109"/>
        <w:gridCol w:w="211"/>
        <w:gridCol w:w="466"/>
        <w:gridCol w:w="109"/>
        <w:gridCol w:w="109"/>
        <w:gridCol w:w="109"/>
        <w:gridCol w:w="109"/>
        <w:gridCol w:w="154"/>
      </w:tblGrid>
      <w:tr>
        <w:trPr/>
        <w:tc>
          <w:tcPr>
            <w:tcW w:w="864"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41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Investment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3" w:type="dxa"/>
            <w:gridSpan w:val="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30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15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w:t>
            </w:r>
          </w:p>
        </w:tc>
        <w:tc>
          <w:tcPr>
            <w:tcW w:w="151" w:type="dxa"/>
            <w:tcBorders/>
            <w:vAlign w:val="center"/>
          </w:tcPr>
          <w:p>
            <w:pPr>
              <w:pStyle w:val="TableContents"/>
              <w:bidi w:val="0"/>
              <w:spacing w:before="0" w:after="283"/>
              <w:jc w:val="left"/>
              <w:rPr>
                <w:sz w:val="4"/>
                <w:szCs w:val="4"/>
              </w:rPr>
            </w:pPr>
            <w:r>
              <w:rPr>
                <w:sz w:val="4"/>
                <w:szCs w:val="4"/>
              </w:rPr>
            </w:r>
          </w:p>
        </w:tc>
        <w:tc>
          <w:tcPr>
            <w:tcW w:w="13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Renewable energy LLCs </w:t>
            </w:r>
            <w:r>
              <w:rPr>
                <w:rFonts w:ascii="Times New Roman;serif" w:hAnsi="Times New Roman;serif"/>
                <w:b w:val="false"/>
                <w:i/>
                <w:color w:val="000000"/>
                <w:sz w:val="20"/>
              </w:rPr>
              <w:t>(a)</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3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&amp; Surplus Lines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&amp;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7,274 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Limited partnerships </w:t>
            </w:r>
            <w:r>
              <w:rPr>
                <w:rFonts w:ascii="Times New Roman;serif" w:hAnsi="Times New Roman;serif"/>
                <w:b w:val="false"/>
                <w:i/>
                <w:color w:val="000000"/>
                <w:sz w:val="20"/>
              </w:rPr>
              <w:t>(b)</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3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&amp; Surplus Lines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&amp;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Private Debt </w:t>
            </w:r>
            <w:r>
              <w:rPr>
                <w:rFonts w:ascii="Times New Roman;serif" w:hAnsi="Times New Roman;serif"/>
                <w:b w:val="false"/>
                <w:i/>
                <w:color w:val="000000"/>
                <w:sz w:val="20"/>
              </w:rPr>
              <w:t>(c)</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3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&amp; Surplus Lines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43,401 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&amp;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43,401 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671 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invested assets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3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&amp; Surplus Lines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63,783 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&amp; 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64,152 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120"/>
        <w:ind w:left="0" w:right="0" w:hanging="360"/>
        <w:jc w:val="both"/>
        <w:rPr/>
      </w:pPr>
      <w:r>
        <w:rPr>
          <w:rFonts w:ascii="Times New Roman;serif" w:hAnsi="Times New Roman;serif"/>
          <w:b w:val="false"/>
          <w:color w:val="231F20"/>
          <w:sz w:val="20"/>
        </w:rPr>
        <w:t>(a)</w:t>
      </w:r>
      <w:r>
        <w:rPr>
          <w:rFonts w:ascii="Times New Roman;serif" w:hAnsi="Times New Roman;serif"/>
          <w:b w:val="false"/>
          <w:color w:val="000000"/>
          <w:sz w:val="20"/>
        </w:rPr>
        <w:t>The Company's Excess &amp; Surplus Lines segment owns equity interests ranging from 3.6% to 5.1% in various LLCs whose principal objective is capital appreciation and income generation from owning and operating renewable energy production facilities (wind and solar). The equity method is used to account for the Company’s LLC investments. Income for the LLCs primarily reflects adjustments to the carrying values of investments in renewable energy projects to their determined fair values. The fair value adjustments are included in revenues for the LLCs. Expenses for the LLCs are not significant and are comprised of administrative and interest expenses. The Company received cash distributions from these investments totaling $50,000 and $48,000 in the three months ended March 31, 2026 and 2025, respectively.</w:t>
      </w:r>
    </w:p>
    <w:p>
      <w:pPr>
        <w:pStyle w:val="TextBody"/>
        <w:bidi w:val="0"/>
        <w:spacing w:lineRule="auto" w:line="276" w:before="0" w:after="120"/>
        <w:ind w:left="0" w:right="0" w:hanging="360"/>
        <w:jc w:val="both"/>
        <w:rPr/>
      </w:pPr>
      <w:r>
        <w:rPr>
          <w:rFonts w:ascii="Times New Roman;serif" w:hAnsi="Times New Roman;serif"/>
          <w:b w:val="false"/>
          <w:color w:val="000000"/>
          <w:sz w:val="20"/>
        </w:rPr>
        <w:t xml:space="preserve">(b)    The Company owns investments in limited partnerships that invest in concentrated portfolios including publicly-traded small cap equities, loans of middle market private equity sponsored companies, private equity general partnership interests, commercial mortgage-backed securities, specialty private credit, and tranches of distressed home loans. </w:t>
      </w:r>
      <w:r>
        <w:rPr>
          <w:rFonts w:ascii="Times New Roman;serif" w:hAnsi="Times New Roman;serif"/>
          <w:b w:val="false"/>
          <w:color w:val="231F20"/>
          <w:sz w:val="20"/>
        </w:rPr>
        <w:t>Income f</w:t>
      </w:r>
      <w:r>
        <w:rPr>
          <w:rFonts w:ascii="Times New Roman;serif" w:hAnsi="Times New Roman;serif"/>
          <w:b w:val="false"/>
          <w:color w:val="000000"/>
          <w:sz w:val="20"/>
        </w:rPr>
        <w:t>rom the partnerships is recognized under the equity method of accounting. At March 31, 2026, the Company’s Excess &amp; Surplus Lines segment has outstanding commitments to invest another $11.1 million in the limited partnerships.</w:t>
      </w:r>
    </w:p>
    <w:p>
      <w:pPr>
        <w:pStyle w:val="TextBody"/>
        <w:bidi w:val="0"/>
        <w:spacing w:lineRule="auto" w:line="288" w:before="0" w:after="12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(c)    The Company's Excess &amp; Surplus Lines segment has invested in ten notes receivable for structured private credit. Interest on two notes maturing in 2031 is fixed at 4.25% and 5.25%. Interest on two notes maturing in 2035 is fixed at 6.50% and 8.00%. Interest on three notes maturing in 2035 is fixed at 6.00%, 7.00%, and 8.00%. Interest on three notes maturing in 2064 is fixed at 6.79%, 8.04%, and 9.04%. At March 31, 2026, the Company’s Excess &amp; Surplus Lines segment has outstanding commitments to invest another $78.3 million in these notes.</w:t>
      </w:r>
    </w:p>
    <w:p>
      <w:pPr>
        <w:pStyle w:val="TextBody"/>
        <w:bidi w:val="0"/>
        <w:spacing w:lineRule="auto" w:line="288" w:before="0" w:after="120"/>
        <w:ind w:left="0" w:right="0" w:firstLine="360"/>
        <w:jc w:val="both"/>
        <w:rPr/>
      </w:pPr>
      <w:r>
        <w:rPr>
          <w:rFonts w:ascii="Times New Roman;serif" w:hAnsi="Times New Roman;serif"/>
          <w:b w:val="false"/>
          <w:color w:val="231F20"/>
          <w:sz w:val="20"/>
        </w:rPr>
        <w:t>On</w:t>
      </w:r>
      <w:r>
        <w:rPr>
          <w:color w:val="000000"/>
        </w:rPr>
        <w:t xml:space="preserve"> </w:t>
      </w:r>
      <w:r>
        <w:rPr>
          <w:rFonts w:ascii="Times New Roman;serif" w:hAnsi="Times New Roman;serif"/>
          <w:b w:val="false"/>
          <w:color w:val="000000"/>
          <w:sz w:val="20"/>
        </w:rPr>
        <w:t>April 10, 2025, the Company entered into an investment agreement with Sixth Street, the parent of Enstar Group Limited (“Enstar”). Pursuant to the agreement, the Company's Excess &amp; Surplus Lines segment has invested $825,000 and $10.9 million within limited partnerships and collateralized notes receivable for structured private credit, respectively, at March 31, 2026. During the three months ended March 31, 2026, the Company earned investment income of $204,000 from the investment and has outstanding commitments to invest another $63.1 million in the investment at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4.    Goodwill and Intangible Assets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December 11, 2007, the Company completed an acquisition of James River Group by acquiring 100% of the outstanding shares of James River Group common stock, referred to herein as the “Merger”. The transaction was accounted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left"/>
        <w:rPr/>
      </w:pPr>
      <w:hyperlink w:anchor="i979e96abde144df8bdcdd49602e9d3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JAMES RIVER GROUP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under the purchase method of accounting, and goodwill and intangible assets were recognized by the Company as a result of the transaction. Goodwill resulting from the Merger was $181.8 million at March 31, 2026 and December 31, 2025.</w:t>
      </w:r>
    </w:p>
    <w:p>
      <w:pPr>
        <w:pStyle w:val="TextBody"/>
        <w:bidi w:val="0"/>
        <w:spacing w:lineRule="auto" w:line="288"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gross carrying amounts and accumulated amortization for each major specifically identifiable intangible asset class were as follows: </w:t>
      </w:r>
    </w:p>
    <w:tbl>
      <w:tblPr>
        <w:tblW w:w="10205" w:type="dxa"/>
        <w:jc w:val="left"/>
        <w:tblInd w:w="0" w:type="dxa"/>
        <w:tblLayout w:type="fixed"/>
        <w:tblCellMar>
          <w:top w:w="28" w:type="dxa"/>
          <w:left w:w="28" w:type="dxa"/>
          <w:bottom w:w="28" w:type="dxa"/>
          <w:right w:w="28" w:type="dxa"/>
        </w:tblCellMar>
      </w:tblPr>
      <w:tblGrid>
        <w:gridCol w:w="1414"/>
        <w:gridCol w:w="1142"/>
        <w:gridCol w:w="1149"/>
        <w:gridCol w:w="299"/>
        <w:gridCol w:w="299"/>
        <w:gridCol w:w="303"/>
        <w:gridCol w:w="109"/>
        <w:gridCol w:w="109"/>
        <w:gridCol w:w="109"/>
        <w:gridCol w:w="211"/>
        <w:gridCol w:w="721"/>
        <w:gridCol w:w="109"/>
        <w:gridCol w:w="109"/>
        <w:gridCol w:w="109"/>
        <w:gridCol w:w="109"/>
        <w:gridCol w:w="243"/>
        <w:gridCol w:w="711"/>
        <w:gridCol w:w="127"/>
        <w:gridCol w:w="109"/>
        <w:gridCol w:w="109"/>
        <w:gridCol w:w="109"/>
        <w:gridCol w:w="211"/>
        <w:gridCol w:w="721"/>
        <w:gridCol w:w="109"/>
        <w:gridCol w:w="109"/>
        <w:gridCol w:w="109"/>
        <w:gridCol w:w="109"/>
        <w:gridCol w:w="242"/>
        <w:gridCol w:w="707"/>
        <w:gridCol w:w="179"/>
      </w:tblGrid>
      <w:tr>
        <w:trPr/>
        <w:tc>
          <w:tcPr>
            <w:tcW w:w="1414" w:type="dxa"/>
            <w:tcBorders/>
            <w:vAlign w:val="center"/>
          </w:tcPr>
          <w:p>
            <w:pPr>
              <w:pStyle w:val="TableContents"/>
              <w:bidi w:val="0"/>
              <w:spacing w:before="0" w:after="283"/>
              <w:jc w:val="left"/>
              <w:rPr>
                <w:sz w:val="4"/>
                <w:szCs w:val="4"/>
              </w:rPr>
            </w:pPr>
            <w:r>
              <w:rPr>
                <w:sz w:val="4"/>
                <w:szCs w:val="4"/>
              </w:rPr>
            </w:r>
          </w:p>
        </w:tc>
        <w:tc>
          <w:tcPr>
            <w:tcW w:w="1142" w:type="dxa"/>
            <w:tcBorders/>
            <w:vAlign w:val="center"/>
          </w:tcPr>
          <w:p>
            <w:pPr>
              <w:pStyle w:val="TableContents"/>
              <w:bidi w:val="0"/>
              <w:spacing w:before="0" w:after="283"/>
              <w:jc w:val="left"/>
              <w:rPr>
                <w:sz w:val="4"/>
                <w:szCs w:val="4"/>
              </w:rPr>
            </w:pPr>
            <w:r>
              <w:rPr>
                <w:sz w:val="4"/>
                <w:szCs w:val="4"/>
              </w:rPr>
            </w:r>
          </w:p>
        </w:tc>
        <w:tc>
          <w:tcPr>
            <w:tcW w:w="114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Life</w:t>
              <w:br/>
              <w:t>(Years)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w:t>
              <w:br/>
              <w:t>Carrying</w:t>
              <w:br/>
              <w:t>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w:t>
              <w:br/>
              <w:t>Amortization</w:t>
            </w:r>
          </w:p>
        </w:tc>
      </w:tr>
      <w:tr>
        <w:trPr/>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 in thousands)</w:t>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Intangible Assets</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Trademarks</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Indefinite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Insurance licenses and authorities</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Indefinite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Identifiable intangible assets not subject to amortization</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Broker relationships</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24.6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8,279 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8,188 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Identifiable intangible assets subject to amortization</w:t>
            </w:r>
          </w:p>
        </w:tc>
        <w:tc>
          <w:tcPr>
            <w:tcW w:w="9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8,279 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8,188 </w:t>
            </w:r>
          </w:p>
        </w:tc>
        <w:tc>
          <w:tcPr>
            <w:tcW w:w="17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8,279 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40,275 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8,188 </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pPr>
      <w:hyperlink w:anchor="i979e96abde144df8bdcdd49602e9d3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JAMES RIVER GROUP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5.    Earnings Per Share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represents a reconciliation of the numerator and denominator of the basic and diluted earnings per common share computations contained in the condensed consolidated financial statements:</w:t>
      </w:r>
    </w:p>
    <w:tbl>
      <w:tblPr>
        <w:tblW w:w="10205" w:type="dxa"/>
        <w:jc w:val="left"/>
        <w:tblInd w:w="0" w:type="dxa"/>
        <w:tblLayout w:type="fixed"/>
        <w:tblCellMar>
          <w:top w:w="28" w:type="dxa"/>
          <w:left w:w="28" w:type="dxa"/>
          <w:bottom w:w="28" w:type="dxa"/>
          <w:right w:w="28" w:type="dxa"/>
        </w:tblCellMar>
      </w:tblPr>
      <w:tblGrid>
        <w:gridCol w:w="2191"/>
        <w:gridCol w:w="1915"/>
        <w:gridCol w:w="1920"/>
        <w:gridCol w:w="109"/>
        <w:gridCol w:w="109"/>
        <w:gridCol w:w="129"/>
        <w:gridCol w:w="129"/>
        <w:gridCol w:w="346"/>
        <w:gridCol w:w="1273"/>
        <w:gridCol w:w="174"/>
        <w:gridCol w:w="145"/>
        <w:gridCol w:w="145"/>
        <w:gridCol w:w="145"/>
        <w:gridCol w:w="288"/>
        <w:gridCol w:w="973"/>
        <w:gridCol w:w="214"/>
      </w:tblGrid>
      <w:tr>
        <w:trPr/>
        <w:tc>
          <w:tcPr>
            <w:tcW w:w="2191" w:type="dxa"/>
            <w:tcBorders/>
            <w:vAlign w:val="center"/>
          </w:tcPr>
          <w:p>
            <w:pPr>
              <w:pStyle w:val="TableContents"/>
              <w:bidi w:val="0"/>
              <w:spacing w:before="0" w:after="283"/>
              <w:jc w:val="left"/>
              <w:rPr>
                <w:sz w:val="4"/>
                <w:szCs w:val="4"/>
              </w:rPr>
            </w:pPr>
            <w:r>
              <w:rPr>
                <w:sz w:val="4"/>
                <w:szCs w:val="4"/>
              </w:rPr>
            </w:r>
          </w:p>
        </w:tc>
        <w:tc>
          <w:tcPr>
            <w:tcW w:w="1915" w:type="dxa"/>
            <w:tcBorders/>
            <w:vAlign w:val="center"/>
          </w:tcPr>
          <w:p>
            <w:pPr>
              <w:pStyle w:val="TableContents"/>
              <w:bidi w:val="0"/>
              <w:spacing w:before="0" w:after="283"/>
              <w:jc w:val="left"/>
              <w:rPr>
                <w:sz w:val="4"/>
                <w:szCs w:val="4"/>
              </w:rPr>
            </w:pPr>
            <w:r>
              <w:rPr>
                <w:sz w:val="4"/>
                <w:szCs w:val="4"/>
              </w:rPr>
            </w:r>
          </w:p>
        </w:tc>
        <w:tc>
          <w:tcPr>
            <w:tcW w:w="19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973"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r>
      <w:tr>
        <w:trPr/>
        <w:tc>
          <w:tcPr>
            <w:tcW w:w="6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1"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910" w:type="dxa"/>
            <w:gridSpan w:val="6"/>
            <w:tcBorders/>
          </w:tcPr>
          <w:p>
            <w:pPr>
              <w:pStyle w:val="TableContents"/>
              <w:bidi w:val="0"/>
              <w:spacing w:before="0" w:after="283"/>
              <w:jc w:val="left"/>
              <w:rPr>
                <w:sz w:val="4"/>
                <w:szCs w:val="4"/>
              </w:rPr>
            </w:pPr>
            <w:r>
              <w:rPr>
                <w:sz w:val="4"/>
                <w:szCs w:val="4"/>
              </w:rPr>
            </w:r>
          </w:p>
        </w:tc>
      </w:tr>
      <w:tr>
        <w:trPr/>
        <w:tc>
          <w:tcPr>
            <w:tcW w:w="6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79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4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7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 except share and per share amounts)</w:t>
            </w:r>
          </w:p>
        </w:tc>
      </w:tr>
      <w:tr>
        <w:trPr/>
        <w:tc>
          <w:tcPr>
            <w:tcW w:w="6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from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(8,774)</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10,988 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Dividends on Series A preferred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from continuing operations available to common shareholders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(10,743)</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9,019 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available to common shareholders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(10,892)</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7,605 </w:t>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79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7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46,099,930 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45,803,501 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potential common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6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13,855,574 </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6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46,099,930 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59,659,075 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79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per common share: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7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7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0.20 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(0.03)</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0.17 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7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0.18 </w:t>
            </w:r>
          </w:p>
        </w:tc>
        <w:tc>
          <w:tcPr>
            <w:tcW w:w="2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Discontinued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(0.02)</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(0.23)</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0.16 </w:t>
            </w:r>
          </w:p>
        </w:tc>
        <w:tc>
          <w:tcPr>
            <w:tcW w:w="2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120"/>
        <w:ind w:left="0" w:right="0" w:firstLine="360"/>
        <w:jc w:val="both"/>
        <w:rPr/>
      </w:pPr>
      <w:r>
        <w:rPr>
          <w:rFonts w:ascii="Times New Roman;serif" w:hAnsi="Times New Roman;serif"/>
          <w:b w:val="false"/>
          <w:color w:val="231F20"/>
          <w:sz w:val="20"/>
        </w:rPr>
        <w:t xml:space="preserve">For the three months ended March 31, 2026, due to the net loss from continuing operations, all potential common shares (including </w:t>
      </w:r>
      <w:r>
        <w:rPr>
          <w:rFonts w:ascii="Times New Roman;serif" w:hAnsi="Times New Roman;serif"/>
          <w:b w:val="false"/>
          <w:color w:val="000000"/>
          <w:sz w:val="20"/>
        </w:rPr>
        <w:t xml:space="preserve">871,874 related to outstanding RSUs and 13,521,634 related to outstanding Series A Preferred Shares) </w:t>
      </w:r>
      <w:r>
        <w:rPr>
          <w:rFonts w:ascii="Times New Roman;serif" w:hAnsi="Times New Roman;serif"/>
          <w:b w:val="false"/>
          <w:color w:val="231F20"/>
          <w:sz w:val="20"/>
        </w:rPr>
        <w:t xml:space="preserve">were anti-dilutive and excluded from the </w:t>
      </w:r>
      <w:r>
        <w:rPr>
          <w:rFonts w:ascii="Times New Roman;serif" w:hAnsi="Times New Roman;serif"/>
          <w:b w:val="false"/>
          <w:color w:val="000000"/>
          <w:sz w:val="20"/>
        </w:rPr>
        <w:t>calculation of diluted earnings per common share</w:t>
      </w:r>
      <w:r>
        <w:rPr>
          <w:rFonts w:ascii="Times New Roman;serif" w:hAnsi="Times New Roman;serif"/>
          <w:b w:val="false"/>
          <w:color w:val="231F20"/>
          <w:sz w:val="20"/>
        </w:rPr>
        <w:t>. For the three months ended March 31, 2025, all potential common shares (including 333,940</w:t>
      </w:r>
      <w:r>
        <w:rPr>
          <w:color w:val="000000"/>
        </w:rPr>
        <w:t xml:space="preserve"> </w:t>
      </w:r>
      <w:r>
        <w:rPr>
          <w:rFonts w:ascii="Times New Roman;serif" w:hAnsi="Times New Roman;serif"/>
          <w:b w:val="false"/>
          <w:color w:val="000000"/>
          <w:sz w:val="20"/>
        </w:rPr>
        <w:t xml:space="preserve">related to outstanding RSUs and 13,521,634 related to outstanding Series A Preferred Shares) </w:t>
      </w:r>
      <w:r>
        <w:rPr>
          <w:rFonts w:ascii="Times New Roman;serif" w:hAnsi="Times New Roman;serif"/>
          <w:b w:val="false"/>
          <w:color w:val="231F20"/>
          <w:sz w:val="20"/>
        </w:rPr>
        <w:t xml:space="preserve">were dilutive and included in the </w:t>
      </w:r>
      <w:r>
        <w:rPr>
          <w:rFonts w:ascii="Times New Roman;serif" w:hAnsi="Times New Roman;serif"/>
          <w:b w:val="false"/>
          <w:color w:val="000000"/>
          <w:sz w:val="20"/>
        </w:rPr>
        <w:t>calculation of diluted earnings per common share</w:t>
      </w:r>
      <w:r>
        <w:rPr>
          <w:rFonts w:ascii="Times New Roman;serif" w:hAnsi="Times New Roman;serif"/>
          <w:b w:val="false"/>
          <w:color w:val="231F20"/>
          <w:sz w:val="20"/>
        </w:rPr>
        <w:t>. The Company applies the if-converted method for the outstanding Series A Preferred Shares in the calculation of diluted earnings per share from continuing operations. If the Series A Preferred Shares are dilutive, the dividends on the Series A Preferred Shares are added back to income from continuing operations available to common shareholders in the numerator of the calculation and the additional common shares from an assumed conversion of the Series A Preferred Shares are added in the denominator of the calculation.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288" w:before="0" w:after="0"/>
        <w:jc w:val="left"/>
        <w:rPr/>
      </w:pPr>
      <w:hyperlink w:anchor="i979e96abde144df8bdcdd49602e9d3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JAMES RIVER GROUP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6.    Reserve for Losses and Loss Adjustment Expenses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the beginning and ending reserve balances for losses and loss adjustment expenses, net of reinsurance, to the gross amounts reported in the condensed consolidated balance sheets. Reinsurance recoverables on unpaid losses and loss adjustment expenses are presented gross of an allowance for credit losses on reinsurance balances of $1.7 million at March 31, 2026, $1.6 million at December 31, 2025, $1.5 million at March 31, 2025 and $1.2 million at December 31, 2024.</w:t>
      </w:r>
    </w:p>
    <w:tbl>
      <w:tblPr>
        <w:tblW w:w="10205" w:type="dxa"/>
        <w:jc w:val="left"/>
        <w:tblInd w:w="0" w:type="dxa"/>
        <w:tblLayout w:type="fixed"/>
        <w:tblCellMar>
          <w:top w:w="28" w:type="dxa"/>
          <w:left w:w="28" w:type="dxa"/>
          <w:bottom w:w="28" w:type="dxa"/>
          <w:right w:w="28" w:type="dxa"/>
        </w:tblCellMar>
      </w:tblPr>
      <w:tblGrid>
        <w:gridCol w:w="2446"/>
        <w:gridCol w:w="2150"/>
        <w:gridCol w:w="2162"/>
        <w:gridCol w:w="109"/>
        <w:gridCol w:w="109"/>
        <w:gridCol w:w="112"/>
        <w:gridCol w:w="112"/>
        <w:gridCol w:w="217"/>
        <w:gridCol w:w="1006"/>
        <w:gridCol w:w="112"/>
        <w:gridCol w:w="109"/>
        <w:gridCol w:w="109"/>
        <w:gridCol w:w="109"/>
        <w:gridCol w:w="211"/>
        <w:gridCol w:w="976"/>
        <w:gridCol w:w="156"/>
      </w:tblGrid>
      <w:tr>
        <w:trPr/>
        <w:tc>
          <w:tcPr>
            <w:tcW w:w="2446" w:type="dxa"/>
            <w:tcBorders/>
            <w:vAlign w:val="center"/>
          </w:tcPr>
          <w:p>
            <w:pPr>
              <w:pStyle w:val="TableContents"/>
              <w:bidi w:val="0"/>
              <w:spacing w:before="0" w:after="283"/>
              <w:jc w:val="left"/>
              <w:rPr>
                <w:sz w:val="4"/>
                <w:szCs w:val="4"/>
              </w:rPr>
            </w:pPr>
            <w:r>
              <w:rPr>
                <w:sz w:val="4"/>
                <w:szCs w:val="4"/>
              </w:rPr>
            </w:r>
          </w:p>
        </w:tc>
        <w:tc>
          <w:tcPr>
            <w:tcW w:w="2150" w:type="dxa"/>
            <w:tcBorders/>
            <w:vAlign w:val="center"/>
          </w:tcPr>
          <w:p>
            <w:pPr>
              <w:pStyle w:val="TableContents"/>
              <w:bidi w:val="0"/>
              <w:spacing w:before="0" w:after="283"/>
              <w:jc w:val="left"/>
              <w:rPr>
                <w:sz w:val="4"/>
                <w:szCs w:val="4"/>
              </w:rPr>
            </w:pPr>
            <w:r>
              <w:rPr>
                <w:sz w:val="4"/>
                <w:szCs w:val="4"/>
              </w:rPr>
            </w:r>
          </w:p>
        </w:tc>
        <w:tc>
          <w:tcPr>
            <w:tcW w:w="2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6758"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5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670" w:type="dxa"/>
            <w:gridSpan w:val="6"/>
            <w:tcBorders/>
          </w:tcPr>
          <w:p>
            <w:pPr>
              <w:pStyle w:val="TableContents"/>
              <w:bidi w:val="0"/>
              <w:spacing w:before="0" w:after="283"/>
              <w:jc w:val="left"/>
              <w:rPr>
                <w:sz w:val="4"/>
                <w:szCs w:val="4"/>
              </w:rPr>
            </w:pPr>
            <w:r>
              <w:rPr>
                <w:sz w:val="4"/>
                <w:szCs w:val="4"/>
              </w:rPr>
            </w:r>
          </w:p>
        </w:tc>
      </w:tr>
      <w:tr>
        <w:trPr/>
        <w:tc>
          <w:tcPr>
            <w:tcW w:w="67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75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300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w:t>
            </w:r>
          </w:p>
        </w:tc>
      </w:tr>
      <w:tr>
        <w:trPr/>
        <w:tc>
          <w:tcPr>
            <w:tcW w:w="6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 for losses and loss adjustment expenses net of reinsurance recoverables at beginning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1,071,699 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1,086,278 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Incurred losses and loss adjustment expenses net of reinsurance: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year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94,136 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101,584 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years - retroactive reinsurance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years - excluding retroactive reinsurance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incurred losses and loss and adjustment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108,160 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99,525 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Deduct: Loss and loss adjustment expense payments net of reinsurance: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33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year</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Prior years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93,151 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loss and loss adjustment expense payments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94,051 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91,970 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Deduct: Change in deferred reinsurance gain - retroactive reinsurance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6758"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r>
      <w:tr>
        <w:trPr/>
        <w:tc>
          <w:tcPr>
            <w:tcW w:w="6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 for losses and loss adjustment expenses net of reinsurance recoverables at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2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1,071,619 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1,095,761 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 Reinsurance recoverables on unpaid losses and loss adjustment expenses at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2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2,016,229 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1,985,779 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Reserve for losses and loss adjustment expenses gross of reinsurance recoverables on unpaid losses and loss adjustment expenses at end of period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3,087,848 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3,081,540 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both"/>
        <w:rPr>
          <w:color w:val="000000"/>
        </w:rPr>
      </w:pPr>
      <w:r>
        <w:rPr>
          <w:color w:val="000000"/>
        </w:rPr>
        <w:t>  </w:t>
      </w:r>
    </w:p>
    <w:p>
      <w:pPr>
        <w:pStyle w:val="TextBody"/>
        <w:bidi w:val="0"/>
        <w:spacing w:lineRule="auto" w:line="288" w:before="0" w:after="120"/>
        <w:ind w:left="0" w:right="0" w:firstLine="360"/>
        <w:jc w:val="both"/>
        <w:rPr/>
      </w:pPr>
      <w:r>
        <w:rPr>
          <w:rFonts w:ascii="Times New Roman;serif" w:hAnsi="Times New Roman;serif"/>
          <w:b w:val="false"/>
          <w:color w:val="000000"/>
          <w:sz w:val="20"/>
        </w:rPr>
        <w:t xml:space="preserve">The Company experienced $165,000 of net favorable reserve development in the three months ended March 31, 2026 on the reserve for losses and loss adjustment expenses held at December 31, 2025 (excluding adverse prior year development subject to deferral under retroactive reinsurance accounting - see </w:t>
      </w:r>
      <w:r>
        <w:rPr>
          <w:rFonts w:ascii="Times New Roman;serif" w:hAnsi="Times New Roman;serif"/>
          <w:b w:val="false"/>
          <w:i/>
          <w:color w:val="000000"/>
          <w:sz w:val="20"/>
        </w:rPr>
        <w:t xml:space="preserve">Loss Portfolio Transfers and Adverse Development Covers </w:t>
      </w:r>
      <w:r>
        <w:rPr>
          <w:rFonts w:ascii="Times New Roman;serif" w:hAnsi="Times New Roman;serif"/>
          <w:b w:val="false"/>
          <w:color w:val="000000"/>
          <w:sz w:val="20"/>
        </w:rPr>
        <w:t>below). This reserve development included $100,000 of net favorable development in the Excess &amp; Surplus Lines segment and $65,000 of net favorable development in the Specialty Admitted Insurance segment.</w:t>
      </w:r>
    </w:p>
    <w:p>
      <w:pPr>
        <w:pStyle w:val="TextBody"/>
        <w:bidi w:val="0"/>
        <w:spacing w:lineRule="auto" w:line="288" w:before="0" w:after="120"/>
        <w:ind w:left="0" w:right="0" w:firstLine="360"/>
        <w:jc w:val="both"/>
        <w:rPr/>
      </w:pPr>
      <w:r>
        <w:rPr>
          <w:rFonts w:ascii="Times New Roman;serif" w:hAnsi="Times New Roman;serif"/>
          <w:b w:val="false"/>
          <w:color w:val="000000"/>
          <w:sz w:val="20"/>
        </w:rPr>
        <w:t xml:space="preserve">The Company experienced $131,000 of net favorable reserve development in the three months ended March 31, 2025 on the reserve for losses and loss adjustment expenses held at December 31, 2024 (excluding adverse prior year development subject to deferral under retroactive reinsurance accounting - see </w:t>
      </w:r>
      <w:r>
        <w:rPr>
          <w:rFonts w:ascii="Times New Roman;serif" w:hAnsi="Times New Roman;serif"/>
          <w:b w:val="false"/>
          <w:i/>
          <w:color w:val="000000"/>
          <w:sz w:val="20"/>
        </w:rPr>
        <w:t xml:space="preserve">Loss Portfolio Transfers and Adverse Development Covers </w:t>
      </w:r>
      <w:r>
        <w:rPr>
          <w:rFonts w:ascii="Times New Roman;serif" w:hAnsi="Times New Roman;serif"/>
          <w:b w:val="false"/>
          <w:color w:val="000000"/>
          <w:sz w:val="20"/>
        </w:rPr>
        <w:t>below). This reserve development included $10,000 of net favorable development in the Excess &amp; Surplus Lines segment and $121,000 of net favorable development in the Specialty Admitted Insurance segment.</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Loss Portfolio Transfers and Adverse Development Covers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Loss portfolio transfers and adverse development covers are forms of retroactive reinsurance utilized by the Company to transfer losses and loss adjustment expenses and associated risk of adverse development on covered subject business, as defined in the respective agreements, to an assuming reinsurer in exchange for a reinsurance premium. This reinsurance can bring economic finality (up to the limit of such agreements, if applicable) on the subject risks when they no longer meet the Company's risk appetite or are no longer aligned with the Company's risk management guidelines.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Commercial Auto Loss Portfolio Transfer</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27, 2021, James River Insurance and James River Casualty Company (together, “James River”) entered into a loss portfolio transfer transaction (the “Commercial Auto LPT”) with Aleka Insurance, Inc. (“Aleka”), a captive insurance company affiliate of Rasier LLC, to reinsure substantially all of the Excess &amp; Surplus Lines segment's legacy portfolio of commercial auto policies previously issued to Rasier LLC and its affiliates (collectively, “Rasier”) for which James River is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0" w:after="0"/>
        <w:jc w:val="left"/>
        <w:rPr/>
      </w:pPr>
      <w:hyperlink w:anchor="i979e96abde144df8bdcdd49602e9d3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JAMES RIVER GROUP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otherwise indemnified by Rasier. The reinsurance coverage is structured to be fully collateralized, is not subject to an aggregate limit, and is subject to certain exclusions. The cumulative amounts ceded under the loss portfolio transfer was $451.4 million as of both March 31, 2026 and December 31, 2025.</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Combined Loss Portfolio Transfer and Adverse Development Cover</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July 2, 2024, James River entered into a Combined Loss Portfolio Transfer and Adverse Development Cover Reinsurance Contract (the “E&amp;S ADC”) with State National Insurance Company, Inc. (“State National”). The transaction closed upon signing.</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E&amp;S ADC was effective January 1, 2024 (the “Effective Date”) and applies to James River’s Excess &amp; Surplus Lines segment casualty portfolio losses attaching to premium earned during 2010-2023 (both years inclusive), excluding, among others, losses related to commercial auto policies issued to a former large insured or its affiliates (the “Subject Business”). Pursuant to the E&amp;S ADC, (a) State National reinsures 85% of losses paid on and after the Effective Date in respect of the Subject Business in excess of $716.6 million up to an aggregate limit of $467.1 million (with State National’s share of the aggregate limit being $397.0 million) in exchange for a reinsurance premium paid by James River equal to $313.2 million, and (b) James River continues to manage claims and to manage and collect the benefit of other existing third-party reinsurance on the Subject Business, which third-party reinsurance inures to the benefit of the E&amp;S ADC. Additional adverse development of $35.0 million (net of the Company's 15% retention) recognized on the subject business of the E&amp;S ADC in the year ended December 31, 2025 exhausted the remaining limit of the E&amp;S ADC.</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Adverse Development Cover</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November 11, 2024, Enstar, through its subsidiary Cavello Bay Reinsurance Limited (“Cavello Bay”), entered into an adverse development cover agreement with James River (“E&amp;S Top Up ADC”), pursuant to which, in exchange for a premium of $52.8 million (less an amount equal to the federal excise tax payable on the premium), Cavello Bay reinsures, effective January 1, 2024, 100% of the losses associated with James River’s Excess &amp; Surplus Lines segment casualty portfolio losses attaching to premium earned during 2010-2023 (both years inclusive). The E&amp;S Top Up ADC excludes losses related to commercial auto policies issued to a former large insured or its affiliates and is subject to a retention by James River of $1,183.7 million (the limit of the E&amp;S ADC executed on July 2, 2024) and up to an aggregate limit of $75.0 million. The E&amp;S Top Up ADC closed on December 23, 2024. The Company recognized a $52.8 million reduction in pre-tax income in connection with the adverse development cover upon closing. In 2025, $51.4 million of adverse development was ceded to the E&amp;S Top Up ADC, reducing the aggregate limit remaining on the E&amp;S Top Up ADC to $23.6 million at December 31, 2025. In the three months ended March 31, 2026, an additional $16.2 million of adverse development was ceded to the E&amp;S Top Up ADC, further reducing the aggregate limit remaining on the E&amp;S Top Up ADC to $7.5 million at March 31, 2026. Of the $16.2 million, $14.8 million was subject to deferral under retroactive reinsurance accounting.</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Retroactive Reinsurance Accounting</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periodically reevaluates the remaining reserves subject to the Commercial Auto LPT, the E&amp;S ADC, and the E&amp;S Top Up ADC, and when recognized adverse prior year development on the subject business causes the cumulative amounts ceded under the agreements to exceed the consideration paid, the agreements move into a gain position subject to deferral under retroactive reinsurance accounting. Gains are deferred under retroactive reinsurance accounting and recognized in earnings in proportion to actual paid recoveries under the agreements using the recovery method. While the deferral of gains can introduce volatility in the Company's operating results in the short-term, over the life of the contract, we would expect no economic impact to the Company as long as the counterparty performs under the contract. The impact of retroactive reinsurance accounting is not indicative of the Company's current and ongoing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jc w:val="left"/>
        <w:rPr/>
      </w:pPr>
      <w:hyperlink w:anchor="i979e96abde144df8bdcdd49602e9d3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JAMES RIVER GROUP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the retroactive reinsurance accounting for the Commercial Auto LPT, the E&amp;S ADC, and the E&amp;S Top Up ADC for the three months ended March 31, 2026 and 2025, respectively.</w:t>
      </w:r>
    </w:p>
    <w:tbl>
      <w:tblPr>
        <w:tblW w:w="7524" w:type="dxa"/>
        <w:jc w:val="left"/>
        <w:tblInd w:w="0" w:type="dxa"/>
        <w:tblLayout w:type="fixed"/>
        <w:tblCellMar>
          <w:top w:w="28" w:type="dxa"/>
          <w:left w:w="28" w:type="dxa"/>
          <w:bottom w:w="28" w:type="dxa"/>
          <w:right w:w="28" w:type="dxa"/>
        </w:tblCellMar>
      </w:tblPr>
      <w:tblGrid>
        <w:gridCol w:w="1797"/>
        <w:gridCol w:w="1580"/>
        <w:gridCol w:w="1588"/>
        <w:gridCol w:w="211"/>
        <w:gridCol w:w="826"/>
        <w:gridCol w:w="109"/>
        <w:gridCol w:w="109"/>
        <w:gridCol w:w="109"/>
        <w:gridCol w:w="109"/>
        <w:gridCol w:w="211"/>
        <w:gridCol w:w="721"/>
        <w:gridCol w:w="154"/>
      </w:tblGrid>
      <w:tr>
        <w:trPr/>
        <w:tc>
          <w:tcPr>
            <w:tcW w:w="1797"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w:t>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Commercial Auto LPT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retroactive reinsurance gain at beginning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Adverse prior year development ceded on subject business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Retroactive reinsurance benefits under the recovery method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retroactive reinsurance gain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E&amp;S ADC</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retroactive reinsurance gain at beginning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Adverse prior year development ceded on subject business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Retroactive reinsurance benefits under the recovery method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retroactive reinsurance gain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E&amp;S Top Up ADC</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retroactive reinsurance gain at beginning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Adverse prior year development ceded on subject business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Retroactive reinsurance benefits under the recovery method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retroactive reinsurance gain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Total</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retroactive reinsurance gain at beginning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Adverse prior year development ceded on subject business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Retroactive reinsurance benefits under the recovery method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retroactive reinsurance gain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56,042 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pPr>
      <w:hyperlink w:anchor="i979e96abde144df8bdcdd49602e9d3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JAMES RIVER GROUP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7.    Other Comprehensive (Loss) Income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components of other comprehensive (loss) income:</w:t>
      </w:r>
    </w:p>
    <w:tbl>
      <w:tblPr>
        <w:tblW w:w="9790" w:type="dxa"/>
        <w:jc w:val="left"/>
        <w:tblInd w:w="0" w:type="dxa"/>
        <w:tblLayout w:type="fixed"/>
        <w:tblCellMar>
          <w:top w:w="28" w:type="dxa"/>
          <w:left w:w="28" w:type="dxa"/>
          <w:bottom w:w="28" w:type="dxa"/>
          <w:right w:w="28" w:type="dxa"/>
        </w:tblCellMar>
      </w:tblPr>
      <w:tblGrid>
        <w:gridCol w:w="2372"/>
        <w:gridCol w:w="2084"/>
        <w:gridCol w:w="2098"/>
        <w:gridCol w:w="109"/>
        <w:gridCol w:w="109"/>
        <w:gridCol w:w="131"/>
        <w:gridCol w:w="131"/>
        <w:gridCol w:w="254"/>
        <w:gridCol w:w="958"/>
        <w:gridCol w:w="131"/>
        <w:gridCol w:w="109"/>
        <w:gridCol w:w="109"/>
        <w:gridCol w:w="109"/>
        <w:gridCol w:w="211"/>
        <w:gridCol w:w="721"/>
        <w:gridCol w:w="154"/>
      </w:tblGrid>
      <w:tr>
        <w:trPr/>
        <w:tc>
          <w:tcPr>
            <w:tcW w:w="2372" w:type="dxa"/>
            <w:tcBorders/>
            <w:vAlign w:val="center"/>
          </w:tcPr>
          <w:p>
            <w:pPr>
              <w:pStyle w:val="TableContents"/>
              <w:bidi w:val="0"/>
              <w:spacing w:before="0" w:after="283"/>
              <w:jc w:val="left"/>
              <w:rPr>
                <w:sz w:val="4"/>
                <w:szCs w:val="4"/>
              </w:rPr>
            </w:pPr>
            <w:r>
              <w:rPr>
                <w:sz w:val="4"/>
                <w:szCs w:val="4"/>
              </w:rPr>
            </w:r>
          </w:p>
        </w:tc>
        <w:tc>
          <w:tcPr>
            <w:tcW w:w="2084" w:type="dxa"/>
            <w:tcBorders/>
            <w:vAlign w:val="center"/>
          </w:tcPr>
          <w:p>
            <w:pPr>
              <w:pStyle w:val="TableContents"/>
              <w:bidi w:val="0"/>
              <w:spacing w:before="0" w:after="283"/>
              <w:jc w:val="left"/>
              <w:rPr>
                <w:sz w:val="4"/>
                <w:szCs w:val="4"/>
              </w:rPr>
            </w:pPr>
            <w:r>
              <w:rPr>
                <w:sz w:val="4"/>
                <w:szCs w:val="4"/>
              </w:rPr>
            </w:r>
          </w:p>
        </w:tc>
        <w:tc>
          <w:tcPr>
            <w:tcW w:w="20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5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655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55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7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w:t>
            </w:r>
          </w:p>
        </w:tc>
      </w:tr>
      <w:tr>
        <w:trPr/>
        <w:tc>
          <w:tcPr>
            <w:tcW w:w="6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(losses) gains arising during the period, before U.S.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(11,552)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2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2,426 </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(3,812)</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Unrealized (loses) gains arising during the period, net of U.S.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(9,126)</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reclassification adjustment: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investment gains (losses)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21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3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Reclassification adjustment for investment gains (losses) realized in 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(9,154)</w:t>
            </w:r>
          </w:p>
        </w:tc>
        <w:tc>
          <w:tcPr>
            <w:tcW w:w="13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14,322 </w:t>
            </w:r>
          </w:p>
        </w:tc>
        <w:tc>
          <w:tcPr>
            <w:tcW w:w="154" w:type="dxa"/>
            <w:tcBorders>
              <w:top w:val="single" w:sz="8" w:space="0" w:color="000000"/>
              <w:bottom w:val="double" w:sz="8" w:space="0" w:color="000000"/>
            </w:tcBorders>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the net realized investment gains on available-for-sale fixed maturities disclosed above, the Company also recognized net realized and unrealized investment gains (losses) on its investments in bank loan participations and equity securities in the respective periods. Refer to Note 3 for disclosure of these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8.       Contingent Liabilities</w:t>
      </w:r>
    </w:p>
    <w:p>
      <w:pPr>
        <w:pStyle w:val="TextBody"/>
        <w:bidi w:val="0"/>
        <w:spacing w:lineRule="auto" w:line="268" w:before="0" w:after="0"/>
        <w:jc w:val="left"/>
        <w:rPr>
          <w:rFonts w:ascii="Times New Roman;serif" w:hAnsi="Times New Roman;serif"/>
          <w:b/>
          <w:i/>
          <w:color w:val="000000"/>
          <w:sz w:val="20"/>
        </w:rPr>
      </w:pPr>
      <w:r>
        <w:rPr>
          <w:rFonts w:ascii="Times New Roman;serif" w:hAnsi="Times New Roman;serif"/>
          <w:b/>
          <w:i/>
          <w:color w:val="000000"/>
          <w:sz w:val="20"/>
        </w:rPr>
        <w:t>Legal Proceedings</w:t>
      </w:r>
    </w:p>
    <w:p>
      <w:pPr>
        <w:pStyle w:val="TextBody"/>
        <w:bidi w:val="0"/>
        <w:spacing w:before="0" w:after="0"/>
        <w:jc w:val="left"/>
        <w:rPr/>
      </w:pPr>
      <w:r>
        <w:rPr/>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is involved in various legal proceedings, including commercial matters and litigation regarding insurance claims which arise in the ordinary course of business. In addition, the Company is involved from time to time in legal actions which seek extra-contractual damages, punitive damages or penalties, including claims alleging bad faith in the handling of insurance claims. The Company believes that the outcome of such matters, individually and in the aggregate, is not reasonably likely to have a material adverse effect on the Company's consolidated financial position, results of operations or cash flows.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March 11, 2024, the Company filed a complaint in the Supreme Court of the State of New York, New York County, Commercial Division against Fleming relating to the Stock Purchase Agreement, pursuant to which Fleming agreed to purchase all of the outstanding common shares of JRG Re (the “Transaction”). The complaint alleges that Fleming breached the Stock Purchase Agreement by its refusal to close the Transaction on March 1, 2024 as required under the terms of the Stock Purchase Agreement, and seeks specific performance of Fleming’s obligation to complete the Transaction and an award of damages. The Company subsequently filed a motion for preliminary injunction to require Fleming to fulfill its contractual obligation to close the Transaction, and on April 6, 2024 the Court granted the Company’s motion and ordered Fleming to complete the Transaction on or prior to April 16, 2024. On April 8, 2024, Fleming filed a notice of appeal of the preliminary injunction, which Fleming withdrew on October 9, 2024. The Transaction closed on April 16, 2024. On April 19, 2024, Fleming filed a motion to dismiss the complaint. On May 9, 2024, the Company filed an amended complaint seeking, among other things, specific performance and damages suffered as a result of Fleming's breach of the Stock Purchase Agreement. On June 6, 2024, Fleming filed a motion to dismiss the amended complaint, on July 3, 2024 the Company filed an opposition to the motion to dismiss, on July 24, 2024 Fleming filed its reply to the opposition, and on October 29, 2024 the court heard oral argument on the motion to dismiss.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On July 15, 2024, Fleming filed a lawsuit in the U.S. District Court, Southern District of New York against JRG Holdings and certain of its officers, asserting claims under Sections 10(b) and 20(a) of the Securities Exchange Act of 1934, common law fraud, and breaches of contract, and seeking unspecified monetary damages, including compensatory, consequential and punitive damages, all associated with Fleming's purchase of JRG Re pursuant to the Stock Purchase Agreement. On July 31, 2024, Fleming filed an amended complaint, on September 13, 2024, the Company filed a motion to dismiss the amended complaint, and on October 18, 2024 Fleming filed a second amended complaint. On November 15, 2024, the Company filed a motion to dismiss the second amended complaint, on December 23, 2024 Fleming filed an opposition to the motion to dismiss, on January 17, 2025 the Company filed its reply to Fleming's opposition, on July 2, 2025 the court heard oral argument on the motion to dismiss, and on July 17, 2025 the court granted the Company's motion to dismiss. On August 14, 2025, Fleming filed a motion for reconsideration, on August 28, 2025 the Company filed its opposition to Fleming's motion for reconsideration, and on September 4, 2025, Fleming filed its reply to the Company's opposition. On December 2, 2025, the court denied Fleming's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pPr>
      <w:hyperlink w:anchor="i979e96abde144df8bdcdd49602e9d3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JAMES RIVER GROUP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jc w:val="both"/>
        <w:rPr/>
      </w:pPr>
      <w:r>
        <w:rPr>
          <w:rFonts w:ascii="Times New Roman;serif" w:hAnsi="Times New Roman;serif"/>
          <w:b w:val="false"/>
          <w:color w:val="000000"/>
          <w:sz w:val="20"/>
        </w:rPr>
        <w:t>motion for reconsideration and on December 22, 2025 Fleming filed a notice of appeal. Fleming filed its opening brief in the United States Court of Appeals for the Second Circuit on March 13, 2026 and the Company’s response brief is due June 12, 2026.</w:t>
      </w:r>
      <w:r>
        <w:rPr>
          <w:color w:val="000000"/>
        </w:rPr>
        <w:t xml:space="preserve"> </w:t>
      </w:r>
      <w:r>
        <w:rPr>
          <w:rFonts w:ascii="Times New Roman;serif" w:hAnsi="Times New Roman;serif"/>
          <w:b w:val="false"/>
          <w:color w:val="000000"/>
          <w:sz w:val="20"/>
        </w:rPr>
        <w:t>Fleming’s reply brief is due within 21 days after the filing of the Company’s response brief. The Company believes that it has substantial defenses and intends to vigorously defend this lawsuit.</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Amounts Recoverable from Reinsurers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insurance segments remain liable to policyholders if its reinsurers are unable to meet their contractual obligations under applicable reinsurance agreements. The Company establishes an allowance for credit losses for our current estimate of uncollectible reinsurance recoverables. At March 31, 2026, the allowance for credit losses on reinsurance recoverables was $1.7 million. To minimize exposure to significant losses from reinsurance insolvencies, the Company evaluates the financial condition of its reinsurers and monitors concentrations of credit risk. The Company generally seeks to purchase reinsurance from reinsurers with A.M. Best financial strength ratings of “A-” (Excellent) or better. The Company’s reinsurance contracts generally require reinsurers that are not authorized as reinsurers under U.S. state insurance regulations or that experience rating downgrades from rating agencies below specified levels to fund their share of the Company’s ceded outstanding losses and loss adjustment expense reserves, typically through the use of irrevocable and unconditional letters of credit. In fronting arrangements, which the Company conducts through its Specialty Admitted Insurance segment, the Company is subject to credit risk with regard to insurance companies who act as reinsurers for us in such arrangements. The Company requires collateral, in the form of a trust arrangement or letter of credit, to secure the obligations of the insurance entity for whom it is fronting.</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Amounts Recoverable from an Indemnifying Party and Reinsurer on Legacy Commercial Auto Book</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James River previously issued a set of commercial auto insurance contracts (the “Rasier Commercial Auto Policies”) to Rasier under which James River pays losses and loss adjustment expenses on the contracts. James River has indemnity agreements with Rasier (non-insurance entities) (collectively, the “Indemnity Agreements”) and is contractually entitled to reimbursement for the portion of the losses and loss adjustment expenses paid on behalf of Rasier under the Rasier Commercial Auto Policies and other expenses incurred by James River. In addition, on September 27, 2021, James River entered into the Commercial Auto LPT with Aleka to reinsure substantially all of the Rasier Commercial Auto Policies for which James River is not otherwise indemnified by Rasier under the Indemnity Agreements.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Each of Rasier and Aleka are required to post collateral equal to 102% of James River's estimate of the respective party's obligations in trusts pursuant to the terms of the Indemnity Agreements and the Commercial Auto LPT, respectively. At March 31, 2026, the total balance of collateral securing Rasier's obligations under the Indemnity Agreements was $35.2 million and Aleka's obligations under the Commercial Auto LPT was $16.8 million. At March 31, 2026, the total reinsurance recoverables under the Commercial Auto LPT was $9.9 million.</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connection with the execution of the Commercial Auto LPT, James River and Aleka entered into an administrative services agreement (the “Administrative Services Agreement”) with a third party claims administrator (the “Administrator”) pursuant to which the Administrator handles the claims on the Rasier Commercial Auto Policies for the remaining life of those claims. The claims paid by the Administrator are reimbursable by James River, and pursuant to the Administrative Services Agreement, James River established a loss fund trust account for the benefit of the Administrator (the “Loss Fund Trust”) to collateralize its claims payment reimbursement obligations. James River funds the Loss Fund Trust using funds withdrawn from the trust account collateralizing the Indemnity Agreements (the “Indemnity Trust”), funds withdrawn from the trust account collateralizing Commercial Auto LPT (the “LPT Trust”), and its own funds, in each case in an amount equal to the pro rata portion of the required Loss Fund Trust balance attributable to the Indemnity Agreements, the Commercial Auto LPT and James River’s existing third party reinsurance agreements, respectively. At March 31, 2026, the balance in the Loss Fund Trust was $8.6 million, including $5.3 million representing collateral supporting Rasier’s obligations under the Indemnity Agreements and $2.2 million representing collateral supporting Aleka’s obligations under the Commercial Auto LPT. Funds posted to the Loss Fund Trust are classified as restricted cash equivalents on the Company's balance sheet.</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While the Commercial Auto LPT brings economic finality to substantially all of the Rasier Commercial Auto Policies, the Company has credit exposure to Rasier and Aleka under the Indemnity Agreements and the Commercial Auto LPT if the estimated losses and expenses of the Rasier Commercial Auto Policies grow at a faster pace than the growth in the collateral balances. In addition, the Company has credit exposure if its estimates of future losses and loss adjustment expenses and other amounts recoverable under the Indemnity Agreements and the Commercial Auto LPT, which are the basis for establishing the collateral balances, are lower than actual amounts paid or payable. The amount of the Company's credit exposure in any of these instances could be material. To mitigate these risks, the Company closely and frequently monitors its exposure compared to the collateral held, and requests additional collateral in accordance with the terms of the Commercial Auto LPT and Indemnity Agreements when its analysis indicates that it has uncollateralized exposure.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0" w:after="0"/>
        <w:jc w:val="left"/>
        <w:rPr/>
      </w:pPr>
      <w:hyperlink w:anchor="i979e96abde144df8bdcdd49602e9d3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JAMES RIVER GROUP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9.    Segment Information</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continuing operations are comprised of three reportable segments, two of which are separately managed business units and the third (“Corporate and Other”) includes the Company’s remaining operations. The Excess &amp; Surplus Lines segment primarily offers commercial excess and surplus lines liability and excess property insurance products. The Specialty Admitted Insurance segment offers specialty admitted fronting and program business and, prior to the sale of the Company's renewal rights in 2023, workers’ compensation insurance coverage. The Corporate and Other segment consists of certain management and treasury activities of James River Group and JRG Holdings including public company expenses, expenses for our Board of Directors, long-term incentive compensation for the full Company, interest expense associated with senior debt and Junior Subordinated Debt, and investment income. The accounting policies of the reportable segments are the same as those described in the summary of significant accounting policies. Prior to entering into a definitive agreement to sell JRG Re on November 8, 2023, JRG Re was considered a reportable segment (the “Casualty Reinsurance” segment). After entering into the agreement to sell JRG Re, the Company no longer considers Casualty Reinsurance to be a reportable segment, but instead it is reported as discontinued operations. The segment information below excludes discontinued operations for all periods presented.</w:t>
      </w:r>
    </w:p>
    <w:p>
      <w:pPr>
        <w:pStyle w:val="TextBody"/>
        <w:bidi w:val="0"/>
        <w:spacing w:lineRule="auto" w:line="288" w:before="0" w:after="120"/>
        <w:ind w:left="0" w:right="0" w:firstLine="405"/>
        <w:jc w:val="both"/>
        <w:rPr/>
      </w:pPr>
      <w:r>
        <w:rPr>
          <w:rFonts w:ascii="Times New Roman;serif" w:hAnsi="Times New Roman;serif"/>
          <w:b w:val="false"/>
          <w:color w:val="000000"/>
          <w:sz w:val="20"/>
        </w:rPr>
        <w:t xml:space="preserve">Segment profit (loss) is measured by underwriting profit (loss), which is generally defined as net earned premiums and gross fee income (in specific instances when the Company is not retaining insurance risk) in “other income” in the Consolidated Statements of Income (Loss) and Comprehensive Income (Loss) less loss and loss adjustment expenses on business not subject to deferral under retroactive reinsurance accounting (see </w:t>
      </w:r>
      <w:r>
        <w:rPr>
          <w:rFonts w:ascii="Times New Roman;serif" w:hAnsi="Times New Roman;serif"/>
          <w:b w:val="false"/>
          <w:i/>
          <w:color w:val="000000"/>
          <w:sz w:val="20"/>
        </w:rPr>
        <w:t xml:space="preserve">Retroactive Reinsurance Accounting </w:t>
      </w:r>
      <w:r>
        <w:rPr>
          <w:rFonts w:ascii="Times New Roman;serif" w:hAnsi="Times New Roman;serif"/>
          <w:b w:val="false"/>
          <w:color w:val="000000"/>
          <w:sz w:val="20"/>
        </w:rPr>
        <w:t>in</w:t>
      </w:r>
      <w:r>
        <w:rPr>
          <w:color w:val="000000"/>
        </w:rPr>
        <w:t xml:space="preserve"> </w:t>
      </w:r>
      <w:r>
        <w:rPr>
          <w:rFonts w:ascii="Times New Roman;serif" w:hAnsi="Times New Roman;serif"/>
          <w:b w:val="false"/>
          <w:i/>
          <w:color w:val="000000"/>
          <w:sz w:val="20"/>
        </w:rPr>
        <w:t>Note 6 - Reserve for Losses and Loss Adjustment Expenses</w:t>
      </w:r>
      <w:r>
        <w:rPr>
          <w:rFonts w:ascii="Times New Roman;serif" w:hAnsi="Times New Roman;serif"/>
          <w:b w:val="false"/>
          <w:color w:val="000000"/>
          <w:sz w:val="20"/>
        </w:rPr>
        <w:t>) and other operating expenses. Other operating expenses include the underwriting, acquisition, and insurance expenses of the operating segments and, for consolidated underwriting profit, the expenses of the Corporate and Other segment. Other operating expenses for the Corporate and Other segment include personnel costs associated with the holding companies, professional fees, long-term incentive compensation (including share-based compensation) for the Company, public company expenses and various other corporate expenses. Net commissions in the table below are net of amounts deferred as deferred policy acquisition costs. Employee compensation includes both cash and share-based compensation, as well as employer expenses related to payroll taxes and benefits, and is net of amounts allocated to losses and loss adjustment expenses and amounts deferred. All other operating expenses include, amongst other expenses, costs for insurance, outside professional fees including legal, audit, and consulting, office rent, bad debt expense, and taxes, licenses and fees on business written. Segment results are reported prior to the effects of intercompany pooling agreements and intercompany reinsurance agreements. All gross written premiums and net earned premiums for all periods presented were generated from policies issued to U.S. based insureds. Segment revenues for each reportable segment include net earned premiums, net investment income, and realized and unrealized (losses) gains on investments.</w:t>
      </w:r>
    </w:p>
    <w:p>
      <w:pPr>
        <w:pStyle w:val="TextBody"/>
        <w:bidi w:val="0"/>
        <w:spacing w:lineRule="auto" w:line="288" w:before="0" w:after="120"/>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The Company's Chief Executive Officer (“CEO”) has final authority over segment resource allocation decisions and performance assessment, and consequently, is identified as the Chief Operating Decision Maker (“CODM”). The CEO considers segment underwriting profit (loss) in the annual budget and forecasting process, and in monthly financial reviews of actual segment results compared to budget and prior year periods in order to assess segment performance and make strategic operating decisions regarding the business written by the segments, the allocation of capital and personnel to the segments, and compensation for segment employees. The segment information presented below aligns with the information that is presented regularly to the CEO.</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segment results:</w:t>
      </w:r>
    </w:p>
    <w:tbl>
      <w:tblPr>
        <w:tblW w:w="10205" w:type="dxa"/>
        <w:jc w:val="left"/>
        <w:tblInd w:w="0" w:type="dxa"/>
        <w:tblLayout w:type="fixed"/>
        <w:tblCellMar>
          <w:top w:w="28" w:type="dxa"/>
          <w:left w:w="28" w:type="dxa"/>
          <w:bottom w:w="28" w:type="dxa"/>
          <w:right w:w="28" w:type="dxa"/>
        </w:tblCellMar>
      </w:tblPr>
      <w:tblGrid>
        <w:gridCol w:w="1773"/>
        <w:gridCol w:w="1488"/>
        <w:gridCol w:w="1494"/>
        <w:gridCol w:w="211"/>
        <w:gridCol w:w="826"/>
        <w:gridCol w:w="109"/>
        <w:gridCol w:w="109"/>
        <w:gridCol w:w="109"/>
        <w:gridCol w:w="109"/>
        <w:gridCol w:w="211"/>
        <w:gridCol w:w="721"/>
        <w:gridCol w:w="109"/>
        <w:gridCol w:w="109"/>
        <w:gridCol w:w="109"/>
        <w:gridCol w:w="109"/>
        <w:gridCol w:w="109"/>
        <w:gridCol w:w="109"/>
        <w:gridCol w:w="253"/>
        <w:gridCol w:w="487"/>
        <w:gridCol w:w="131"/>
        <w:gridCol w:w="109"/>
        <w:gridCol w:w="109"/>
        <w:gridCol w:w="109"/>
        <w:gridCol w:w="211"/>
        <w:gridCol w:w="826"/>
        <w:gridCol w:w="156"/>
      </w:tblGrid>
      <w:tr>
        <w:trPr/>
        <w:tc>
          <w:tcPr>
            <w:tcW w:w="1773" w:type="dxa"/>
            <w:tcBorders/>
            <w:vAlign w:val="center"/>
          </w:tcPr>
          <w:p>
            <w:pPr>
              <w:pStyle w:val="TableContents"/>
              <w:bidi w:val="0"/>
              <w:spacing w:before="0" w:after="283"/>
              <w:jc w:val="left"/>
              <w:rPr>
                <w:sz w:val="4"/>
                <w:szCs w:val="4"/>
              </w:rPr>
            </w:pPr>
            <w:r>
              <w:rPr>
                <w:sz w:val="4"/>
                <w:szCs w:val="4"/>
              </w:rPr>
            </w:r>
          </w:p>
        </w:tc>
        <w:tc>
          <w:tcPr>
            <w:tcW w:w="1488"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Excess &amp;</w:t>
              <w:br/>
              <w:t>Surplus</w:t>
              <w:br/>
              <w:t>Lines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Specialty</w:t>
              <w:br/>
              <w:t>Admitted</w:t>
              <w:br/>
              <w:t>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br/>
              <w:t>and</w:t>
              <w:b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75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30"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w:t>
            </w:r>
          </w:p>
        </w:tc>
        <w:tc>
          <w:tcPr>
            <w:tcW w:w="1520" w:type="dxa"/>
            <w:gridSpan w:val="6"/>
            <w:tcBorders/>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7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of and for the Three Months Ended March 31, 2026</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written premiums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212,285 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236,373 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earned premiums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135,712 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and loss adjustment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108,160 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losses and loss adjustment expense - retroactive reinsurance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and loss adjustment expenses excluding retroactive reinsurance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93,971 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hyperlink w:anchor="i979e96abde144df8bdcdd49602e9d3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JAMES RIVER GROUP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1701"/>
        <w:gridCol w:w="1405"/>
        <w:gridCol w:w="1409"/>
        <w:gridCol w:w="211"/>
        <w:gridCol w:w="826"/>
        <w:gridCol w:w="109"/>
        <w:gridCol w:w="109"/>
        <w:gridCol w:w="109"/>
        <w:gridCol w:w="109"/>
        <w:gridCol w:w="220"/>
        <w:gridCol w:w="756"/>
        <w:gridCol w:w="109"/>
        <w:gridCol w:w="109"/>
        <w:gridCol w:w="109"/>
        <w:gridCol w:w="109"/>
        <w:gridCol w:w="109"/>
        <w:gridCol w:w="109"/>
        <w:gridCol w:w="266"/>
        <w:gridCol w:w="512"/>
        <w:gridCol w:w="131"/>
        <w:gridCol w:w="109"/>
        <w:gridCol w:w="109"/>
        <w:gridCol w:w="109"/>
        <w:gridCol w:w="211"/>
        <w:gridCol w:w="826"/>
        <w:gridCol w:w="314"/>
      </w:tblGrid>
      <w:tr>
        <w:trPr/>
        <w:tc>
          <w:tcPr>
            <w:tcW w:w="1701"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4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r>
      <w:tr>
        <w:trPr/>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Excess &amp;</w:t>
              <w:br/>
              <w:t>Surplus</w:t>
              <w:br/>
              <w:t>Lines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Specialty</w:t>
              <w:br/>
              <w:t>Admitted</w:t>
              <w:br/>
              <w:t>Insurance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Corporate</w:t>
              <w:br/>
              <w:t>and</w:t>
              <w:br/>
              <w:t>Other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51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12" w:type="dxa"/>
            <w:gridSpan w:val="1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w:t>
            </w:r>
          </w:p>
        </w:tc>
        <w:tc>
          <w:tcPr>
            <w:tcW w:w="1678" w:type="dxa"/>
            <w:gridSpan w:val="6"/>
            <w:tcBorders/>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commissions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13,658 </w:t>
            </w:r>
          </w:p>
        </w:tc>
        <w:tc>
          <w:tcPr>
            <w:tcW w:w="314"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6,731 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24,483 </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operating expenses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2,350 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9,910 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9,081 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48,051 </w:t>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Underwriting profit (loss)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(9,081)</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(6,220)</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revenues</w:t>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143,431 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7,878 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3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151,384 </w:t>
            </w:r>
          </w:p>
        </w:tc>
        <w:tc>
          <w:tcPr>
            <w:tcW w:w="31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21,327 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5,589 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goodwill</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181,831 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3,638,838 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1,062,592 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60,379 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4,761,809 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 of and for the Three Months Ended March 31, 2025</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written premiums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294,361 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earned premiums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151,902 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Fee income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832 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and loss adjustment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99,525 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losses and loss adjustment expense - retroactive reinsurance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and loss adjustment expenses excluding retroactive reinsurance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101,453 </w:t>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1" w:type="dxa"/>
            <w:gridSpan w:val="3"/>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commissions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12,149 </w:t>
            </w:r>
          </w:p>
        </w:tc>
        <w:tc>
          <w:tcPr>
            <w:tcW w:w="314" w:type="dxa"/>
            <w:tcBorders/>
            <w:shd w:fill="FFFF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8,449 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27,660 </w:t>
            </w:r>
          </w:p>
        </w:tc>
        <w:tc>
          <w:tcPr>
            <w:tcW w:w="314" w:type="dxa"/>
            <w:tcBorders/>
            <w:shd w:fill="CCEEFF"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operating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10,751 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36,566 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10,631 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50,560 </w:t>
            </w:r>
          </w:p>
        </w:tc>
        <w:tc>
          <w:tcPr>
            <w:tcW w:w="3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Underwriting profit (loss)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(10,631)</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721 </w:t>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revenues</w:t>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151,536 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20,097 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13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172,289 </w:t>
            </w:r>
          </w:p>
        </w:tc>
        <w:tc>
          <w:tcPr>
            <w:tcW w:w="314"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20,008 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5,541 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5,541 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goodwill</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181,831 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3,523,455 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1,359,670 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65,890 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4,949,015 </w:t>
            </w:r>
          </w:p>
        </w:tc>
        <w:tc>
          <w:tcPr>
            <w:tcW w:w="3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pPr>
      <w:hyperlink w:anchor="i979e96abde144df8bdcdd49602e9d3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JAMES RIVER GROUP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reconciles the underwriting profit (loss) of the operating segments by individual segment to consolidated income from continuing operations before income taxes:</w:t>
      </w:r>
    </w:p>
    <w:tbl>
      <w:tblPr>
        <w:tblW w:w="8425" w:type="dxa"/>
        <w:jc w:val="left"/>
        <w:tblInd w:w="0" w:type="dxa"/>
        <w:tblLayout w:type="fixed"/>
        <w:tblCellMar>
          <w:top w:w="28" w:type="dxa"/>
          <w:left w:w="28" w:type="dxa"/>
          <w:bottom w:w="28" w:type="dxa"/>
          <w:right w:w="28" w:type="dxa"/>
        </w:tblCellMar>
      </w:tblPr>
      <w:tblGrid>
        <w:gridCol w:w="1881"/>
        <w:gridCol w:w="1650"/>
        <w:gridCol w:w="1658"/>
        <w:gridCol w:w="109"/>
        <w:gridCol w:w="109"/>
        <w:gridCol w:w="131"/>
        <w:gridCol w:w="131"/>
        <w:gridCol w:w="254"/>
        <w:gridCol w:w="958"/>
        <w:gridCol w:w="131"/>
        <w:gridCol w:w="109"/>
        <w:gridCol w:w="109"/>
        <w:gridCol w:w="109"/>
        <w:gridCol w:w="211"/>
        <w:gridCol w:w="721"/>
        <w:gridCol w:w="154"/>
      </w:tblGrid>
      <w:tr>
        <w:trPr/>
        <w:tc>
          <w:tcPr>
            <w:tcW w:w="1881"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16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51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1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7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w:t>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Underwriting profit (loss) of the operating segments: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&amp; Surplus Lines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Admitted Insurance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underwriting profit of operating segments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2,861 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 of the Corporate and Other segment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Underwriting (loss) profit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(6,220)</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and loss adjustment expenses – retroactive reinsurance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(14,189)</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and unrealized losses on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(5,589)</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from continuing operations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(10,635)</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10.    Other Operating Expenses and Other Expenses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Other operating expenses consist of the following:</w:t>
      </w:r>
    </w:p>
    <w:tbl>
      <w:tblPr>
        <w:tblW w:w="8336" w:type="dxa"/>
        <w:jc w:val="left"/>
        <w:tblInd w:w="0" w:type="dxa"/>
        <w:tblLayout w:type="fixed"/>
        <w:tblCellMar>
          <w:top w:w="28" w:type="dxa"/>
          <w:left w:w="28" w:type="dxa"/>
          <w:bottom w:w="28" w:type="dxa"/>
          <w:right w:w="28" w:type="dxa"/>
        </w:tblCellMar>
      </w:tblPr>
      <w:tblGrid>
        <w:gridCol w:w="1847"/>
        <w:gridCol w:w="1622"/>
        <w:gridCol w:w="1631"/>
        <w:gridCol w:w="109"/>
        <w:gridCol w:w="109"/>
        <w:gridCol w:w="139"/>
        <w:gridCol w:w="139"/>
        <w:gridCol w:w="269"/>
        <w:gridCol w:w="919"/>
        <w:gridCol w:w="139"/>
        <w:gridCol w:w="109"/>
        <w:gridCol w:w="109"/>
        <w:gridCol w:w="109"/>
        <w:gridCol w:w="211"/>
        <w:gridCol w:w="721"/>
        <w:gridCol w:w="154"/>
      </w:tblGrid>
      <w:tr>
        <w:trPr/>
        <w:tc>
          <w:tcPr>
            <w:tcW w:w="1847"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1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10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w:t>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policy acquisition costs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17,760 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underwriting expenses of the operating segments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21,210 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22,389 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 of the Corporate and Other segment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9,081 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48,051 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50,560 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pPr>
      <w:r>
        <w:rPr>
          <w:rFonts w:ascii="Times New Roman;serif" w:hAnsi="Times New Roman;serif"/>
          <w:b w:val="false"/>
          <w:color w:val="000000"/>
          <w:sz w:val="20"/>
        </w:rPr>
        <w:t>Other expenses of $128,000 and $563,000 for the three</w:t>
      </w:r>
      <w:r>
        <w:rPr>
          <w:color w:val="231F20"/>
        </w:rPr>
        <w:t xml:space="preserve"> </w:t>
      </w:r>
      <w:r>
        <w:rPr>
          <w:rFonts w:ascii="Times New Roman;serif" w:hAnsi="Times New Roman;serif"/>
          <w:b w:val="false"/>
          <w:color w:val="231F20"/>
          <w:sz w:val="20"/>
        </w:rPr>
        <w:t>months ended March 31, 2026 and 2025</w:t>
      </w:r>
      <w:r>
        <w:rPr>
          <w:rFonts w:ascii="Times New Roman;serif" w:hAnsi="Times New Roman;serif"/>
          <w:b w:val="false"/>
          <w:color w:val="000000"/>
          <w:sz w:val="20"/>
        </w:rPr>
        <w:t>, respectively, primarily consist of certain nonoperating expenses including legal and other professional fees and other expenses related to various strategic initiatives.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11.    Senior Debt</w:t>
      </w:r>
    </w:p>
    <w:p>
      <w:pPr>
        <w:pStyle w:val="TextBody"/>
        <w:bidi w:val="0"/>
        <w:spacing w:lineRule="auto" w:line="288" w:before="0" w:after="120"/>
        <w:ind w:left="0" w:right="0" w:firstLine="360"/>
        <w:jc w:val="both"/>
        <w:rPr/>
      </w:pPr>
      <w:r>
        <w:rPr>
          <w:rFonts w:ascii="Times New Roman;serif" w:hAnsi="Times New Roman;serif"/>
          <w:b w:val="false"/>
          <w:color w:val="231F20"/>
          <w:sz w:val="20"/>
        </w:rPr>
        <w:t xml:space="preserve">On June 12, 2025, the Company entered into a Credit Agreement (the “Credit Agreement”). The Credit Agreement replaced the Company’s </w:t>
      </w:r>
      <w:r>
        <w:rPr>
          <w:rFonts w:ascii="Times New Roman;serif" w:hAnsi="Times New Roman;serif"/>
          <w:b w:val="false"/>
          <w:color w:val="000000"/>
          <w:sz w:val="20"/>
        </w:rPr>
        <w:t>Third Amended and Restated Credit Agreement dated July 7, 2023 (the “</w:t>
      </w:r>
      <w:r>
        <w:rPr>
          <w:rFonts w:ascii="Times New Roman;serif" w:hAnsi="Times New Roman;serif"/>
          <w:b w:val="false"/>
          <w:color w:val="231F20"/>
          <w:sz w:val="20"/>
        </w:rPr>
        <w:t>Previous Credit Agreement</w:t>
      </w:r>
      <w:r>
        <w:rPr>
          <w:color w:val="000000"/>
        </w:rPr>
        <w:t>”</w:t>
      </w:r>
      <w:r>
        <w:rPr>
          <w:rFonts w:ascii="Times New Roman;serif" w:hAnsi="Times New Roman;serif"/>
          <w:b w:val="false"/>
          <w:color w:val="231F20"/>
          <w:sz w:val="20"/>
        </w:rPr>
        <w:t xml:space="preserve">), which provided for a </w:t>
      </w:r>
      <w:r>
        <w:rPr>
          <w:rFonts w:ascii="Times New Roman;serif" w:hAnsi="Times New Roman;serif"/>
          <w:b w:val="false"/>
          <w:color w:val="000000"/>
          <w:sz w:val="20"/>
        </w:rPr>
        <w:t>$212.5 million</w:t>
      </w:r>
      <w:r>
        <w:rPr>
          <w:color w:val="231F20"/>
        </w:rPr>
        <w:t xml:space="preserve"> </w:t>
      </w:r>
      <w:r>
        <w:rPr>
          <w:rFonts w:ascii="Times New Roman;serif" w:hAnsi="Times New Roman;serif"/>
          <w:b w:val="false"/>
          <w:color w:val="231F20"/>
          <w:sz w:val="20"/>
        </w:rPr>
        <w:t xml:space="preserve">unsecured revolving credit facility and a </w:t>
      </w:r>
      <w:r>
        <w:rPr>
          <w:rFonts w:ascii="Times New Roman;serif" w:hAnsi="Times New Roman;serif"/>
          <w:b w:val="false"/>
          <w:color w:val="000000"/>
          <w:sz w:val="20"/>
        </w:rPr>
        <w:t>$45.0 million</w:t>
      </w:r>
      <w:r>
        <w:rPr>
          <w:color w:val="231F20"/>
        </w:rPr>
        <w:t xml:space="preserve"> </w:t>
      </w:r>
      <w:r>
        <w:rPr>
          <w:rFonts w:ascii="Times New Roman;serif" w:hAnsi="Times New Roman;serif"/>
          <w:b w:val="false"/>
          <w:color w:val="231F20"/>
          <w:sz w:val="20"/>
        </w:rPr>
        <w:t>secured revolving credit facility.</w:t>
      </w:r>
    </w:p>
    <w:p>
      <w:pPr>
        <w:pStyle w:val="TextBody"/>
        <w:bidi w:val="0"/>
        <w:spacing w:lineRule="auto" w:line="288" w:before="0" w:after="120"/>
        <w:ind w:left="0" w:right="0" w:firstLine="360"/>
        <w:jc w:val="both"/>
        <w:rPr/>
      </w:pPr>
      <w:r>
        <w:rPr>
          <w:rFonts w:ascii="Times New Roman;serif" w:hAnsi="Times New Roman;serif"/>
          <w:b w:val="false"/>
          <w:color w:val="231F20"/>
          <w:sz w:val="20"/>
        </w:rPr>
        <w:t xml:space="preserve">The Credit Agreement provides for a </w:t>
      </w:r>
      <w:r>
        <w:rPr>
          <w:rFonts w:ascii="Times New Roman;serif" w:hAnsi="Times New Roman;serif"/>
          <w:b w:val="false"/>
          <w:color w:val="000000"/>
          <w:sz w:val="20"/>
        </w:rPr>
        <w:t>$212.5 million</w:t>
      </w:r>
      <w:r>
        <w:rPr>
          <w:color w:val="231F20"/>
        </w:rPr>
        <w:t xml:space="preserve"> </w:t>
      </w:r>
      <w:r>
        <w:rPr>
          <w:rFonts w:ascii="Times New Roman;serif" w:hAnsi="Times New Roman;serif"/>
          <w:b w:val="false"/>
          <w:color w:val="231F20"/>
          <w:sz w:val="20"/>
        </w:rPr>
        <w:t>unsecured revolving credit facility available for general corporate purposes and matures on June 12, 2028. Following the sale of JRG Re, the Company no longer had a need for the secured revolving credit facility provided by the Previous Credit Agreement. The interest rates applicable to the loans under the Credit Agreement are generally based on the Secured Overnight Financing Rate (“SOFR”) plus a specified margin (</w:t>
      </w:r>
      <w:r>
        <w:rPr>
          <w:rFonts w:ascii="Times New Roman;serif" w:hAnsi="Times New Roman;serif"/>
          <w:b w:val="false"/>
          <w:color w:val="000000"/>
          <w:sz w:val="20"/>
        </w:rPr>
        <w:t xml:space="preserve">2.75% at </w:t>
      </w:r>
      <w:r>
        <w:rPr>
          <w:rFonts w:ascii="Times New Roman;serif" w:hAnsi="Times New Roman;serif"/>
          <w:b w:val="false"/>
          <w:color w:val="231F20"/>
          <w:sz w:val="20"/>
        </w:rPr>
        <w:t>March 31, 2026</w:t>
      </w:r>
      <w:r>
        <w:rPr>
          <w:rFonts w:ascii="Times New Roman;serif" w:hAnsi="Times New Roman;serif"/>
          <w:b w:val="false"/>
          <w:color w:val="000000"/>
          <w:sz w:val="20"/>
        </w:rPr>
        <w:t xml:space="preserve">) </w:t>
      </w:r>
      <w:r>
        <w:rPr>
          <w:rFonts w:ascii="Times New Roman;serif" w:hAnsi="Times New Roman;serif"/>
          <w:b w:val="false"/>
          <w:color w:val="231F20"/>
          <w:sz w:val="20"/>
        </w:rPr>
        <w:t>based on the Company’s Leverage Ratio (as defined in the Credit Agreement). In addition, the Company will pay an unused facility fee on each lender’s commitment (</w:t>
      </w:r>
      <w:r>
        <w:rPr>
          <w:rFonts w:ascii="Times New Roman;serif" w:hAnsi="Times New Roman;serif"/>
          <w:b w:val="false"/>
          <w:color w:val="000000"/>
          <w:sz w:val="20"/>
        </w:rPr>
        <w:t xml:space="preserve">0.3% at </w:t>
      </w:r>
      <w:r>
        <w:rPr>
          <w:rFonts w:ascii="Times New Roman;serif" w:hAnsi="Times New Roman;serif"/>
          <w:b w:val="false"/>
          <w:color w:val="231F20"/>
          <w:sz w:val="20"/>
        </w:rPr>
        <w:t>March 31, 2026</w:t>
      </w:r>
      <w:r>
        <w:rPr>
          <w:rFonts w:ascii="Times New Roman;serif" w:hAnsi="Times New Roman;serif"/>
          <w:b w:val="false"/>
          <w:color w:val="000000"/>
          <w:sz w:val="20"/>
        </w:rPr>
        <w:t>)</w:t>
      </w:r>
      <w:r>
        <w:rPr>
          <w:rFonts w:ascii="Times New Roman;serif" w:hAnsi="Times New Roman;serif"/>
          <w:b w:val="false"/>
          <w:color w:val="231F20"/>
          <w:sz w:val="20"/>
        </w:rPr>
        <w:t>.</w:t>
      </w:r>
    </w:p>
    <w:p>
      <w:pPr>
        <w:pStyle w:val="TextBody"/>
        <w:bidi w:val="0"/>
        <w:spacing w:lineRule="auto" w:line="288" w:before="0" w:after="120"/>
        <w:ind w:left="0" w:right="0" w:firstLine="360"/>
        <w:jc w:val="both"/>
        <w:rPr/>
      </w:pPr>
      <w:r>
        <w:rPr>
          <w:rFonts w:ascii="Times New Roman;serif" w:hAnsi="Times New Roman;serif"/>
          <w:b w:val="false"/>
          <w:color w:val="231F20"/>
          <w:sz w:val="20"/>
        </w:rPr>
        <w:t>At</w:t>
      </w:r>
      <w:r>
        <w:rPr>
          <w:color w:val="000000"/>
        </w:rPr>
        <w:t xml:space="preserve"> </w:t>
      </w:r>
      <w:r>
        <w:rPr>
          <w:rFonts w:ascii="Times New Roman;serif" w:hAnsi="Times New Roman;serif"/>
          <w:b w:val="false"/>
          <w:color w:val="231F20"/>
          <w:sz w:val="20"/>
        </w:rPr>
        <w:t>March 31, 2026</w:t>
      </w:r>
      <w:r>
        <w:rPr>
          <w:rFonts w:ascii="Times New Roman;serif" w:hAnsi="Times New Roman;serif"/>
          <w:b w:val="false"/>
          <w:color w:val="000000"/>
          <w:sz w:val="20"/>
        </w:rPr>
        <w:t>, the Company had a drawn balance of $210.8 million outstanding under the Credit Agreement, including $25.0 million previously borrowed on January 27, 2025 under the Previous Credit Agreement which was contributed to our regulated insurance entities.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left"/>
        <w:rPr/>
      </w:pPr>
      <w:hyperlink w:anchor="i979e96abde144df8bdcdd49602e9d3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JAMES RIVER GROUP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ind w:left="0" w:right="0" w:firstLine="360"/>
        <w:jc w:val="both"/>
        <w:rPr/>
      </w:pPr>
      <w:r>
        <w:rPr>
          <w:rFonts w:ascii="Times New Roman;serif" w:hAnsi="Times New Roman;serif"/>
          <w:b w:val="false"/>
          <w:color w:val="231F20"/>
          <w:sz w:val="20"/>
        </w:rPr>
        <w:t xml:space="preserve">The Credit Agreement provides for an accordion feature that permits the Company to request that one or more lenders (without the consent of the other lenders) or new financial institutions (with the consent of the Administrative Agent) provide it with increases in the credit facility of up to an aggregate of </w:t>
      </w:r>
      <w:r>
        <w:rPr>
          <w:rFonts w:ascii="Times New Roman;serif" w:hAnsi="Times New Roman;serif"/>
          <w:b w:val="false"/>
          <w:color w:val="000000"/>
          <w:sz w:val="20"/>
        </w:rPr>
        <w:t>$30.0 million</w:t>
      </w:r>
      <w:r>
        <w:rPr>
          <w:rFonts w:ascii="Times New Roman;serif" w:hAnsi="Times New Roman;serif"/>
          <w:b w:val="false"/>
          <w:color w:val="231F20"/>
          <w:sz w:val="20"/>
        </w:rPr>
        <w:t>, subject to satisfaction of certain conditions.</w:t>
      </w:r>
    </w:p>
    <w:p>
      <w:pPr>
        <w:pStyle w:val="TextBody"/>
        <w:bidi w:val="0"/>
        <w:spacing w:lineRule="auto" w:line="288" w:before="0" w:after="120"/>
        <w:ind w:left="0" w:right="0" w:firstLine="360"/>
        <w:jc w:val="both"/>
        <w:rPr/>
      </w:pPr>
      <w:r>
        <w:rPr>
          <w:rFonts w:ascii="Times New Roman;serif" w:hAnsi="Times New Roman;serif"/>
          <w:b w:val="false"/>
          <w:color w:val="231F20"/>
          <w:sz w:val="20"/>
        </w:rPr>
        <w:t xml:space="preserve">The Credit Agreement contains customary representations and warranties, affirmative and negative covenants and events of default. The Credit Agreement also includes financial covenants, including a maximum leverage ratio and minimum consolidated net worth, risk-based capital ratio and financial strength rating requirements </w:t>
      </w:r>
      <w:r>
        <w:rPr>
          <w:rFonts w:ascii="Times New Roman;serif" w:hAnsi="Times New Roman;serif"/>
          <w:b w:val="false"/>
          <w:color w:val="000000"/>
          <w:sz w:val="20"/>
        </w:rPr>
        <w:t xml:space="preserve">with which the Company was in compliance at </w:t>
      </w:r>
      <w:r>
        <w:rPr>
          <w:rFonts w:ascii="Times New Roman;serif" w:hAnsi="Times New Roman;serif"/>
          <w:b w:val="false"/>
          <w:color w:val="231F20"/>
          <w:sz w:val="20"/>
        </w:rPr>
        <w:t>March 31, 2026.</w:t>
      </w:r>
    </w:p>
    <w:p>
      <w:pPr>
        <w:pStyle w:val="TextBody"/>
        <w:bidi w:val="0"/>
        <w:spacing w:lineRule="auto" w:line="288" w:before="0" w:after="12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In connection with the Credit Agreement, James River Group entered into a Continuing Guaranty of Payment dated June 12, 2025 pursuant to which James River Group guarantees the payment and performance of the Company’s obligations under the Credit Agreement and other loan documents.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12.    Fair Value Measurements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Three levels of inputs are used to measure fair value of financial instruments: (1) Level 1: quoted price (unadjusted) in active markets for identical assets, (2) Level 2: inputs to the valuation methodology include quoted prices for similar assets and liabilities in active markets, and inputs that are observable for the asset or liability, either directly or indirectly, for substantially the full term of the instrument, and (3) Level 3: inputs to the valuation methodology are unobservable for the asset or liability.</w:t>
      </w:r>
    </w:p>
    <w:p>
      <w:pPr>
        <w:pStyle w:val="TextBody"/>
        <w:bidi w:val="0"/>
        <w:spacing w:lineRule="auto" w:line="288" w:before="0" w:after="120"/>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Fair value is defined as the exchange price that would be received for an asset or paid to transfer a liability in the principal or most advantageous market in an orderly transaction between market participants on the measurement date.</w:t>
      </w:r>
    </w:p>
    <w:p>
      <w:pPr>
        <w:pStyle w:val="TextBody"/>
        <w:bidi w:val="0"/>
        <w:spacing w:lineRule="auto" w:line="288" w:before="0" w:after="120"/>
        <w:ind w:left="0" w:right="0" w:firstLine="405"/>
        <w:jc w:val="both"/>
        <w:rPr/>
      </w:pPr>
      <w:r>
        <w:rPr>
          <w:rFonts w:ascii="Times New Roman;serif" w:hAnsi="Times New Roman;serif"/>
          <w:b w:val="false"/>
          <w:color w:val="000000"/>
          <w:sz w:val="20"/>
        </w:rPr>
        <w:t>The fair values of fixed maturity securities, equity securities, and bank loan participations have been determined using fair value prices provided by the Company's investment accounting services provider or investment managers, who utilize internationally recognized independent pricing services. The prices provided by the independent pricing services are generally based on observable market data in active markets (</w:t>
      </w:r>
      <w:r>
        <w:rPr>
          <w:rFonts w:ascii="Times New Roman;serif" w:hAnsi="Times New Roman;serif"/>
          <w:b w:val="false"/>
          <w:i/>
          <w:color w:val="000000"/>
          <w:sz w:val="20"/>
        </w:rPr>
        <w:t>e.g.</w:t>
      </w:r>
      <w:r>
        <w:rPr>
          <w:color w:val="000000"/>
        </w:rPr>
        <w:t xml:space="preserve"> </w:t>
      </w:r>
      <w:r>
        <w:rPr>
          <w:rFonts w:ascii="Times New Roman;serif" w:hAnsi="Times New Roman;serif"/>
          <w:b w:val="false"/>
          <w:color w:val="000000"/>
          <w:sz w:val="20"/>
        </w:rPr>
        <w:t>broker quotes and prices observed for comparable securities). Values for U.S. Treasury and publicly-traded equity securities are generally based on Level 1 inputs which use the market approach valuation technique. The values for all other fixed maturity securities (including state and municipal securities and obligations of U.S. government corporations and agencies) and bank loan participations generally incorporate significant Level 2 inputs, and in some cases, Level 3 inputs, using the market approach and income approach valuation techniques. There have been no changes in the Company’s use of valuation techniques since December 31, 2024.</w:t>
      </w:r>
    </w:p>
    <w:p>
      <w:pPr>
        <w:pStyle w:val="TextBody"/>
        <w:bidi w:val="0"/>
        <w:spacing w:lineRule="auto" w:line="288" w:before="0" w:after="120"/>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The Company reviews fair value prices provided by its outside investment accounting service provider or investment managers for reasonableness by comparing the fair values provided by the managers to those provided by its investment custodian. The Company also reviews and monitors changes in unrealized gains and losses. The Company has not historically adjusted security prices. The Company obtains an understanding of the methods, models and inputs used by the investment managers and independent pricing services, and controls are in place to validate that prices provided represent fair values. The Company’s control process includes, but is not limited to, initial and ongoing evaluation of the methodologies used, a review of specific securities and an assessment for proper classification within the fair value hierarchy, and obtaining and reviewing internal control reports for the investment manager that obtains fair values from independent pricing services.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pPr>
      <w:hyperlink w:anchor="i979e96abde144df8bdcdd49602e9d3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JAMES RIVER GROUP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Assets measured at fair value on a recurring basis as of March 31, 2026 are summarized below:</w:t>
      </w:r>
    </w:p>
    <w:tbl>
      <w:tblPr>
        <w:tblW w:w="10205" w:type="dxa"/>
        <w:jc w:val="left"/>
        <w:tblInd w:w="0" w:type="dxa"/>
        <w:tblLayout w:type="fixed"/>
        <w:tblCellMar>
          <w:top w:w="28" w:type="dxa"/>
          <w:left w:w="28" w:type="dxa"/>
          <w:bottom w:w="28" w:type="dxa"/>
          <w:right w:w="28" w:type="dxa"/>
        </w:tblCellMar>
      </w:tblPr>
      <w:tblGrid>
        <w:gridCol w:w="1732"/>
        <w:gridCol w:w="1312"/>
        <w:gridCol w:w="1320"/>
        <w:gridCol w:w="228"/>
        <w:gridCol w:w="779"/>
        <w:gridCol w:w="119"/>
        <w:gridCol w:w="109"/>
        <w:gridCol w:w="109"/>
        <w:gridCol w:w="109"/>
        <w:gridCol w:w="211"/>
        <w:gridCol w:w="976"/>
        <w:gridCol w:w="109"/>
        <w:gridCol w:w="109"/>
        <w:gridCol w:w="109"/>
        <w:gridCol w:w="109"/>
        <w:gridCol w:w="318"/>
        <w:gridCol w:w="612"/>
        <w:gridCol w:w="166"/>
        <w:gridCol w:w="109"/>
        <w:gridCol w:w="109"/>
        <w:gridCol w:w="109"/>
        <w:gridCol w:w="211"/>
        <w:gridCol w:w="976"/>
        <w:gridCol w:w="155"/>
      </w:tblGrid>
      <w:tr>
        <w:trPr/>
        <w:tc>
          <w:tcPr>
            <w:tcW w:w="1732"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4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Measurements Using</w:t>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Quoted Prices</w:t>
              <w:br/>
              <w:t>in Active</w:t>
              <w:br/>
              <w:t>Markets for</w:t>
              <w:br/>
              <w:t>Identical</w:t>
              <w:br/>
              <w:t>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w:t>
              <w:br/>
              <w:t>Other</w:t>
              <w:br/>
              <w:t>Observable</w:t>
              <w:br/>
              <w:t>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w:t>
              <w:br/>
              <w:t>Unobservable</w:t>
              <w:br/>
              <w:t>Inputs</w:t>
              <w:b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4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maturity securities, available-for-sale:</w:t>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municipal</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224,455 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mortgage-backed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466,820 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606,439 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mortgage and asset-backed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121,745 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U.S. Treasury securities and obligations guaranteed by the U.S. government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maturity securities, available-for-sale</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1,419,459 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1,434,375 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112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69,795 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 securities</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72,317 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 loan participations</w:t>
            </w:r>
          </w:p>
        </w:tc>
        <w:tc>
          <w:tcPr>
            <w:tcW w:w="22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153,336 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153,336 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22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1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Assets measured at fair value on a recurring basis as of December 31, 2025 are summarized below:</w:t>
      </w:r>
    </w:p>
    <w:tbl>
      <w:tblPr>
        <w:tblW w:w="10205" w:type="dxa"/>
        <w:jc w:val="left"/>
        <w:tblInd w:w="0" w:type="dxa"/>
        <w:tblLayout w:type="fixed"/>
        <w:tblCellMar>
          <w:top w:w="28" w:type="dxa"/>
          <w:left w:w="28" w:type="dxa"/>
          <w:bottom w:w="28" w:type="dxa"/>
          <w:right w:w="28" w:type="dxa"/>
        </w:tblCellMar>
      </w:tblPr>
      <w:tblGrid>
        <w:gridCol w:w="1732"/>
        <w:gridCol w:w="1312"/>
        <w:gridCol w:w="1320"/>
        <w:gridCol w:w="228"/>
        <w:gridCol w:w="779"/>
        <w:gridCol w:w="119"/>
        <w:gridCol w:w="109"/>
        <w:gridCol w:w="109"/>
        <w:gridCol w:w="109"/>
        <w:gridCol w:w="211"/>
        <w:gridCol w:w="976"/>
        <w:gridCol w:w="109"/>
        <w:gridCol w:w="109"/>
        <w:gridCol w:w="109"/>
        <w:gridCol w:w="109"/>
        <w:gridCol w:w="318"/>
        <w:gridCol w:w="612"/>
        <w:gridCol w:w="166"/>
        <w:gridCol w:w="109"/>
        <w:gridCol w:w="109"/>
        <w:gridCol w:w="109"/>
        <w:gridCol w:w="211"/>
        <w:gridCol w:w="976"/>
        <w:gridCol w:w="155"/>
      </w:tblGrid>
      <w:tr>
        <w:trPr/>
        <w:tc>
          <w:tcPr>
            <w:tcW w:w="1732" w:type="dxa"/>
            <w:tcBorders/>
            <w:vAlign w:val="center"/>
          </w:tcPr>
          <w:p>
            <w:pPr>
              <w:pStyle w:val="TableContents"/>
              <w:bidi w:val="0"/>
              <w:spacing w:before="0" w:after="283"/>
              <w:jc w:val="left"/>
              <w:rPr>
                <w:sz w:val="4"/>
                <w:szCs w:val="4"/>
              </w:rPr>
            </w:pPr>
            <w:r>
              <w:rPr>
                <w:sz w:val="4"/>
                <w:szCs w:val="4"/>
              </w:rPr>
            </w:r>
          </w:p>
        </w:tc>
        <w:tc>
          <w:tcPr>
            <w:tcW w:w="1312"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4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 Measurements Using</w:t>
            </w:r>
          </w:p>
        </w:tc>
      </w:tr>
      <w:tr>
        <w:trPr/>
        <w:tc>
          <w:tcPr>
            <w:tcW w:w="43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Quoted Prices</w:t>
              <w:br/>
              <w:t>in Active</w:t>
              <w:br/>
              <w:t>Markets for</w:t>
              <w:br/>
              <w:t>Identical</w:t>
              <w:br/>
              <w:t>Assets</w:t>
              <w:b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w:t>
              <w:br/>
              <w:t>Other</w:t>
              <w:br/>
              <w:t>Observable</w:t>
              <w:br/>
              <w:t>Inputs</w:t>
              <w:b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Significant</w:t>
              <w:br/>
              <w:t>Unobservable</w:t>
              <w:br/>
              <w:t>Inputs</w:t>
              <w:b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4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maturity securities, available-for-sale:</w:t>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and municipal</w:t>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219,477 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mortgage-backed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472,718 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577,754 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mortgage and asset-backed</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120,535 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U.S. Treasury securities and obligations guaranteed by the U.S. government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14,290 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maturity securities, available-for-sale</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14,290 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1,390,484 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1,404,774 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112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Preferred stock</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70,601 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equity securities</w:t>
            </w:r>
          </w:p>
        </w:tc>
        <w:tc>
          <w:tcPr>
            <w:tcW w:w="2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1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73,092 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 loan participations</w:t>
            </w:r>
          </w:p>
        </w:tc>
        <w:tc>
          <w:tcPr>
            <w:tcW w:w="22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155,138 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155,138 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22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pPr>
      <w:hyperlink w:anchor="i979e96abde144df8bdcdd49602e9d3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JAMES RIVER GROUP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 reconciliation of the beginning and ending balances of available-for-sale fixed maturity securities, equity securities, and bank loan participations measured at fair value on a recurring basis using significant unobservable inputs (Level 3) is shown below:</w:t>
      </w:r>
    </w:p>
    <w:tbl>
      <w:tblPr>
        <w:tblW w:w="6324" w:type="dxa"/>
        <w:jc w:val="center"/>
        <w:tblInd w:w="0" w:type="dxa"/>
        <w:tblLayout w:type="fixed"/>
        <w:tblCellMar>
          <w:top w:w="28" w:type="dxa"/>
          <w:left w:w="28" w:type="dxa"/>
          <w:bottom w:w="28" w:type="dxa"/>
          <w:right w:w="28" w:type="dxa"/>
        </w:tblCellMar>
      </w:tblPr>
      <w:tblGrid>
        <w:gridCol w:w="1289"/>
        <w:gridCol w:w="1130"/>
        <w:gridCol w:w="1136"/>
        <w:gridCol w:w="109"/>
        <w:gridCol w:w="109"/>
        <w:gridCol w:w="220"/>
        <w:gridCol w:w="220"/>
        <w:gridCol w:w="426"/>
        <w:gridCol w:w="517"/>
        <w:gridCol w:w="220"/>
        <w:gridCol w:w="109"/>
        <w:gridCol w:w="109"/>
        <w:gridCol w:w="109"/>
        <w:gridCol w:w="211"/>
        <w:gridCol w:w="256"/>
        <w:gridCol w:w="154"/>
      </w:tblGrid>
      <w:tr>
        <w:trPr/>
        <w:tc>
          <w:tcPr>
            <w:tcW w:w="1289"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948" w:type="dxa"/>
            <w:gridSpan w:val="6"/>
            <w:tcBorders/>
          </w:tcPr>
          <w:p>
            <w:pPr>
              <w:pStyle w:val="TableContents"/>
              <w:bidi w:val="0"/>
              <w:spacing w:before="0" w:after="283"/>
              <w:jc w:val="left"/>
              <w:rPr>
                <w:sz w:val="4"/>
                <w:szCs w:val="4"/>
              </w:rPr>
            </w:pPr>
            <w:r>
              <w:rPr>
                <w:sz w:val="4"/>
                <w:szCs w:val="4"/>
              </w:rPr>
            </w:r>
          </w:p>
        </w:tc>
      </w:tr>
      <w:tr>
        <w:trPr/>
        <w:tc>
          <w:tcPr>
            <w:tcW w:w="3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1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w:t>
            </w:r>
          </w:p>
        </w:tc>
        <w:tc>
          <w:tcPr>
            <w:tcW w:w="948" w:type="dxa"/>
            <w:gridSpan w:val="6"/>
            <w:tcBorders/>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Transfers out of Level 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4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Transfers in to Level 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4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Maturities, calls and paydowns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4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discount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gains or losses (realized/unrealized):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1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Included in earnings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Included in other comprehensive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943"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7"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9 </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360"/>
        <w:jc w:val="both"/>
        <w:rPr/>
      </w:pPr>
      <w:r>
        <w:rPr/>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held one equity security at March 31, 2026, December 31, 2025 and December 31, 2024 for which the fair value was determined using significant unobservable inputs (Level 3). The fair values for the equity security (disclosed above) were obtained from our asset manager, who used an internal model to value the security.</w:t>
      </w:r>
    </w:p>
    <w:p>
      <w:pPr>
        <w:pStyle w:val="TextBody"/>
        <w:bidi w:val="0"/>
        <w:spacing w:lineRule="auto" w:line="288" w:before="0" w:after="120"/>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Transfers out of Level 3 occur when the Company is able to obtain reliable prices from pricing vendors for securities for which the Company was previously unable to obtain reliable prices. Transfers in to Level 3 occur when the Company is unable to obtain reliable prices for securities from pricing vendors and instead must use broker price quotes to value the securities.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were no transfers between Level 1 and Level 2 during the three months ended March 31, 2026 or 2025. The Company recognizes transfers between levels at the beginning of the reporting period.</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the determination of the fair value for bank loan participations and certain high yield bonds, the Company’s investment manager endeavors to obtain data from multiple external pricing sources. External pricing sources may include brokers, dealers and price data vendors that provide a composite price based on prices from multiple dealers. Such external pricing sources typically provide valuations for normal institutional size trading units of such securities using methods based on market transactions for comparable securities, and various relationships between securities, as generally recognized by institutional dealers. For investments in which the investment manager determines that only one external pricing source is appropriate or if only one external price is available, the relevant investment is generally recorded at fair value based on such price.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Investments for which external sources are not available or are determined by the investment manager not to be representative of fair value are recorded at fair value as determined by the Company, with input from its investment managers and valuation specialists as considered necessary. In determining the fair value of such investments, the Company considers one or more of the following factors: type of security held, convertibility or exchangeability of the security, redeemability of the security (including the timing of redemptions), application of industry accepted valuation models, recent trading activity, liquidity, estimates of liquidation value, purchase cost, and prices received for securities with similar terms of the same issuer or similar issuers. At March 31, 2026 and December 31, 2025, there were no investments for which external sources were unavailable to determine fair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pPr>
      <w:hyperlink w:anchor="i979e96abde144df8bdcdd49602e9d3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JAMES RIVER GROUP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carrying values and fair values of financial instruments are summarized below:</w:t>
      </w:r>
    </w:p>
    <w:tbl>
      <w:tblPr>
        <w:tblW w:w="9840" w:type="dxa"/>
        <w:jc w:val="left"/>
        <w:tblInd w:w="0" w:type="dxa"/>
        <w:tblLayout w:type="fixed"/>
        <w:tblCellMar>
          <w:top w:w="28" w:type="dxa"/>
          <w:left w:w="28" w:type="dxa"/>
          <w:bottom w:w="28" w:type="dxa"/>
          <w:right w:w="28" w:type="dxa"/>
        </w:tblCellMar>
      </w:tblPr>
      <w:tblGrid>
        <w:gridCol w:w="1310"/>
        <w:gridCol w:w="1154"/>
        <w:gridCol w:w="1166"/>
        <w:gridCol w:w="211"/>
        <w:gridCol w:w="976"/>
        <w:gridCol w:w="109"/>
        <w:gridCol w:w="109"/>
        <w:gridCol w:w="109"/>
        <w:gridCol w:w="109"/>
        <w:gridCol w:w="211"/>
        <w:gridCol w:w="976"/>
        <w:gridCol w:w="109"/>
        <w:gridCol w:w="109"/>
        <w:gridCol w:w="109"/>
        <w:gridCol w:w="109"/>
        <w:gridCol w:w="211"/>
        <w:gridCol w:w="976"/>
        <w:gridCol w:w="109"/>
        <w:gridCol w:w="109"/>
        <w:gridCol w:w="109"/>
        <w:gridCol w:w="109"/>
        <w:gridCol w:w="211"/>
        <w:gridCol w:w="976"/>
        <w:gridCol w:w="154"/>
      </w:tblGrid>
      <w:tr>
        <w:trPr/>
        <w:tc>
          <w:tcPr>
            <w:tcW w:w="1310"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r>
      <w:tr>
        <w:trPr/>
        <w:tc>
          <w:tcPr>
            <w:tcW w:w="36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21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maturity securities, available-for-sale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1,404,774 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1,404,774 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73,092 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 loan participations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153,336 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155,138 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260,941 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260,941 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equivalents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invested assets – notes receivable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debt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228,855 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230,007 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Junior subordinated debt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104,055 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116,093 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both"/>
        <w:rPr>
          <w:color w:val="000000"/>
        </w:rPr>
      </w:pPr>
      <w:r>
        <w:rPr>
          <w:color w:val="000000"/>
        </w:rPr>
        <w:t>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values of fixed maturity securities, equity securities, and bank loan participations have been determined using quoted market prices for securities traded in the public market or prices using bid or closing prices for securities not traded in the public marketplace. The fair values of cash and cash equivalents and short-term investments approximate their carrying values due to their short-term maturity.</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values of other invested assets-notes receivable, senior debt, and junior subordinated debt at March 31, 2026 and December 31, 2025 were determined by calculating the present value of expected future cash flows under the terms of the note agreements or debt agreements, as applicable, discounted at an estimated market rate of interest at March 31, 2026 and December 31, 2025, respectively. The Company also utilized an internally developed valuation model based on the spread of a comparable market index to determine the fair value of certain other invested assets-notes receivable at March 31, 2026 and December 31, 2025.</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fair values of senior debt, junior subordinated debt, and invested assets-notes receivable, classified in other invested assets, at March 31, 2026 and December 31, 2025 were determined using inputs to the valuation methodology that are unobservable (Level 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13.    Series A Preferred Shares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has 112,500 7% Series A Perpetual Cumulative Convertible Preferred Shares, par value $0.00125 per share (the “Series A Preferred Shares”) outstanding as of March 31, 2026 and December 31, 2025. The Series A Preferred Shares were issued on March 1, 2022 and are held by GPC Partners Investments (Thames) LP (“GPC Partners”), an affiliate of Gallatin Point Capital LLC.</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Series A Preferred Shares rank senior to our common stock with respect to dividend rights and rights on the distribution of assets on any liquidation, dissolution or winding up of the affairs of the Company, upon which the holders of Series A Preferred Shares would receive the greater of the $1,000 liquidation preference per share (the “Liquidation Preference”) plus accrued and unpaid dividends, or the amount they would have received if they had converted all of their Series A Preferred Shares to common stock immediately before such liquidation, dissolution or winding up.</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Holders of the Series A Preferred Shares are entitled to a dividend at the rate of 7% of the Liquidation Preference per annum, paid in cash, in-kind in common stock or in Series A Preferred Shares, at the Company’s election. On October 1, 2029, and each five-year anniversary thereafter, the dividend rate will reset to a rate equal to the five-year U.S. treasury rate plus 5.2%, subject to a cap of 8.0%. Dividends accrue and are payable quarterly. Cash dividends of $2.0 million were declared on the Series A Preferred Shares in each of the three-month periods ended March 31, 2026 and 2025.</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Series A Preferred Shares are convertible at the option of the holders thereof at any time into common stock at a conversion price of $8.32, making the Series A Preferred Shares convertible into 13,521,634 shares of common stock. The conversion price is subject to customary anti-dilution adjustments, including cash dividends on the common stock above specified levels.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left"/>
        <w:rPr/>
      </w:pPr>
      <w:hyperlink w:anchor="i979e96abde144df8bdcdd49602e9d3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JAMES RIVER GROUP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Certificate of Designations setting forth the terms of the Series A Preferred Shares (the “Certificate of Designations”) limits the Company's ability to pay dividends to its common shareholders. If the Company pays cash dividends of more than $0.05 per share of common stock per quarter, without the consent of at least the majority of the Series A Preferred Shares then outstanding, the Company will be required to reduce the conversion price of the Series A Preferred Shares. Additionally, the payment of cash dividends in excess of $0.10 per share of common stock per quarter is not permitted if the dividends on the Series A Preferred Shares for that quarter are not paid in cash, unless the Company’s insurance subsidiaries satisfy certain capital requirements. Share dividends payable on the common stock to the Company's shareholders also trigger a reduction of the conversion price applicable to the Series A Preferred Shares. None of the triggers that would result in adjustments to the conversion price have been met at March 31, 2026.</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If at any time the volume-weighted average price (“VWAP”) per share of common stock is greater than 200% of the then applicable conversion price for at least twenty (20) consecutive trading days, the Company will be able to elect to convert (a “Mandatory Conversion”) all of the outstanding Series A Preferred Shares into common stock. In the case of a Mandatory Conversion, each Series A Preferred Share then outstanding will be converted into (i) the number of shares of common stock equal to the quotient of (A) the sum of the Liquidation Preference and the accrued and unpaid dividends with respect to such Series A Preferred Share to be converted divided by (B) the conversion price of such share in effect as of the date of the Mandatory Conversion plus (ii) cash in lieu of fractional shares.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Upon any Mandatory Conversion on or before March 1, 2027, all dividends that would have accrued from the date of the Mandatory Conversion to the later of March 1, 2027 or the last day of the eighth quarter following the date of the Mandatory Conversion, the last eight quarters of which will be discounted to present value using a discount rate of 3.5% per annum, and will be immediately payable in common stock, valued at the average of the daily VWAP of the Company’s common stock during the five (5) trading days immediately preceding the conversion.</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holders of the Series A Preferred Shares may require the Company to repurchase their shares upon the occurrence of certain change of control events. Upon the occurrence of a Fundamental Change (as defined in the Certificate of Designations), each holder of outstanding Series A Preferred Shares will be permitted to, at its election, (i) effective as of immediately prior to the Fundamental Change, convert all or a portion of its Series A Preferred Shares into common stock, or (ii) require the Company to repurchase any or all of such holder’s Series A Preferred Shares at a purchase price per Series A Preferred Share equal to the Liquidation Preference of such Series A Preferred Share plus accrued and unpaid dividends plus, if the Fundamental Change repurchase occurs prior to March 1, 2027, all dividends that would have accrued up to such date, but that have not been paid. The repurchase price will be payable in cash.</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Because the Company may be required to repurchase all or a portion of the Series A Preferred Shares at the option of the holder upon the occurrence of certain change of control events, the Series A Preferred Shares are classified as mezzanine equity in the Company's consolidated balance sheets and recognized at their determined fair value of $133.1 million. The Series A Preferred Shares were valued using a lattice method commonly applied to value preferred shares. The Series A Preferred Shares are classified as Level 3 in the valuation hierarchy due to the presence of significant unobservable inputs.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Certificate of Designations limits transfers of the Series A Preferred Shares without the Company’s consent if, after the transfer, the transferee would hold 9.9% or more of the voting equity of the Company or, in the event of an A.M. Best downgrade of James River Insurance Company below A- (Excellent), 19.9% of the voting equity.</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 the terms of the Investment Agreement, GPC Partners has the right to designate one member of the Board (the “Series A Designee”). GPC Partners designated Matthew Botein as the Series A Designee, and Mr. Botein was approved by the Board as a director with a term that expired at the 2024 annual general meeting of the Company’s shareholders. Mr. Botein was re-elected as a director at each of the 2024 and 2025 annual meetings of shareholders for a term expiring at the following year's annual meeting.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14.    Capital Stock and Equity Awards</w:t>
      </w:r>
    </w:p>
    <w:p>
      <w:pPr>
        <w:pStyle w:val="TextBody"/>
        <w:bidi w:val="0"/>
        <w:spacing w:lineRule="auto" w:line="268" w:before="0" w:after="120"/>
        <w:jc w:val="both"/>
        <w:rPr>
          <w:rFonts w:ascii="Times New Roman;serif" w:hAnsi="Times New Roman;serif"/>
          <w:b/>
          <w:i/>
          <w:color w:val="000000"/>
          <w:sz w:val="20"/>
        </w:rPr>
      </w:pPr>
      <w:r>
        <w:rPr>
          <w:rFonts w:ascii="Times New Roman;serif" w:hAnsi="Times New Roman;serif"/>
          <w:b/>
          <w:i/>
          <w:color w:val="000000"/>
          <w:sz w:val="20"/>
        </w:rPr>
        <w:t>Common Shares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Total common shares outstanding increased from 45,968,584 at December 31, 2025 to 46,236,856 at March 31, 2026, reflecting 268,272 common shares issued in the three months ended March 31, 2026 related to vesting of RSUs.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0" w:after="0"/>
        <w:jc w:val="left"/>
        <w:rPr/>
      </w:pPr>
      <w:hyperlink w:anchor="i979e96abde144df8bdcdd49602e9d3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JAMES RIVER GROUP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Dividends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declared the following dividends on common shares during the first three months of 2026 and 2025:</w:t>
      </w:r>
    </w:p>
    <w:tbl>
      <w:tblPr>
        <w:tblW w:w="10205" w:type="dxa"/>
        <w:jc w:val="left"/>
        <w:tblInd w:w="0" w:type="dxa"/>
        <w:tblLayout w:type="fixed"/>
        <w:tblCellMar>
          <w:top w:w="28" w:type="dxa"/>
          <w:left w:w="28" w:type="dxa"/>
          <w:bottom w:w="28" w:type="dxa"/>
          <w:right w:w="28" w:type="dxa"/>
        </w:tblCellMar>
      </w:tblPr>
      <w:tblGrid>
        <w:gridCol w:w="559"/>
        <w:gridCol w:w="491"/>
        <w:gridCol w:w="494"/>
        <w:gridCol w:w="109"/>
        <w:gridCol w:w="109"/>
        <w:gridCol w:w="109"/>
        <w:gridCol w:w="538"/>
        <w:gridCol w:w="1304"/>
        <w:gridCol w:w="277"/>
        <w:gridCol w:w="109"/>
        <w:gridCol w:w="109"/>
        <w:gridCol w:w="109"/>
        <w:gridCol w:w="898"/>
        <w:gridCol w:w="898"/>
        <w:gridCol w:w="901"/>
        <w:gridCol w:w="109"/>
        <w:gridCol w:w="109"/>
        <w:gridCol w:w="109"/>
        <w:gridCol w:w="431"/>
        <w:gridCol w:w="431"/>
        <w:gridCol w:w="432"/>
        <w:gridCol w:w="109"/>
        <w:gridCol w:w="109"/>
        <w:gridCol w:w="109"/>
        <w:gridCol w:w="218"/>
        <w:gridCol w:w="857"/>
        <w:gridCol w:w="168"/>
      </w:tblGrid>
      <w:tr>
        <w:trPr/>
        <w:tc>
          <w:tcPr>
            <w:tcW w:w="559"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 xml:space="preserve">Date of Declaration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Dividend per Common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Payable to Shareholders of Record 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Payment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 Amount</w:t>
            </w:r>
          </w:p>
        </w:tc>
      </w:tr>
      <w:tr>
        <w:trPr/>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154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13,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484,837 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February 20,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0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0.01 </w:t>
            </w:r>
          </w:p>
        </w:tc>
        <w:tc>
          <w:tcPr>
            <w:tcW w:w="2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10,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477,412 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r>
        <w:trPr/>
        <w:tc>
          <w:tcPr>
            <w:tcW w:w="15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6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Included in the total dividends for the three months ended March 31, 2026 and 2025 are $22,000 and $18,000, respectively, of dividend equivalents on unvested RSUs. The balance of dividends payable on unvested RSUs was $90,000 at March 31, 2026 and $127,000 at December 31, 2025.</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Equity Incentive Plans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shareholders have approved various equity incentive plans, including the 2014 Long Term Incentive Plan (“2014 LTIP”) and the 2014 Non-Employee Director Incentive Plan (“2014 Director Plan”) (collectively, the “Plans”). All awards issued under the Plans are issued at the discretion of the Board of Directors.</w:t>
      </w:r>
    </w:p>
    <w:p>
      <w:pPr>
        <w:pStyle w:val="TextBody"/>
        <w:bidi w:val="0"/>
        <w:spacing w:lineRule="auto" w:line="288" w:before="0" w:after="120"/>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Employees are eligible to receive non-qualified stock options, incentive stock options, share appreciation rights, performance shares, restricted shares, RSUs, and other awards under the 2014 LTIP. The 2014 LTIP was amended on October 23, 2025, increasing the number of shares available for issuance under the 2014 LTIP by 1,650,000 shares. Following the amendment, the maximum number of shares available for issuance under the 2014 LTIP is 7,157,650, and at March 31, 2026, 1,328,128 shares are available for grant.</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July 26, 2022, the Board of Directors of the Company approved a new long-term incentive plan (the “LTI Plan”) under the 2014 LTIP. The LTI Plan is designed to align compensation of designated senior officers of the Company with Company performance and shareholder interests over the long-term. Awards under the LTI Plan are made in the form of performance restricted share units (a “PRSU”) and service based restricted share units (RSUs).</w:t>
      </w:r>
    </w:p>
    <w:p>
      <w:pPr>
        <w:pStyle w:val="TextBody"/>
        <w:bidi w:val="0"/>
        <w:spacing w:lineRule="auto" w:line="288" w:before="0" w:after="120"/>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Each PRSU represents a contingent right to receive one Company share of common stock based upon the level of achievement of certain performance metrics during specified three-year fiscal performance periods, with payout for achievement of threshold, target and maximum performance levels set at 50%, 100% and 200% of the target number of PRSUs, respectively. Initial PRSU awards are granted at the 100% target performance level. The Company projects the level of achievement for each award during the relevant performance period and periodically adjusts the number of outstanding awards to reflect the number of awards expected to vest.</w:t>
      </w:r>
    </w:p>
    <w:p>
      <w:pPr>
        <w:pStyle w:val="TextBody"/>
        <w:bidi w:val="0"/>
        <w:spacing w:lineRule="auto" w:line="288" w:before="0" w:after="120"/>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Non-employee directors of the Company are eligible to receive non-qualified stock options, share appreciation rights, performance shares, restricted shares, RSUs, and other awards under the 2014 Director Plan. The 2014 Director Plan was amended on October 23, 2025, increasing the number of shares available for issuance under the 2014 LTIP by 225,000 shares. Following the amendment, the maximum number of shares available for issuance under the 2014 Director Plan is 475,000, and at March 31, 2026, 176,273 shares are available for grant.</w:t>
      </w:r>
    </w:p>
    <w:p>
      <w:pPr>
        <w:pStyle w:val="TextBody"/>
        <w:bidi w:val="0"/>
        <w:spacing w:lineRule="auto" w:line="288" w:before="0" w:after="120"/>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Generally, awards issued under the 2014 LTIP and 2014 Director Plan vest immediately in the event that an award recipient is terminated without Cause (as defined in the applicable plans), and in the case of the 2014 LTIP for Good Reason (as defined in the applicable plans), at any time following a Change in Control (as defined in the applicable plans).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0" w:after="0"/>
        <w:jc w:val="left"/>
        <w:rPr/>
      </w:pPr>
      <w:hyperlink w:anchor="i979e96abde144df8bdcdd49602e9d3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JAMES RIVER GROUP HOLDINGS,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 (continued)</w:t>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RSUs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RSU activity:</w:t>
      </w:r>
    </w:p>
    <w:tbl>
      <w:tblPr>
        <w:tblW w:w="7854" w:type="dxa"/>
        <w:jc w:val="left"/>
        <w:tblInd w:w="0" w:type="dxa"/>
        <w:tblLayout w:type="fixed"/>
        <w:tblCellMar>
          <w:top w:w="28" w:type="dxa"/>
          <w:left w:w="28" w:type="dxa"/>
          <w:bottom w:w="28" w:type="dxa"/>
          <w:right w:w="28" w:type="dxa"/>
        </w:tblCellMar>
      </w:tblPr>
      <w:tblGrid>
        <w:gridCol w:w="939"/>
        <w:gridCol w:w="825"/>
        <w:gridCol w:w="830"/>
        <w:gridCol w:w="488"/>
        <w:gridCol w:w="488"/>
        <w:gridCol w:w="196"/>
        <w:gridCol w:w="109"/>
        <w:gridCol w:w="109"/>
        <w:gridCol w:w="109"/>
        <w:gridCol w:w="213"/>
        <w:gridCol w:w="622"/>
        <w:gridCol w:w="110"/>
        <w:gridCol w:w="109"/>
        <w:gridCol w:w="109"/>
        <w:gridCol w:w="109"/>
        <w:gridCol w:w="488"/>
        <w:gridCol w:w="488"/>
        <w:gridCol w:w="196"/>
        <w:gridCol w:w="109"/>
        <w:gridCol w:w="109"/>
        <w:gridCol w:w="109"/>
        <w:gridCol w:w="213"/>
        <w:gridCol w:w="622"/>
        <w:gridCol w:w="155"/>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Grant Date</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Grant Date</w:t>
              <w:br/>
              <w:t>Fair Value</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beginning of period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1,299,644 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885,173 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1,316,294 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1,321,733 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(367,456)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(358,399)</w:t>
            </w:r>
          </w:p>
        </w:tc>
        <w:tc>
          <w:tcPr>
            <w:tcW w:w="19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17.96 </w:t>
            </w:r>
          </w:p>
        </w:tc>
        <w:tc>
          <w:tcPr>
            <w:tcW w:w="15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PRSU performance adjustment</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end of period</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2,246,760 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1,848,507 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Outstanding RSUs granted to employees generally vest ratably over a three year vesting period. RSUs granted to non-employee directors generally have a one year vesting period. The holders of RSUs are entitled to dividend equivalents. The dividend equivalents are settled in cash at the same time that the underlying RSUs vest and are subject to the same risk of forfeiture as the underlying shares. The fair value of the RSUs granted is generally based on the market price of the underlying shares at the date of grant. The RSUs granted in 2026 and 2025 include 372,873 and 620,108 PRSU awards, respectively. Initial PRSU awards are granted at the 100% target performance level. The Company projects the level of achievement for each award during the performance period and periodically adjusts the number of outstanding awards to reflect the number of awards expected to vest.</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Compensation Expense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Share based compensation expense is recognized on a straight-line basis over the vesting period. The amount of expense and related tax benefit is summarized below:</w:t>
      </w:r>
    </w:p>
    <w:tbl>
      <w:tblPr>
        <w:tblW w:w="7613" w:type="dxa"/>
        <w:jc w:val="left"/>
        <w:tblInd w:w="0" w:type="dxa"/>
        <w:tblLayout w:type="fixed"/>
        <w:tblCellMar>
          <w:top w:w="28" w:type="dxa"/>
          <w:left w:w="28" w:type="dxa"/>
          <w:bottom w:w="28" w:type="dxa"/>
          <w:right w:w="28" w:type="dxa"/>
        </w:tblCellMar>
      </w:tblPr>
      <w:tblGrid>
        <w:gridCol w:w="1625"/>
        <w:gridCol w:w="1426"/>
        <w:gridCol w:w="1433"/>
        <w:gridCol w:w="109"/>
        <w:gridCol w:w="109"/>
        <w:gridCol w:w="151"/>
        <w:gridCol w:w="151"/>
        <w:gridCol w:w="293"/>
        <w:gridCol w:w="857"/>
        <w:gridCol w:w="151"/>
        <w:gridCol w:w="109"/>
        <w:gridCol w:w="109"/>
        <w:gridCol w:w="109"/>
        <w:gridCol w:w="211"/>
        <w:gridCol w:w="616"/>
        <w:gridCol w:w="154"/>
      </w:tblGrid>
      <w:tr>
        <w:trPr/>
        <w:tc>
          <w:tcPr>
            <w:tcW w:w="1625"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308" w:type="dxa"/>
            <w:gridSpan w:val="6"/>
            <w:tcBorders/>
          </w:tcPr>
          <w:p>
            <w:pPr>
              <w:pStyle w:val="TableContents"/>
              <w:bidi w:val="0"/>
              <w:spacing w:before="0" w:after="283"/>
              <w:jc w:val="left"/>
              <w:rPr>
                <w:sz w:val="4"/>
                <w:szCs w:val="4"/>
              </w:rPr>
            </w:pPr>
            <w:r>
              <w:rPr>
                <w:sz w:val="4"/>
                <w:szCs w:val="4"/>
              </w:rPr>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30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8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6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w:t>
            </w:r>
          </w:p>
        </w:tc>
      </w:tr>
      <w:tr>
        <w:trPr/>
        <w:tc>
          <w:tcPr>
            <w:tcW w:w="4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Share 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1,464 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U.S. tax benefit on share based compensation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1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March 31, 2026, the Company had $11.4 million of unrecognized share based compensation expense expected to be charged to earnings over a weighted-average period of 2.5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15.    Subsequent Events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April 23, 2026, the Board of Directors declared a cash dividend of $0.01 per share of common stock. The dividend is payable on June 30, 2026 to shareholders of record on June 8, 2026.</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April 23, 2026, the Board of Directors declared a quarterly dividend on the Series A Preferred Shares. The dividend of up to $2.0 million will be payable in cash on June 30, 2026 to shareholders of record on June 15,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pPr>
      <w:hyperlink w:anchor="i979e96abde144df8bdcdd49602e9d3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76" w:before="0" w:after="120"/>
        <w:jc w:val="both"/>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contains forward-looking statements that involve risks and uncertainties. Our actual results could differ materially from those anticipated in these forward-looking statements as a result of many factors. Factors that could cause such differences are discussed in the sections entitled “Special Note Regarding Forward-Looking Statements” in this Quarterly Report on Form 10-Q, and Part I, Item 1A “Risk Factors” in our Annual Report on Form 10-K for the year ended December 31, 2025. The results of operations for the three months ended March 31, 2026 are not necessarily indicative of the results that may be expected for the full year ending December 31, 2026, or for any other future period. The following discussion should be read in conjunction with the unaudited condensed consolidated financial statements and the notes thereto included in Part I, Item 1 of this Quarterly Report on Form 10-Q, and in conjunction with our Annual Report on Form 10-K for the year ended December 31, 2025.</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accompanying condensed consolidated financial statements and related notes have been prepared in accordance with United States (“U.S.”) generally accepted accounting principles (“GAAP”) and include the accounts of James River Group Holdings, Inc. and its subsidiaries. Unless the context indicates or suggests otherwise, references to “the Company”, “we”, “us” and “our” refer to James River Group Holdings, Inc. and its subsidiaries.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Our Business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James River Group Holdings, Inc. owns and operates a group of specialty property and casualty insurance companies focused on underwriting small and middle market casualty risks within the U.S. excess and surplus (“E&amp;S”) lines market. Our objective is to generate compelling returns on tangible common equity while limiting underwriting and investment volatility. We seek to accomplish this by earning profits from insurance underwriting and generating meaningful risk-adjusted investment returns, while managing our capital.</w:t>
      </w:r>
    </w:p>
    <w:p>
      <w:pPr>
        <w:pStyle w:val="TextBody"/>
        <w:bidi w:val="0"/>
        <w:spacing w:lineRule="auto" w:line="288"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report our continuing operations in three reportable segments: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Excess &amp; Surplus Lines segment offers commercial excess and surplus lines liability and property insurance in every U.S. state, the District of Columbia, Puerto Rico and the U.S. Virgin Islands through James River Insurance Company and its wholly-owned subsidiary, James River Casualty Company;</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Specialty Admitted Insurance segment focuses on niche classes within the standard insurance markets through its fronting business, where we retain a minority share of the risk and seek to earn fee income by allowing other carriers and producers to use our licensure, ratings, expertise and infrastructure. Through Falls Lake National and its subsidiaries, this segment has admitted licenses and the authority to write excess and surplus lines insurance in 50 states and the District of Columbia and distributes through a variety of sources, including program administrators and managing general agents;</w:t>
      </w:r>
    </w:p>
    <w:p>
      <w:pPr>
        <w:pStyle w:val="TextBody"/>
        <w:bidi w:val="0"/>
        <w:spacing w:lineRule="auto" w:line="288" w:before="0" w:after="120"/>
        <w:ind w:left="0" w:right="0" w:hanging="360"/>
        <w:jc w:val="both"/>
        <w:rPr/>
      </w:pPr>
      <w:r>
        <w:rPr>
          <w:color w:val="000000"/>
        </w:rPr>
        <w:t>•</w:t>
      </w:r>
      <w:r>
        <w:rPr>
          <w:rFonts w:ascii="Times New Roman;serif" w:hAnsi="Times New Roman;serif"/>
          <w:b w:val="false"/>
          <w:color w:val="000000"/>
          <w:sz w:val="20"/>
        </w:rPr>
        <w:t>The Corporate and Other segment consists of the management, technology, and treasury activities of our holding companies, interest expense associated with our debt, and expenses of our holding companies, including public company expenses and long-term incentive compensation (including share-based compensation) for the group.</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discontinued operations include losses recognized on the disposal of JRG Reinsurance Company Ltd. (“JRG Re”). The sale of JRG Re, which previously comprised the remaining operations of the former Casualty Reinsurance segment, closed on April 16, 2024, and resulted in the disposition of the Company's casualty reinsurance business and related assets. The Company has no continued involvement with JRG Re following the sale.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All of the Company’s U.S.-domiciled insurance subsidiaries are party to an intercompany pooling agreement that distributes the net underwriting results among the group companies based on their approximate pro-rata level of statutory capital and surplus to the total Company statutory capital and surplus. We report all segment information in this ‘‘Item 2. Management’s Discussion and Analysis of Financial Condition and Results of Operations’’ prior to the effects of intercompany reinsurance, consistent with the manner in which we evaluate the operating performance of our reportable segments.</w:t>
      </w:r>
    </w:p>
    <w:p>
      <w:pPr>
        <w:pStyle w:val="TextBody"/>
        <w:bidi w:val="0"/>
        <w:spacing w:lineRule="auto" w:line="288" w:before="0" w:after="120"/>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The A.M. Best Company financial strength rating for our group’s insurance subsidiaries is “A-” (Excellent) with a negative outlook. This rating reflects A.M. Best’s evaluation of our insurance subsidiaries’ financial strength, operating performance and ability to meet obligations to policyholders and is not an evaluation directed towards the protection of investors. The rating for our operating insurance companies of “A-” (Excellent) is the fourth highest rating of the thirteen ratings issued by A.M. Best and is assigned to insurers that have, in A.M. Best’s opinion, an excellent ability to meet their ongoing obligations to policyholders.</w:t>
      </w:r>
    </w:p>
    <w:p>
      <w:pPr>
        <w:pStyle w:val="TextBody"/>
        <w:bidi w:val="0"/>
        <w:spacing w:lineRule="auto" w:line="288" w:before="0" w:after="120"/>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 xml:space="preserve">The financial strength ratings assigned by A.M. Best have an impact on the ability of our insurance subsidiaries to attract and retain agents and brokers and on the risk profiles of the submissions for insurance that our subsidiaries receive. We believe the “A-” (Excellent) ratings assigned to our insurance subsidiaries allow our Excess &amp; Surplus Lines segment to actively pursue relationships with the agents and brokers identified in its marketing plans. If we remain on negative outlook for an extended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left"/>
        <w:rPr/>
      </w:pPr>
      <w:hyperlink w:anchor="i979e96abde144df8bdcdd49602e9d3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period of time, A.M. Best may downgrade our rating, which would have a materially adverse effect on our ability to continue to write new business.</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Key Metrics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discuss certain key metrics, described below, which we believe provide useful information about our business and the operational factors underlying our financial performance.</w:t>
      </w:r>
    </w:p>
    <w:p>
      <w:pPr>
        <w:pStyle w:val="TextBody"/>
        <w:bidi w:val="0"/>
        <w:spacing w:lineRule="auto" w:line="288" w:before="0" w:after="120"/>
        <w:jc w:val="both"/>
        <w:rPr/>
      </w:pPr>
      <w:r>
        <w:rPr>
          <w:rFonts w:ascii="Times New Roman;serif" w:hAnsi="Times New Roman;serif"/>
          <w:b w:val="false"/>
          <w:i/>
          <w:color w:val="000000"/>
          <w:sz w:val="20"/>
        </w:rPr>
        <w:t>Underwriting profit</w:t>
      </w:r>
      <w:r>
        <w:rPr>
          <w:color w:val="000000"/>
        </w:rPr>
        <w:t xml:space="preserve"> </w:t>
      </w:r>
      <w:r>
        <w:rPr>
          <w:rFonts w:ascii="Times New Roman;serif" w:hAnsi="Times New Roman;serif"/>
          <w:b w:val="false"/>
          <w:color w:val="000000"/>
          <w:sz w:val="20"/>
        </w:rPr>
        <w:t>is a non-GAAP measure commonly used in the property and casualty insurance industry to evaluate underwriting performance. We believe that the disclosure of underwriting profit by individual segment and of the Company as a whole is useful to investors, analysts, rating agencies and other users of our financial information in evaluating our performance because our objective is to consistently earn underwriting profits. We evaluate the performance of our segments and allocate resources based primarily on the potential for underwriting profit. We define underwriting profit as net earned premiums and gross fee income (in specific instances when the Company is not retaining insurance risk) less losses and loss adjustment expenses on business from continuing operations not subject to retroactive reinsurance accounting and other operating expenses. Other operating expenses include the underwriting, acquisition, and insurance expenses of the operating segments and, for consolidated underwriting profit, the expenses of the Corporate and Other segment. Our definition of underwriting profit may not be comparable to that of other companies. See “Reconciliation of Non-GAAP Measures” for a reconciliation of underwriting profit to income from continuing operations before taxes and for additional information.</w:t>
      </w:r>
    </w:p>
    <w:p>
      <w:pPr>
        <w:pStyle w:val="TextBody"/>
        <w:bidi w:val="0"/>
        <w:spacing w:lineRule="auto" w:line="288" w:before="0" w:after="120"/>
        <w:jc w:val="both"/>
        <w:rPr/>
      </w:pPr>
      <w:r>
        <w:rPr>
          <w:rFonts w:ascii="Times New Roman;serif" w:hAnsi="Times New Roman;serif"/>
          <w:b w:val="false"/>
          <w:i/>
          <w:color w:val="000000"/>
          <w:sz w:val="20"/>
        </w:rPr>
        <w:t>Loss ratio</w:t>
      </w:r>
      <w:r>
        <w:rPr>
          <w:rFonts w:ascii="Times New Roman;serif" w:hAnsi="Times New Roman;serif"/>
          <w:b w:val="false"/>
          <w:color w:val="000000"/>
          <w:sz w:val="20"/>
        </w:rPr>
        <w:t>, expressed as a percentage, is the ratio of losses and loss adjustment expenses on business from continuing operations not subject to retroactive reinsurance accounting to net earned premiums. Our definition of loss ratio may not be comparable to that of other companies. See “Underwriting Performance Ratios” for a reconciliation of underwriting ratios.</w:t>
      </w:r>
    </w:p>
    <w:p>
      <w:pPr>
        <w:pStyle w:val="TextBody"/>
        <w:bidi w:val="0"/>
        <w:spacing w:lineRule="auto" w:line="288" w:before="0" w:after="120"/>
        <w:jc w:val="both"/>
        <w:rPr/>
      </w:pPr>
      <w:r>
        <w:rPr>
          <w:rFonts w:ascii="Times New Roman;serif" w:hAnsi="Times New Roman;serif"/>
          <w:b w:val="false"/>
          <w:i/>
          <w:color w:val="000000"/>
          <w:sz w:val="20"/>
        </w:rPr>
        <w:t>Accident year loss ratio</w:t>
      </w:r>
      <w:r>
        <w:rPr>
          <w:rFonts w:ascii="Times New Roman;serif" w:hAnsi="Times New Roman;serif"/>
          <w:b w:val="false"/>
          <w:color w:val="000000"/>
          <w:sz w:val="20"/>
        </w:rPr>
        <w:t>, expressed as a percentage, is the ratio of losses and loss adjustment expenses for the current accident year (excluding development on prior accident year reserves) to net earned premiums for the current year (excluding ceded earned premium associated with adverse development covers covering prior accident years and net earned premium adjustments on certain reinsurance treaties with reinstatement premiums associated with prior years).</w:t>
      </w:r>
    </w:p>
    <w:p>
      <w:pPr>
        <w:pStyle w:val="TextBody"/>
        <w:bidi w:val="0"/>
        <w:spacing w:lineRule="auto" w:line="288" w:before="0" w:after="120"/>
        <w:jc w:val="both"/>
        <w:rPr/>
      </w:pPr>
      <w:r>
        <w:rPr>
          <w:rFonts w:ascii="Times New Roman;serif" w:hAnsi="Times New Roman;serif"/>
          <w:b w:val="false"/>
          <w:i/>
          <w:color w:val="000000"/>
          <w:sz w:val="20"/>
        </w:rPr>
        <w:t>Expense ratio</w:t>
      </w:r>
      <w:r>
        <w:rPr>
          <w:rFonts w:ascii="Times New Roman;serif" w:hAnsi="Times New Roman;serif"/>
          <w:b w:val="false"/>
          <w:color w:val="000000"/>
          <w:sz w:val="20"/>
        </w:rPr>
        <w:t>, expressed as a percentage, is the ratio of other operating expenses net of gross fee income included in other income to net earned premiums.</w:t>
      </w:r>
    </w:p>
    <w:p>
      <w:pPr>
        <w:pStyle w:val="TextBody"/>
        <w:bidi w:val="0"/>
        <w:spacing w:lineRule="auto" w:line="288" w:before="0" w:after="120"/>
        <w:jc w:val="both"/>
        <w:rPr/>
      </w:pPr>
      <w:r>
        <w:rPr>
          <w:rFonts w:ascii="Times New Roman;serif" w:hAnsi="Times New Roman;serif"/>
          <w:b w:val="false"/>
          <w:i/>
          <w:color w:val="000000"/>
          <w:sz w:val="20"/>
        </w:rPr>
        <w:t>Combined ratio</w:t>
      </w:r>
      <w:r>
        <w:rPr>
          <w:color w:val="000000"/>
        </w:rPr>
        <w:t xml:space="preserve"> </w:t>
      </w:r>
      <w:r>
        <w:rPr>
          <w:rFonts w:ascii="Times New Roman;serif" w:hAnsi="Times New Roman;serif"/>
          <w:b w:val="false"/>
          <w:color w:val="000000"/>
          <w:sz w:val="20"/>
        </w:rPr>
        <w:t>is a measure of underwriting performance calculated as the sum of the loss ratio and the expense ratio. A combined ratio of less than 100% indicates an underwriting profit, while a combined ratio greater than 100% reflects an underwriting loss. Our definition of combined ratio may not be comparable to that of other companies. See “Underwriting Performance Ratios” for a reconciliation of underwriting ratios.</w:t>
      </w:r>
    </w:p>
    <w:p>
      <w:pPr>
        <w:pStyle w:val="TextBody"/>
        <w:bidi w:val="0"/>
        <w:spacing w:lineRule="auto" w:line="288" w:before="0" w:after="120"/>
        <w:jc w:val="both"/>
        <w:rPr/>
      </w:pPr>
      <w:r>
        <w:rPr>
          <w:rFonts w:ascii="Times New Roman;serif" w:hAnsi="Times New Roman;serif"/>
          <w:b w:val="false"/>
          <w:i/>
          <w:color w:val="000000"/>
          <w:sz w:val="20"/>
        </w:rPr>
        <w:t>Adjusted net operating income</w:t>
      </w:r>
      <w:r>
        <w:rPr>
          <w:color w:val="000000"/>
        </w:rPr>
        <w:t xml:space="preserve"> </w:t>
      </w:r>
      <w:r>
        <w:rPr>
          <w:rFonts w:ascii="Times New Roman;serif" w:hAnsi="Times New Roman;serif"/>
          <w:b w:val="false"/>
          <w:color w:val="000000"/>
          <w:sz w:val="20"/>
        </w:rPr>
        <w:t>is an internal performance measure used in the management of our operations. We believe it gives our management and other users of our financial information useful insight into our results of operations and our underlying business performance. Adjusted net operating income is defined as income available to common shareholders excluding a) income (loss) from discontinued operations, b) the impact of retroactive reinsurance accounting, c) net realized and unrealized gains (losses) on investments, d) certain non-operating expenses such as professional service fees related to certain lawsuits, various strategic initiatives, and the filing of registration statements for the offering of securities, e) severance costs associated with terminated employees, f) deemed dividends recorded with the amendment of the Series A Preferred Shares, and g) the one-time tax benefit from the Domestication for business interest expenses. Adjusted net operating income is a non-GAAP measure and should not be viewed as a substitute for net income calculated in accordance with GAAP. Our definition of adjusted net operating income may not be comparable to that of other companies. See “Reconciliation of Non-GAAP Measures” for a reconciliation of income available to common shareholders to adjusted net operating income.</w:t>
      </w:r>
    </w:p>
    <w:p>
      <w:pPr>
        <w:pStyle w:val="TextBody"/>
        <w:bidi w:val="0"/>
        <w:spacing w:lineRule="auto" w:line="288" w:before="0" w:after="120"/>
        <w:jc w:val="both"/>
        <w:rPr/>
      </w:pPr>
      <w:r>
        <w:rPr>
          <w:rFonts w:ascii="Times New Roman;serif" w:hAnsi="Times New Roman;serif"/>
          <w:b w:val="false"/>
          <w:i/>
          <w:color w:val="000000"/>
          <w:sz w:val="20"/>
        </w:rPr>
        <w:t xml:space="preserve">Tangible equity </w:t>
      </w:r>
      <w:r>
        <w:rPr>
          <w:rFonts w:ascii="Times New Roman;serif" w:hAnsi="Times New Roman;serif"/>
          <w:b w:val="false"/>
          <w:color w:val="000000"/>
          <w:sz w:val="20"/>
        </w:rPr>
        <w:t>is defined as shareholders' equity plus mezzanine Series A Preferred Shares (as defined below) and the unrecognized deferred retroactive reinsurance gain less goodwill and intangible assets, net of amortization. Tangible equity is a non-GAAP measure and should not be viewed as a substitute for shareholders’ equity calculated in accordance with GAAP. Our definition of tangible equity may not be comparable to that of other companies. See “Reconciliation of Non-GAAP Measures” for a reconciliation of shareholders' equity to tangible equity.</w:t>
      </w:r>
    </w:p>
    <w:p>
      <w:pPr>
        <w:pStyle w:val="TextBody"/>
        <w:bidi w:val="0"/>
        <w:spacing w:lineRule="auto" w:line="288" w:before="0" w:after="120"/>
        <w:jc w:val="both"/>
        <w:rPr/>
      </w:pPr>
      <w:r>
        <w:rPr>
          <w:rFonts w:ascii="Times New Roman;serif" w:hAnsi="Times New Roman;serif"/>
          <w:b w:val="false"/>
          <w:i/>
          <w:color w:val="000000"/>
          <w:sz w:val="20"/>
        </w:rPr>
        <w:t xml:space="preserve">Tangible equity per share </w:t>
      </w:r>
      <w:r>
        <w:rPr>
          <w:rFonts w:ascii="Times New Roman;serif" w:hAnsi="Times New Roman;serif"/>
          <w:b w:val="false"/>
          <w:color w:val="000000"/>
          <w:sz w:val="20"/>
        </w:rPr>
        <w:t>represents tangible equity divided by the sum of total common shares outstanding plus the common shares resulting from an assumed conversion of the outstanding Series A Preferred Shares into common shares (at the conversion price effective as of the last day of the applicable period).</w:t>
      </w:r>
    </w:p>
    <w:p>
      <w:pPr>
        <w:pStyle w:val="TextBody"/>
        <w:bidi w:val="0"/>
        <w:spacing w:lineRule="auto" w:line="288" w:before="0" w:after="120"/>
        <w:jc w:val="both"/>
        <w:rPr/>
      </w:pPr>
      <w:r>
        <w:rPr>
          <w:rFonts w:ascii="Times New Roman;serif" w:hAnsi="Times New Roman;serif"/>
          <w:b w:val="false"/>
          <w:i/>
          <w:color w:val="000000"/>
          <w:sz w:val="20"/>
        </w:rPr>
        <w:t>Tangible common equity</w:t>
      </w:r>
      <w:r>
        <w:rPr>
          <w:color w:val="000000"/>
        </w:rPr>
        <w:t xml:space="preserve"> </w:t>
      </w:r>
      <w:r>
        <w:rPr>
          <w:rFonts w:ascii="Times New Roman;serif" w:hAnsi="Times New Roman;serif"/>
          <w:b w:val="false"/>
          <w:color w:val="000000"/>
          <w:sz w:val="20"/>
        </w:rPr>
        <w:t xml:space="preserve">is defined as shareholders' equity plus the unrecognized deferred retroactive reinsurance gain less goodwill and intangible assets, net of amortization. We believe tangible common equity is a good measure to evaluate the strength of our balance sheet and to compare returns relative to this measure. Key financial measures that we use to assess our longer term financial performance include the percentage growth in our tangible common equity per share and our return on tangible common equity. Tangible common equity is a non-GAAP measure and should not be viewed as a substitute for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left"/>
        <w:rPr/>
      </w:pPr>
      <w:hyperlink w:anchor="i979e96abde144df8bdcdd49602e9d3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shareholders’ equity calculated in accordance with GAAP. Our definition of tangible common equity may not be comparable to that of other companies. See “Reconciliation of Non-GAAP Measures” for a reconciliation of shareholders' equity to tangible common equity.</w:t>
      </w:r>
    </w:p>
    <w:p>
      <w:pPr>
        <w:pStyle w:val="TextBody"/>
        <w:bidi w:val="0"/>
        <w:spacing w:lineRule="auto" w:line="288" w:before="0" w:after="120"/>
        <w:jc w:val="both"/>
        <w:rPr/>
      </w:pPr>
      <w:r>
        <w:rPr>
          <w:rFonts w:ascii="Times New Roman;serif" w:hAnsi="Times New Roman;serif"/>
          <w:b w:val="false"/>
          <w:i/>
          <w:color w:val="000000"/>
          <w:sz w:val="20"/>
        </w:rPr>
        <w:t>Tangible common equity per share</w:t>
      </w:r>
      <w:r>
        <w:rPr>
          <w:color w:val="000000"/>
        </w:rPr>
        <w:t xml:space="preserve"> </w:t>
      </w:r>
      <w:r>
        <w:rPr>
          <w:rFonts w:ascii="Times New Roman;serif" w:hAnsi="Times New Roman;serif"/>
          <w:b w:val="false"/>
          <w:color w:val="000000"/>
          <w:sz w:val="20"/>
        </w:rPr>
        <w:t>represents tangible common equity divided by the total shares of common stock outstanding.</w:t>
      </w:r>
    </w:p>
    <w:p>
      <w:pPr>
        <w:pStyle w:val="TextBody"/>
        <w:bidi w:val="0"/>
        <w:spacing w:lineRule="auto" w:line="288" w:before="0" w:after="120"/>
        <w:jc w:val="both"/>
        <w:rPr/>
      </w:pPr>
      <w:r>
        <w:rPr>
          <w:rFonts w:ascii="Times New Roman;serif" w:hAnsi="Times New Roman;serif"/>
          <w:b w:val="false"/>
          <w:i/>
          <w:color w:val="000000"/>
          <w:sz w:val="20"/>
        </w:rPr>
        <w:t>Adjusted net operating return on tangible common equity</w:t>
      </w:r>
      <w:r>
        <w:rPr>
          <w:color w:val="000000"/>
        </w:rPr>
        <w:t xml:space="preserve"> </w:t>
      </w:r>
      <w:r>
        <w:rPr>
          <w:rFonts w:ascii="Times New Roman;serif" w:hAnsi="Times New Roman;serif"/>
          <w:b w:val="false"/>
          <w:color w:val="000000"/>
          <w:sz w:val="20"/>
        </w:rPr>
        <w:t>is defined as annualized adjusted net operating income expressed as a percentage of the average quarterly tangible common equity balances in the respective period.</w:t>
      </w:r>
    </w:p>
    <w:p>
      <w:pPr>
        <w:pStyle w:val="TextBody"/>
        <w:bidi w:val="0"/>
        <w:spacing w:lineRule="auto" w:line="288" w:before="0" w:after="120"/>
        <w:jc w:val="both"/>
        <w:rPr/>
      </w:pPr>
      <w:r>
        <w:rPr>
          <w:rFonts w:ascii="Times New Roman;serif" w:hAnsi="Times New Roman;serif"/>
          <w:b w:val="false"/>
          <w:i/>
          <w:color w:val="000000"/>
          <w:sz w:val="20"/>
        </w:rPr>
        <w:t>Net retention</w:t>
      </w:r>
      <w:r>
        <w:rPr>
          <w:color w:val="000000"/>
        </w:rPr>
        <w:t xml:space="preserve"> </w:t>
      </w:r>
      <w:r>
        <w:rPr>
          <w:rFonts w:ascii="Times New Roman;serif" w:hAnsi="Times New Roman;serif"/>
          <w:b w:val="false"/>
          <w:color w:val="000000"/>
          <w:sz w:val="20"/>
        </w:rPr>
        <w:t>is defined as the ratio of net written premiums to gross written premiums.</w:t>
      </w:r>
    </w:p>
    <w:p>
      <w:pPr>
        <w:pStyle w:val="TextBody"/>
        <w:bidi w:val="0"/>
        <w:spacing w:lineRule="auto" w:line="288" w:before="0" w:after="120"/>
        <w:jc w:val="both"/>
        <w:rPr/>
      </w:pPr>
      <w:r>
        <w:rPr>
          <w:rFonts w:ascii="Times New Roman;serif" w:hAnsi="Times New Roman;serif"/>
          <w:b w:val="false"/>
          <w:i/>
          <w:color w:val="000000"/>
          <w:sz w:val="20"/>
        </w:rPr>
        <w:t>Gross investment yield</w:t>
      </w:r>
      <w:r>
        <w:rPr>
          <w:color w:val="000000"/>
        </w:rPr>
        <w:t xml:space="preserve"> </w:t>
      </w:r>
      <w:r>
        <w:rPr>
          <w:rFonts w:ascii="Times New Roman;serif" w:hAnsi="Times New Roman;serif"/>
          <w:b w:val="false"/>
          <w:color w:val="000000"/>
          <w:sz w:val="20"/>
        </w:rPr>
        <w:t>is annualized investment income before any deductions for fees and expenses, expressed as a percentage of the average beginning and ending carrying values of those investments during the period.</w:t>
      </w:r>
    </w:p>
    <w:p>
      <w:pPr>
        <w:pStyle w:val="TextBody"/>
        <w:bidi w:val="0"/>
        <w:spacing w:lineRule="auto" w:line="288" w:before="0" w:after="120"/>
        <w:ind w:left="0" w:right="0" w:firstLine="360"/>
        <w:jc w:val="both"/>
        <w:rPr/>
      </w:pPr>
      <w:r>
        <w:rPr>
          <w:rFonts w:ascii="Times New Roman;serif" w:hAnsi="Times New Roman;serif"/>
          <w:b w:val="false"/>
          <w:color w:val="000000"/>
          <w:sz w:val="20"/>
        </w:rPr>
        <w:t>Unless specified otherwise, all references to our defined metrics above in this “Item 2. Management’s Discussion and Analysis of Financial Condition and Results of Operations”</w:t>
      </w:r>
      <w:r>
        <w:rPr>
          <w:color w:val="000000"/>
        </w:rPr>
        <w:t xml:space="preserve"> </w:t>
      </w:r>
      <w:r>
        <w:rPr>
          <w:rFonts w:ascii="Times New Roman;serif" w:hAnsi="Times New Roman;serif"/>
          <w:b w:val="false"/>
          <w:color w:val="000000"/>
          <w:sz w:val="20"/>
        </w:rPr>
        <w:t>are for our business from continuing operations that is not subject to retroactive reinsurance accounting. Management believes that the lack of economic impact of retroactive reinsurance accounting makes the presentation of our key metrics on business not subject to retroactive reinsurance accounting helpful to the users of our financial information. See “Underwriting Performance Ratios” and “Reconciliation of Non-GAAP Measures.”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Critical Accounting Policies and Estimates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preparing the unaudited condensed consolidated financial statements, we are required to make estimates and assumptions that affect the reported amounts of assets and liabilities and the disclosures of contingent assets and liabilities as of the date of the condensed consolidated financial statements and the reported amounts of revenues and expenses for the reporting period. Actual results could differ significantly from those estimates.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most critical accounting policies involve significant estimates and include those used in determining the reserve for losses and loss adjustment expenses and investment valuation and impairment. For a detailed discussion of each of these policies, refer to our Annual Report on Form 10-K for the year ended December 31, 2025. There have been no significant changes to any of these policies during the current year.</w:t>
      </w:r>
    </w:p>
    <w:p>
      <w:pPr>
        <w:pStyle w:val="TextBody"/>
        <w:bidi w:val="0"/>
        <w:spacing w:lineRule="auto" w:line="288" w:before="0" w:after="120"/>
        <w:jc w:val="both"/>
        <w:rPr>
          <w:rFonts w:ascii="Times New Roman;serif" w:hAnsi="Times New Roman;serif"/>
          <w:b/>
          <w:color w:val="000000"/>
          <w:sz w:val="20"/>
        </w:rPr>
      </w:pPr>
      <w:r>
        <w:rPr>
          <w:rFonts w:ascii="Times New Roman;serif" w:hAnsi="Times New Roman;serif"/>
          <w:b/>
          <w:color w:val="000000"/>
          <w:sz w:val="20"/>
        </w:rPr>
        <w:t>Recent Strategic Actions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Domestication of James River Group Holdings, Inc. (“JRG Holdings”)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November 7, 2025, we changed our jurisdiction of incorporation from Bermuda to Delaware, and we refer to this change as the “Domestication”. On the effective date, our common shares issued and outstanding immediately prior to the effective time of the Domestication automatically converted by operation of law into an equivalent number of shares of common stock of James River Group Holdings, Inc., a Delaware corporation. The Company recognized a one-time tax benefit of $14.1 million related to business interest expense effective with the Domestication. The Domestication is expected to lower the Company’s effective tax rate, as holding company expenses and interest expense (previously incurred in Bermuda and ineligible for U.S. tax deduction) will receive a U.S. tax deduction in future periods, as well as bring additional operating efficiencies. In connection with the Domestication, the Company dissolved James River Group Holdings UK Limited, its prior UK intermediate holding company, effective December 23,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288" w:before="0" w:after="0"/>
        <w:jc w:val="left"/>
        <w:rPr/>
      </w:pPr>
      <w:hyperlink w:anchor="i979e96abde144df8bdcdd49602e9d3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results:</w:t>
      </w:r>
    </w:p>
    <w:tbl>
      <w:tblPr>
        <w:tblW w:w="10205" w:type="dxa"/>
        <w:jc w:val="left"/>
        <w:tblInd w:w="0" w:type="dxa"/>
        <w:tblLayout w:type="fixed"/>
        <w:tblCellMar>
          <w:top w:w="28" w:type="dxa"/>
          <w:left w:w="28" w:type="dxa"/>
          <w:bottom w:w="28" w:type="dxa"/>
          <w:right w:w="28" w:type="dxa"/>
        </w:tblCellMar>
      </w:tblPr>
      <w:tblGrid>
        <w:gridCol w:w="1863"/>
        <w:gridCol w:w="1589"/>
        <w:gridCol w:w="1602"/>
        <w:gridCol w:w="109"/>
        <w:gridCol w:w="109"/>
        <w:gridCol w:w="109"/>
        <w:gridCol w:w="109"/>
        <w:gridCol w:w="113"/>
        <w:gridCol w:w="113"/>
        <w:gridCol w:w="220"/>
        <w:gridCol w:w="861"/>
        <w:gridCol w:w="282"/>
        <w:gridCol w:w="109"/>
        <w:gridCol w:w="109"/>
        <w:gridCol w:w="109"/>
        <w:gridCol w:w="211"/>
        <w:gridCol w:w="826"/>
        <w:gridCol w:w="271"/>
        <w:gridCol w:w="109"/>
        <w:gridCol w:w="109"/>
        <w:gridCol w:w="109"/>
        <w:gridCol w:w="308"/>
        <w:gridCol w:w="308"/>
        <w:gridCol w:w="548"/>
      </w:tblGrid>
      <w:tr>
        <w:trPr/>
        <w:tc>
          <w:tcPr>
            <w:tcW w:w="1863"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6"/>
            <w:tcBorders/>
          </w:tcPr>
          <w:p>
            <w:pPr>
              <w:pStyle w:val="TableContents"/>
              <w:bidi w:val="0"/>
              <w:spacing w:before="0" w:after="283"/>
              <w:jc w:val="left"/>
              <w:rPr>
                <w:sz w:val="4"/>
                <w:szCs w:val="4"/>
              </w:rPr>
            </w:pPr>
            <w:r>
              <w:rPr>
                <w:sz w:val="4"/>
                <w:szCs w:val="4"/>
              </w:rPr>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50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9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written premiums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236,373 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294,361 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(19.7)</w:t>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retention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28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written premiums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120,098 </w:t>
            </w:r>
          </w:p>
        </w:tc>
        <w:tc>
          <w:tcPr>
            <w:tcW w:w="28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127,956 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(6.1)</w:t>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earned premiums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135,712 </w:t>
            </w:r>
          </w:p>
        </w:tc>
        <w:tc>
          <w:tcPr>
            <w:tcW w:w="282"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151,902 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(10.7)</w:t>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and loss adjustment expenses excluding retroactive reinsurance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(93,971)</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(101,453)</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(7.4)</w:t>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(47,961)</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(49,728)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(3.6)</w:t>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Underwriting (loss) profit </w:t>
            </w:r>
            <w:r>
              <w:rPr>
                <w:rFonts w:ascii="Times New Roman;serif" w:hAnsi="Times New Roman;serif"/>
                <w:b w:val="false"/>
                <w:color w:val="000000"/>
                <w:sz w:val="16"/>
              </w:rPr>
              <w:t>(1),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(6,220)</w:t>
            </w:r>
          </w:p>
        </w:tc>
        <w:tc>
          <w:tcPr>
            <w:tcW w:w="2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and loss adjustment expenses - retroactive reinsurance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(14,189)</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21,327 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6.6 </w:t>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and unrealized losses on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(6,632)</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383.7 </w:t>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and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759 </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113.8 </w:t>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(5,589)</w:t>
            </w:r>
          </w:p>
        </w:tc>
        <w:tc>
          <w:tcPr>
            <w:tcW w:w="2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0.9 </w:t>
            </w:r>
          </w:p>
        </w:tc>
        <w:tc>
          <w:tcPr>
            <w:tcW w:w="5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from continuing operations before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(10,635)</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16,009 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(benefit) expense on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(1,861)</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from continuing operations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(8,774)</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10,988 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from discontinued operations, net of tax</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(89.5)</w:t>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(8,923)</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9,574 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Dividends on Series A Preferred Shares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w:t>
            </w:r>
          </w:p>
        </w:tc>
        <w:tc>
          <w:tcPr>
            <w:tcW w:w="2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(1,969)</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income available to common shareholders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(10,892)</w:t>
            </w:r>
          </w:p>
        </w:tc>
        <w:tc>
          <w:tcPr>
            <w:tcW w:w="2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7,605 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Adjusted net operating income </w:t>
            </w:r>
            <w:r>
              <w:rPr>
                <w:rFonts w:ascii="Times New Roman;serif" w:hAnsi="Times New Roman;serif"/>
                <w:b w:val="false"/>
                <w:color w:val="000000"/>
                <w:sz w:val="16"/>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5,806 </w:t>
            </w:r>
          </w:p>
        </w:tc>
        <w:tc>
          <w:tcPr>
            <w:tcW w:w="28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9,102 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(36.2)</w:t>
            </w:r>
          </w:p>
        </w:tc>
        <w:tc>
          <w:tcPr>
            <w:tcW w:w="5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Ratios: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363"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ratio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69.2 </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 ratio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35.4 </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Combined ratio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104.6 </w:t>
            </w:r>
          </w:p>
        </w:tc>
        <w:tc>
          <w:tcPr>
            <w:tcW w:w="28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Accident year loss ratio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5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36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4"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hanging="360"/>
        <w:jc w:val="left"/>
        <w:rPr>
          <w:rFonts w:ascii="Times New Roman;serif" w:hAnsi="Times New Roman;serif"/>
          <w:b w:val="false"/>
          <w:i/>
          <w:color w:val="000000"/>
          <w:sz w:val="20"/>
        </w:rPr>
      </w:pPr>
      <w:r>
        <w:rPr>
          <w:rFonts w:ascii="Times New Roman;serif" w:hAnsi="Times New Roman;serif"/>
          <w:b w:val="false"/>
          <w:i/>
          <w:color w:val="000000"/>
          <w:sz w:val="20"/>
        </w:rPr>
        <w:t>(1)Underwriting profit and adjusted net operating income are non-GAAP measures. See “Reconciliation of Non-GAAP Measures.”</w:t>
      </w:r>
    </w:p>
    <w:p>
      <w:pPr>
        <w:pStyle w:val="TextBody"/>
        <w:bidi w:val="0"/>
        <w:spacing w:lineRule="auto" w:line="288" w:before="0" w:after="240"/>
        <w:ind w:left="0" w:right="0" w:hanging="360"/>
        <w:jc w:val="left"/>
        <w:rPr>
          <w:rFonts w:ascii="Times New Roman;serif" w:hAnsi="Times New Roman;serif"/>
          <w:b w:val="false"/>
          <w:i/>
          <w:color w:val="000000"/>
          <w:sz w:val="20"/>
        </w:rPr>
      </w:pPr>
      <w:r>
        <w:rPr>
          <w:rFonts w:ascii="Times New Roman;serif" w:hAnsi="Times New Roman;serif"/>
          <w:b w:val="false"/>
          <w:i/>
          <w:color w:val="000000"/>
          <w:sz w:val="20"/>
        </w:rPr>
        <w:t>(2)Included in underwriting results for the three months ended March 31, 2026 and 2025 is gross fee income of $1.5 million, and $4.3 million, respectively.</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Three Months Ended March 31, 2026 and 2025</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reported a net loss from continuing operations of $8.8 million for the three months ended March 31, 2026. This compares to net income from continuing operations of $11.0 million for the three months ended March 31, 2025. Adjusted net operating income was $5.8 million and $9.1 million in the respective periods.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Underwriting results were a loss of $6.2 million (combined ratio of 104.6%) for the three months ended March 31, 2026 compared to an underwriting profit of $721,000 (combined ratio of 99.5%) for the three months ended March 31, 2025. Underwriting results for the respective periods include $6.7 million and $3.1 million of premium adjustments associated with prior years including reinstatement premiums in the Excess &amp; Surplus Lines segment which reduced net written and net earned premiums, and underwriting profit. The impact of the premium adjustments was a 4.9 and 2.0 percentage point increase in our combined ratios in the respective periods. The premium adjustments in the current period were primarily reinstatement premiums driven by one large claim ceded to a $9.0 million excess of $2.0 million treaty. The Company has less than $10.0 million of remaining exposure to additional reinstatement premiums on this treaty.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979e96abde144df8bdcdd49602e9d3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loss ratio for the current year period was 2.4 points higher than the prior year due to a slightly higher current accident year loss ratio and the impact of premium adjustments in the Excess &amp; Surplus Lines segment (3.2 points and 1.4 points in the respective periods). Net reserve development on prior accident years (excluding adverse prior year development that is subject to deferral under retroactive reinsurance accounting - see discussion below) was $165,000 and $131,000 favorable in the three months ended March 31, 2026 and 2025, respectively.</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expense ratio increased from 32.7% in the prior year to 35.4% in the current year primarily reflecting the premium adjustments in the Excess &amp; Surplus Lines segment which represented a 1.7 and 0.6 percentage point increase in the consolidated expense ratio in the respective periods. The higher current year expense ratio also reflects lower ceding commissions in the Excess &amp; Surplus Lines segment as we are retaining a greater percentage of the business we are writing in the segment and the decline in net earned premiums in the Specialty Admitted segment due to our selective approach to new fronting opportunities and the non-renewal of several programs. General and administrative expenses for the total Company were down $4.0 million compared to the prior year.</w:t>
      </w:r>
    </w:p>
    <w:p>
      <w:pPr>
        <w:pStyle w:val="TextBody"/>
        <w:bidi w:val="0"/>
        <w:spacing w:lineRule="auto" w:line="288" w:before="0" w:after="120"/>
        <w:ind w:left="0" w:right="0" w:firstLine="360"/>
        <w:jc w:val="both"/>
        <w:rPr/>
      </w:pPr>
      <w:r>
        <w:rPr>
          <w:rFonts w:ascii="Times New Roman;serif" w:hAnsi="Times New Roman;serif"/>
          <w:b w:val="false"/>
          <w:color w:val="000000"/>
          <w:sz w:val="20"/>
        </w:rPr>
        <w:t xml:space="preserve">Investment income increased by $1.3 million or 6.6% in the three months ended March 31, 2026 compared to the same period in the prior year driven by higher income from our private investments reflecting growth in our structured private credit investments, partially offset by lower yields elsewhere in the portfolio. Net realized and unrealized losses on investments of $6.6 million for the three months ended March 31, 2026 include $4.9 million and $1.8 million of net realized and unrealized losses on bank loan participations and equity securities, respectively. This compares to net realized and unrealized losses of $1.4 million for the three months ended March 31, 2025 which included $2.3 million of net realized and unrealized losses on bank loan participations, partially offset by $918,000 of net realized and unrealized gains on equity securities (see </w:t>
      </w:r>
      <w:r>
        <w:rPr>
          <w:rFonts w:ascii="Times New Roman;serif" w:hAnsi="Times New Roman;serif"/>
          <w:b w:val="false"/>
          <w:i/>
          <w:color w:val="000000"/>
          <w:sz w:val="20"/>
        </w:rPr>
        <w:t>Investing Results</w:t>
      </w:r>
      <w:r>
        <w:rPr>
          <w:color w:val="000000"/>
        </w:rPr>
        <w:t xml:space="preserve"> </w:t>
      </w:r>
      <w:r>
        <w:rPr>
          <w:rFonts w:ascii="Times New Roman;serif" w:hAnsi="Times New Roman;serif"/>
          <w:b w:val="false"/>
          <w:color w:val="000000"/>
          <w:sz w:val="20"/>
        </w:rPr>
        <w:t>below).</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Discontinued operations include losses recognized on the sale of JRG Re. For the three months ended March 31, 2026, the loss on disposal of $149,000 included additional selling costs incurred by the Company related to the sale of JRG Re net of a tax benefit. For the three months ended March 31, 2025, the loss on disposal of $1.4 million included a final downward adjustment to the closing date purchase price plus interest of $520,000 and $894,000 of additional selling costs incurred by the Company related to the sale of JRG Re.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net operating income declined from the prior year due to the lower underwriting results, partially offset by higher investment income. Tangible common equity declined 1.3% in the three months ended March 31, 2026 driven by the net loss for the period and unrealized losses on fixed maturities in other comprehensive income caused by higher interest rates. Our 5.7% adjusted net operating return on tangible common equity for the three months ended March 31, 2026 compares to an 11.5% return for the three months ended March 31, 2025.</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Loss Portfolio Transfers and Adverse Development Covers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Loss portfolio transfers and adverse development covers are forms of retroactive reinsurance utilized by the Company to transfer losses and loss adjustment expenses and associated risk of adverse development on covered subject business, as defined in the respective agreements, to an assuming reinsurer in exchange for a reinsurance premium. This reinsurance can bring economic finality (up to the limit of such agreements, if applicable) on the subject risks when they no longer meet the Company's risk appetite or are no longer aligned with the Company's risk management guidelines.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Commercial Auto Loss Portfolio Transfer</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September 27, 2021, James River Insurance and James River Casualty Company (together, “James River”) entered into a loss portfolio transfer transaction (the “Commercial Auto LPT”) with Aleka Insurance, Inc. (“Aleka”), a captive insurance company affiliate of Rasier LLC, to reinsure substantially all of the Excess &amp; Surplus Lines segment's legacy portfolio of commercial auto policies previously issued to Rasier LLC and its affiliates (collectively, “Rasier”) for which James River is not otherwise indemnified by Rasier. The reinsurance coverage is structured to be fully collateralized, is not subject to an aggregate limit, and is subject to certain exclusions. The cumulative amounts ceded under the loss portfolio transfer was $451.4 million as of both March 31, 2026 and December 31, 2025.</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Combined Loss Portfolio Transfer and Adverse Development Cover</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July 2, 2024, James River entered into a Combined Loss Portfolio Transfer and Adverse Development Cover Reinsurance Contract (the “E&amp;S ADC”) with State National Insurance Company, Inc. (“State National”). The transaction closed upon signing.</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E&amp;S ADC was effective January 1, 2024 (the “Effective Date”) and applies to James River’s Excess &amp; Surplus Lines segment casualty portfolio losses attaching to premium earned during 2010-2023 (both years inclusive), excluding, among others, losses related to commercial auto policies issued to a former large insured or its affiliates (the “Subject Business”). Pursuant to the E&amp;S ADC, (a) State National reinsures 85% of losses paid on and after the Effective Date in respect of the Subject Business in excess of $716.6 million up to an aggregate limit of $467.1 million (with State National’s share of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288" w:before="0" w:after="0"/>
        <w:jc w:val="left"/>
        <w:rPr/>
      </w:pPr>
      <w:hyperlink w:anchor="i979e96abde144df8bdcdd49602e9d3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aggregate limit being $397.0 million) in exchange for a reinsurance premium paid by James River equal to $313.2 million, and (b) James River continues to manage claims and to manage and collect the benefit of other existing third-party reinsurance on the Subject Business, which third-party reinsurance inures to the benefit of the E&amp;S ADC. Additional adverse development of $35.0 million (net of the Company's 15% retention) recognized on the subject business of the E&amp;S ADC in the year ended December 31, 2025 exhausted the remaining limit of the E&amp;S ADC.</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Adverse Development Cover</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November 11, 2024, Enstar, through its subsidiary Cavello Bay Reinsurance Limited (“Cavello Bay”), entered into an adverse development cover agreement with James River (“E&amp;S Top Up ADC”), pursuant to which, in exchange for a premium of $52.8 million (less an amount equal to the federal excise tax payable on the premium), Cavello Bay reinsures, effective January 1, 2024, 100% of the losses associated with James River’s Excess &amp; Surplus Lines segment casualty portfolio losses attaching to premium earned during 2010-2023 (both years inclusive). The E&amp;S Top Up ADC excludes losses related to commercial auto policies issued to a former large insured or its affiliates and is subject to a retention by James River of $1,183.7 million (the limit of the E&amp;S ADC executed on July 2, 2024) and up to an aggregate limit of $75.0 million. The E&amp;S Top Up ADC closed on December 23, 2024. The Company recognized a $52.8 million reduction in pre-tax income in connection with the adverse development cover upon closing. In 2025, $51.4 million of adverse development was ceded to the E&amp;S Top Up ADC, reducing the aggregate limit remaining on the E&amp;S Top Up ADC to $23.6 million at December 31, 2025. In the three months ended March 31, 2026, an additional $16.2 million of adverse development was ceded to the E&amp;S Top Up ADC, further reducing the aggregate limit remaining on the E&amp;S Top Up ADC to $7.5 million at March 31, 2026. Of the $16.2 million, $14.8 million was subject to deferral under retroactive reinsurance accounting.</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Retroactive Reinsurance Accounting</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periodically reevaluates the remaining reserves subject to the Commercial Auto LPT, the E&amp;S ADC, and the E&amp;S Top Up ADC, and when recognized adverse prior year development on the subject business causes the cumulative amounts ceded under the agreements to exceed the consideration paid, the agreements move into a gain position subject to retroactive reinsurance accounting under GAAP. Gains are deferred under retroactive reinsurance accounting and recognized in earnings in proportion to actual paid recoveries under the agreements using the recovery method. While the deferral of gains can introduce volatility in the Company's operating results in the short-term, over the life of the contract, we would expect no economic impact to the Company as long as the counterparty performs under the contract. The impact of retroactive reinsurance accounting is not indicative of the Company's current and ongoing operations.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tables summarize the retroactive reinsurance accounting for the Commercial Auto LPT, the E&amp;S ADC, and the E&amp;S Top Up ADC for the three months ended March 31, 2026 and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288" w:before="0" w:after="0"/>
        <w:jc w:val="left"/>
        <w:rPr/>
      </w:pPr>
      <w:hyperlink w:anchor="i979e96abde144df8bdcdd49602e9d335_7">
        <w:r>
          <w:rPr>
            <w:rStyle w:val="InternetLink"/>
            <w:rFonts w:ascii="Times New Roman;serif" w:hAnsi="Times New Roman;serif"/>
            <w:b w:val="false"/>
            <w:color w:val="0000FF"/>
            <w:sz w:val="20"/>
            <w:u w:val="single"/>
          </w:rPr>
          <w:t>Table of Contents</w:t>
        </w:r>
      </w:hyperlink>
    </w:p>
    <w:tbl>
      <w:tblPr>
        <w:tblW w:w="7524" w:type="dxa"/>
        <w:jc w:val="left"/>
        <w:tblInd w:w="0" w:type="dxa"/>
        <w:tblLayout w:type="fixed"/>
        <w:tblCellMar>
          <w:top w:w="28" w:type="dxa"/>
          <w:left w:w="28" w:type="dxa"/>
          <w:bottom w:w="28" w:type="dxa"/>
          <w:right w:w="28" w:type="dxa"/>
        </w:tblCellMar>
      </w:tblPr>
      <w:tblGrid>
        <w:gridCol w:w="1797"/>
        <w:gridCol w:w="1580"/>
        <w:gridCol w:w="1588"/>
        <w:gridCol w:w="211"/>
        <w:gridCol w:w="826"/>
        <w:gridCol w:w="109"/>
        <w:gridCol w:w="109"/>
        <w:gridCol w:w="109"/>
        <w:gridCol w:w="109"/>
        <w:gridCol w:w="211"/>
        <w:gridCol w:w="721"/>
        <w:gridCol w:w="154"/>
      </w:tblGrid>
      <w:tr>
        <w:trPr/>
        <w:tc>
          <w:tcPr>
            <w:tcW w:w="1797"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58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w:t>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Commercial Auto LPT</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retroactive reinsurance gain at beginning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Adverse prior year development ceded on subject business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Retroactive reinsurance benefits under the recovery method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retroactive reinsurance gain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E&amp;S ADC</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retroactive reinsurance gain at beginning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Adverse prior year development ceded on subject business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Retroactive reinsurance benefits under the recovery method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retroactive reinsurance gain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83,793 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48,748 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E&amp;S Top Up ADC</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retroactive reinsurance gain at beginning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Adverse prior year development ceded on subject business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Retroactive reinsurance benefits under the recovery method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retroactive reinsurance gain at end of period</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Total</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retroactive reinsurance gain at beginning of period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Adverse prior year development ceded on subject business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Retroactive reinsurance benefits under the recovery method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retroactive reinsurance gain at end of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100,909 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56,042 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Premiums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Insurance premiums are earned ratably over the terms of our insurance policies, generally twelve months. The following table summarizes the change in premium volume by component and business segment:</w:t>
      </w:r>
    </w:p>
    <w:tbl>
      <w:tblPr>
        <w:tblW w:w="7489" w:type="dxa"/>
        <w:jc w:val="left"/>
        <w:tblInd w:w="0" w:type="dxa"/>
        <w:tblLayout w:type="fixed"/>
        <w:tblCellMar>
          <w:top w:w="28" w:type="dxa"/>
          <w:left w:w="28" w:type="dxa"/>
          <w:bottom w:w="28" w:type="dxa"/>
          <w:right w:w="28" w:type="dxa"/>
        </w:tblCellMar>
      </w:tblPr>
      <w:tblGrid>
        <w:gridCol w:w="914"/>
        <w:gridCol w:w="800"/>
        <w:gridCol w:w="806"/>
        <w:gridCol w:w="109"/>
        <w:gridCol w:w="109"/>
        <w:gridCol w:w="109"/>
        <w:gridCol w:w="109"/>
        <w:gridCol w:w="128"/>
        <w:gridCol w:w="128"/>
        <w:gridCol w:w="248"/>
        <w:gridCol w:w="972"/>
        <w:gridCol w:w="128"/>
        <w:gridCol w:w="109"/>
        <w:gridCol w:w="109"/>
        <w:gridCol w:w="109"/>
        <w:gridCol w:w="211"/>
        <w:gridCol w:w="826"/>
        <w:gridCol w:w="109"/>
        <w:gridCol w:w="109"/>
        <w:gridCol w:w="109"/>
        <w:gridCol w:w="109"/>
        <w:gridCol w:w="291"/>
        <w:gridCol w:w="294"/>
        <w:gridCol w:w="544"/>
      </w:tblGrid>
      <w:tr>
        <w:trPr/>
        <w:tc>
          <w:tcPr>
            <w:tcW w:w="914"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6"/>
            <w:tcBorders/>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8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written premiums: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&amp; Surplus Lines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212,285 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(0.4)</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Admitted Insurance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24,088 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(70.3)</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236,373 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294,361 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(19.7)</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written premiums: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&amp; Surplus Lines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118,685 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3.1 </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Admitted Insurance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(89.0)</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120,098 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(6.1)</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earned premiums: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&amp; Surplus Lines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131,826 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(3.8)</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Admitted Insurance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3,886 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(73.9)</w:t>
            </w:r>
          </w:p>
        </w:tc>
        <w:tc>
          <w:tcPr>
            <w:tcW w:w="54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252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9" w:type="dxa"/>
            <w:gridSpan w:val="3"/>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135,712 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151,902 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(10.7)</w:t>
            </w:r>
          </w:p>
        </w:tc>
        <w:tc>
          <w:tcPr>
            <w:tcW w:w="5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288" w:before="0" w:after="0"/>
        <w:jc w:val="left"/>
        <w:rPr/>
      </w:pPr>
      <w:hyperlink w:anchor="i979e96abde144df8bdcdd49602e9d3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Gross written premiums for the Excess &amp; Surplus Lines segment (which represents 89.8% of our consolidated gross written premiums in the three months ended March 31, 2026) were flat with the prior year period as we continue to prioritize profitable growth in small to medium sized accounts. The market for Excess Property remains challenging. Submissions increased 3.5% over the prior year quarter and renewal rates were up 6.6% compared to the three months ended March 31, 2025. The change in gross written premiums by primary underwriting division is shown below:</w:t>
      </w:r>
    </w:p>
    <w:tbl>
      <w:tblPr>
        <w:tblW w:w="8712" w:type="dxa"/>
        <w:jc w:val="center"/>
        <w:tblInd w:w="0" w:type="dxa"/>
        <w:tblLayout w:type="fixed"/>
        <w:tblCellMar>
          <w:top w:w="28" w:type="dxa"/>
          <w:left w:w="28" w:type="dxa"/>
          <w:bottom w:w="28" w:type="dxa"/>
          <w:right w:w="28" w:type="dxa"/>
        </w:tblCellMar>
      </w:tblPr>
      <w:tblGrid>
        <w:gridCol w:w="1398"/>
        <w:gridCol w:w="1234"/>
        <w:gridCol w:w="1237"/>
        <w:gridCol w:w="109"/>
        <w:gridCol w:w="109"/>
        <w:gridCol w:w="109"/>
        <w:gridCol w:w="109"/>
        <w:gridCol w:w="128"/>
        <w:gridCol w:w="128"/>
        <w:gridCol w:w="248"/>
        <w:gridCol w:w="972"/>
        <w:gridCol w:w="128"/>
        <w:gridCol w:w="109"/>
        <w:gridCol w:w="109"/>
        <w:gridCol w:w="109"/>
        <w:gridCol w:w="211"/>
        <w:gridCol w:w="826"/>
        <w:gridCol w:w="109"/>
        <w:gridCol w:w="109"/>
        <w:gridCol w:w="109"/>
        <w:gridCol w:w="109"/>
        <w:gridCol w:w="291"/>
        <w:gridCol w:w="294"/>
        <w:gridCol w:w="418"/>
      </w:tblGrid>
      <w:tr>
        <w:trPr/>
        <w:tc>
          <w:tcPr>
            <w:tcW w:w="1398" w:type="dxa"/>
            <w:tcBorders/>
            <w:vAlign w:val="center"/>
          </w:tcPr>
          <w:p>
            <w:pPr>
              <w:pStyle w:val="TableContents"/>
              <w:bidi w:val="0"/>
              <w:spacing w:before="0" w:after="283"/>
              <w:jc w:val="left"/>
              <w:rPr>
                <w:sz w:val="4"/>
                <w:szCs w:val="4"/>
              </w:rPr>
            </w:pPr>
            <w:r>
              <w:rPr>
                <w:sz w:val="4"/>
                <w:szCs w:val="4"/>
              </w:rPr>
            </w:r>
          </w:p>
        </w:tc>
        <w:tc>
          <w:tcPr>
            <w:tcW w:w="1234"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1330" w:type="dxa"/>
            <w:gridSpan w:val="6"/>
            <w:tcBorders/>
          </w:tcPr>
          <w:p>
            <w:pPr>
              <w:pStyle w:val="TableContents"/>
              <w:bidi w:val="0"/>
              <w:spacing w:before="0" w:after="283"/>
              <w:jc w:val="left"/>
              <w:rPr>
                <w:sz w:val="4"/>
                <w:szCs w:val="4"/>
              </w:rPr>
            </w:pPr>
            <w:r>
              <w:rPr>
                <w:sz w:val="4"/>
                <w:szCs w:val="4"/>
              </w:rPr>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8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Casualty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81,387 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15.0 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Primary Casualty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60,969 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(6.0)</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Manufacturers &amp; Contractors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34,858 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(14.2)</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26,974 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6.1 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38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Property</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8,097 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(30.1)</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3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&amp; Surplus Lines gross written premium</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212,285 </w:t>
            </w:r>
          </w:p>
        </w:tc>
        <w:tc>
          <w:tcPr>
            <w:tcW w:w="1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(0.4)</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Gross written premiums for the Specialty Admitted Insurance segment (which represents 10.2% of our consolidated gross written premiums in the three months ended March 31, 2026) declined 70.3% from the prior year reflecting non-renewals of programs. We are being selective with fronting opportunities, focusing on low net retentions and placing strong, rated, reinsurance support. The fronting and reinsurance markets are currently very competitive, and we have refined our underwriting appetite meaningfully over the last few years. The segment currently has four active programs.</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Net Retention</w:t>
      </w:r>
    </w:p>
    <w:p>
      <w:pPr>
        <w:pStyle w:val="TextBody"/>
        <w:bidi w:val="0"/>
        <w:spacing w:lineRule="auto" w:line="288"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net premium retention is summarized by segment as follows:</w:t>
      </w:r>
    </w:p>
    <w:tbl>
      <w:tblPr>
        <w:tblW w:w="5511" w:type="dxa"/>
        <w:jc w:val="left"/>
        <w:tblInd w:w="0" w:type="dxa"/>
        <w:tblLayout w:type="fixed"/>
        <w:tblCellMar>
          <w:top w:w="28" w:type="dxa"/>
          <w:left w:w="28" w:type="dxa"/>
          <w:bottom w:w="28" w:type="dxa"/>
          <w:right w:w="28" w:type="dxa"/>
        </w:tblCellMar>
      </w:tblPr>
      <w:tblGrid>
        <w:gridCol w:w="912"/>
        <w:gridCol w:w="801"/>
        <w:gridCol w:w="806"/>
        <w:gridCol w:w="109"/>
        <w:gridCol w:w="109"/>
        <w:gridCol w:w="247"/>
        <w:gridCol w:w="247"/>
        <w:gridCol w:w="255"/>
        <w:gridCol w:w="256"/>
        <w:gridCol w:w="615"/>
        <w:gridCol w:w="109"/>
        <w:gridCol w:w="109"/>
        <w:gridCol w:w="109"/>
        <w:gridCol w:w="255"/>
        <w:gridCol w:w="256"/>
        <w:gridCol w:w="316"/>
      </w:tblGrid>
      <w:tr>
        <w:trPr/>
        <w:tc>
          <w:tcPr>
            <w:tcW w:w="912"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20"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154" w:type="dxa"/>
            <w:gridSpan w:val="6"/>
            <w:tcBorders/>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Excess &amp; Surplus Lines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55.9 </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54.0 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Specialty Admitted Insurance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Total</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50.8 </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Net premium retention for the Excess &amp; Surplus Lines segment increased in the current year due to changes made in our reinsurance coverage to retain more of the business we write. This was partially offset by the impact of higher premium adjustments in the current year associated with prior years including reinstatement premium ($6.7 million and $3.1 million in the three months ended March 31, 2026 and 2025, respectively) which reduced net written premiums and the net retention ratio in both periods.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lower net premium retention for the Specialty Admitted Insurance segment in 2026 reflects our focus on low net retentions, the impact of certain non-renewals in our fronting business, and changes in reinsurance as coverages renew.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288" w:before="0" w:after="0"/>
        <w:jc w:val="left"/>
        <w:rPr/>
      </w:pPr>
      <w:hyperlink w:anchor="i979e96abde144df8bdcdd49602e9d3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Segment Results</w:t>
      </w:r>
    </w:p>
    <w:p>
      <w:pPr>
        <w:pStyle w:val="TextBody"/>
        <w:bidi w:val="0"/>
        <w:spacing w:lineRule="auto" w:line="288" w:before="180" w:after="120"/>
        <w:jc w:val="left"/>
        <w:rPr>
          <w:rFonts w:ascii="Times New Roman;serif" w:hAnsi="Times New Roman;serif"/>
          <w:b w:val="false"/>
          <w:i/>
          <w:color w:val="000000"/>
          <w:sz w:val="20"/>
        </w:rPr>
      </w:pPr>
      <w:r>
        <w:rPr>
          <w:rFonts w:ascii="Times New Roman;serif" w:hAnsi="Times New Roman;serif"/>
          <w:b w:val="false"/>
          <w:i/>
          <w:color w:val="000000"/>
          <w:sz w:val="20"/>
        </w:rPr>
        <w:t>Excess &amp; Surplus Lines Segment</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Results for the Excess &amp; Surplus Lines segment are as follows:</w:t>
      </w:r>
    </w:p>
    <w:tbl>
      <w:tblPr>
        <w:tblW w:w="10205" w:type="dxa"/>
        <w:jc w:val="left"/>
        <w:tblInd w:w="0" w:type="dxa"/>
        <w:tblLayout w:type="fixed"/>
        <w:tblCellMar>
          <w:top w:w="28" w:type="dxa"/>
          <w:left w:w="28" w:type="dxa"/>
          <w:bottom w:w="28" w:type="dxa"/>
          <w:right w:w="28" w:type="dxa"/>
        </w:tblCellMar>
      </w:tblPr>
      <w:tblGrid>
        <w:gridCol w:w="1916"/>
        <w:gridCol w:w="1644"/>
        <w:gridCol w:w="1657"/>
        <w:gridCol w:w="109"/>
        <w:gridCol w:w="109"/>
        <w:gridCol w:w="109"/>
        <w:gridCol w:w="109"/>
        <w:gridCol w:w="113"/>
        <w:gridCol w:w="113"/>
        <w:gridCol w:w="220"/>
        <w:gridCol w:w="863"/>
        <w:gridCol w:w="283"/>
        <w:gridCol w:w="109"/>
        <w:gridCol w:w="109"/>
        <w:gridCol w:w="109"/>
        <w:gridCol w:w="211"/>
        <w:gridCol w:w="826"/>
        <w:gridCol w:w="271"/>
        <w:gridCol w:w="109"/>
        <w:gridCol w:w="109"/>
        <w:gridCol w:w="109"/>
        <w:gridCol w:w="287"/>
        <w:gridCol w:w="289"/>
        <w:gridCol w:w="422"/>
      </w:tblGrid>
      <w:tr>
        <w:trPr/>
        <w:tc>
          <w:tcPr>
            <w:tcW w:w="1916" w:type="dxa"/>
            <w:tcBorders/>
            <w:vAlign w:val="center"/>
          </w:tcPr>
          <w:p>
            <w:pPr>
              <w:pStyle w:val="TableContents"/>
              <w:bidi w:val="0"/>
              <w:spacing w:before="0" w:after="283"/>
              <w:jc w:val="left"/>
              <w:rPr>
                <w:sz w:val="4"/>
                <w:szCs w:val="4"/>
              </w:rPr>
            </w:pPr>
            <w:r>
              <w:rPr>
                <w:sz w:val="4"/>
                <w:szCs w:val="4"/>
              </w:rPr>
            </w:r>
          </w:p>
        </w:tc>
        <w:tc>
          <w:tcPr>
            <w:tcW w:w="1644" w:type="dxa"/>
            <w:tcBorders/>
            <w:vAlign w:val="center"/>
          </w:tcPr>
          <w:p>
            <w:pPr>
              <w:pStyle w:val="TableContents"/>
              <w:bidi w:val="0"/>
              <w:spacing w:before="0" w:after="283"/>
              <w:jc w:val="left"/>
              <w:rPr>
                <w:sz w:val="4"/>
                <w:szCs w:val="4"/>
              </w:rPr>
            </w:pPr>
            <w:r>
              <w:rPr>
                <w:sz w:val="4"/>
                <w:szCs w:val="4"/>
              </w:rPr>
            </w:r>
          </w:p>
        </w:tc>
        <w:tc>
          <w:tcPr>
            <w:tcW w:w="1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r>
      <w:tr>
        <w:trPr/>
        <w:tc>
          <w:tcPr>
            <w:tcW w:w="52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2"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1325" w:type="dxa"/>
            <w:gridSpan w:val="6"/>
            <w:tcBorders/>
          </w:tcPr>
          <w:p>
            <w:pPr>
              <w:pStyle w:val="TableContents"/>
              <w:bidi w:val="0"/>
              <w:spacing w:before="0" w:after="283"/>
              <w:jc w:val="left"/>
              <w:rPr>
                <w:sz w:val="4"/>
                <w:szCs w:val="4"/>
              </w:rPr>
            </w:pPr>
            <w:r>
              <w:rPr>
                <w:sz w:val="4"/>
                <w:szCs w:val="4"/>
              </w:rPr>
            </w:r>
          </w:p>
        </w:tc>
      </w:tr>
      <w:tr>
        <w:trPr/>
        <w:tc>
          <w:tcPr>
            <w:tcW w:w="52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36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52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300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written premiums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212,285 </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213,243 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(0.4)</w:t>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5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written premiums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118,685 </w:t>
            </w:r>
          </w:p>
        </w:tc>
        <w:tc>
          <w:tcPr>
            <w:tcW w:w="283"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115,079 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3.1 </w:t>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5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earned premiums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131,826 </w:t>
            </w:r>
          </w:p>
        </w:tc>
        <w:tc>
          <w:tcPr>
            <w:tcW w:w="283"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137,028 </w:t>
            </w:r>
          </w:p>
        </w:tc>
        <w:tc>
          <w:tcPr>
            <w:tcW w:w="27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(3.8)</w:t>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5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and loss adjustment expenses excluding retroactive reinsurance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(89,585)</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(88,804)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0.9 </w:t>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5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Underwriting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(37,585)</w:t>
            </w:r>
          </w:p>
        </w:tc>
        <w:tc>
          <w:tcPr>
            <w:tcW w:w="28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(36,566)</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2.8 </w:t>
            </w:r>
          </w:p>
        </w:tc>
        <w:tc>
          <w:tcPr>
            <w:tcW w:w="4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52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Underwriting profit </w:t>
            </w:r>
            <w:r>
              <w:rPr>
                <w:rFonts w:ascii="Times New Roman;serif" w:hAnsi="Times New Roman;serif"/>
                <w:b w:val="false"/>
                <w:i/>
                <w:color w:val="000000"/>
                <w:sz w:val="16"/>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4,656 </w:t>
            </w:r>
          </w:p>
        </w:tc>
        <w:tc>
          <w:tcPr>
            <w:tcW w:w="2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11,658 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(60.1)</w:t>
            </w:r>
          </w:p>
        </w:tc>
        <w:tc>
          <w:tcPr>
            <w:tcW w:w="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5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Ratios: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366"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ratio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68.0 </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Expense ratio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28.5 </w:t>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Combined ratio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Accident year loss ratio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64.8 </w:t>
            </w:r>
          </w:p>
        </w:tc>
        <w:tc>
          <w:tcPr>
            <w:tcW w:w="28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1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3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8"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rFonts w:ascii="Times New Roman;serif" w:hAnsi="Times New Roman;serif"/>
          <w:b w:val="false"/>
          <w:i/>
          <w:color w:val="000000"/>
          <w:sz w:val="20"/>
        </w:rPr>
      </w:pPr>
      <w:r>
        <w:rPr>
          <w:rFonts w:ascii="Times New Roman;serif" w:hAnsi="Times New Roman;serif"/>
          <w:b w:val="false"/>
          <w:i/>
          <w:color w:val="000000"/>
          <w:sz w:val="20"/>
        </w:rPr>
        <w:t>(1)Underwriting Profit is a non-GAAP Measure. See “Reconciliation of Non-GAAP Measures.”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Excess &amp; Surplus Lines segment produced underwriting profits of $4.7 million and $11.7 million (combined ratios of 96.5% and 91.5%) in the three months ended March 31, 2026 and 2025, respectively. The underwriting results in the respective periods were impacted by $6.7 million and $3.1 million of premium adjustments associated with prior years including reinstatement premium which reduced net written and net earned premiums, and underwriting profit. The impact of the premium adjustments was a 4.7 and 2.0 percentage point increase in the segment combined ratio for the respective quarters.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loss ratio for the three months ended March 31, 2026 increased from the prior year due to a higher current accident year loss ratio and the impact of premium adjustments (an additional 3.3 points and 1.4 points in the respective periods). Net reserve development on prior accident years (excluding adverse prior year development that is subject to deferral under retroactive reinsurance accounting - see discussion above) was $100,000 and $10,000 favorable in the three months ended March 31, 2026 and 2025, respectively.</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expense ratio increased from 26.7% in the prior year to 28.5% in the current year primarily reflecting the premium adjustments which represented a 1.4 and 0.6 percentage point increase in the segment expense ratio in the respective periods. The higher current year expense ratio also reflects lower ceding commissions in the segment as we are retaining a greater percentage of the business we write.</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Specialty Admitted Insurance Segment</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Results for the Specialty Admitted Insurance segment are as follows:</w:t>
      </w:r>
    </w:p>
    <w:tbl>
      <w:tblPr>
        <w:tblW w:w="7860" w:type="dxa"/>
        <w:jc w:val="left"/>
        <w:tblInd w:w="0" w:type="dxa"/>
        <w:tblLayout w:type="fixed"/>
        <w:tblCellMar>
          <w:top w:w="28" w:type="dxa"/>
          <w:left w:w="28" w:type="dxa"/>
          <w:bottom w:w="28" w:type="dxa"/>
          <w:right w:w="28" w:type="dxa"/>
        </w:tblCellMar>
      </w:tblPr>
      <w:tblGrid>
        <w:gridCol w:w="1120"/>
        <w:gridCol w:w="981"/>
        <w:gridCol w:w="989"/>
        <w:gridCol w:w="109"/>
        <w:gridCol w:w="109"/>
        <w:gridCol w:w="109"/>
        <w:gridCol w:w="109"/>
        <w:gridCol w:w="139"/>
        <w:gridCol w:w="139"/>
        <w:gridCol w:w="269"/>
        <w:gridCol w:w="919"/>
        <w:gridCol w:w="139"/>
        <w:gridCol w:w="109"/>
        <w:gridCol w:w="109"/>
        <w:gridCol w:w="109"/>
        <w:gridCol w:w="211"/>
        <w:gridCol w:w="721"/>
        <w:gridCol w:w="109"/>
        <w:gridCol w:w="109"/>
        <w:gridCol w:w="109"/>
        <w:gridCol w:w="109"/>
        <w:gridCol w:w="308"/>
        <w:gridCol w:w="308"/>
        <w:gridCol w:w="418"/>
      </w:tblGrid>
      <w:tr>
        <w:trPr/>
        <w:tc>
          <w:tcPr>
            <w:tcW w:w="1120"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t>
            </w:r>
          </w:p>
        </w:tc>
        <w:tc>
          <w:tcPr>
            <w:tcW w:w="1361" w:type="dxa"/>
            <w:gridSpan w:val="6"/>
            <w:tcBorders/>
          </w:tcPr>
          <w:p>
            <w:pPr>
              <w:pStyle w:val="TableContents"/>
              <w:bidi w:val="0"/>
              <w:spacing w:before="0" w:after="283"/>
              <w:jc w:val="left"/>
              <w:rPr>
                <w:sz w:val="4"/>
                <w:szCs w:val="4"/>
              </w:rPr>
            </w:pPr>
            <w:r>
              <w:rPr>
                <w:sz w:val="4"/>
                <w:szCs w:val="4"/>
              </w:rPr>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r>
          </w:p>
        </w:tc>
      </w:tr>
      <w:tr>
        <w:trPr/>
        <w:tc>
          <w:tcPr>
            <w:tcW w:w="309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written premiums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24,088 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(70.3)</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written premiums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1,413 </w:t>
            </w:r>
          </w:p>
        </w:tc>
        <w:tc>
          <w:tcPr>
            <w:tcW w:w="13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12,877 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(89.0)</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earned premiums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3,886 </w:t>
            </w:r>
          </w:p>
        </w:tc>
        <w:tc>
          <w:tcPr>
            <w:tcW w:w="13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14,874 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(73.9)</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and loss adjustment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(4,386)</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(65.3)</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3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Underwriting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(1,295)</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(48.8)</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3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Underwriting loss</w:t>
            </w:r>
            <w:r>
              <w:rPr>
                <w:color w:val="000000"/>
              </w:rPr>
              <w:t xml:space="preserve"> </w:t>
            </w:r>
            <w:r>
              <w:rPr>
                <w:rFonts w:ascii="Times New Roman;serif" w:hAnsi="Times New Roman;serif"/>
                <w:b w:val="false"/>
                <w:i/>
                <w:color w:val="000000"/>
                <w:sz w:val="16"/>
              </w:rPr>
              <w:t>(1), (2)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486.6 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bl>
    <w:p>
      <w:pPr>
        <w:pStyle w:val="TextBody"/>
        <w:bidi w:val="0"/>
        <w:spacing w:lineRule="auto" w:line="288" w:before="0" w:after="60"/>
        <w:ind w:left="0" w:right="0" w:hanging="360"/>
        <w:jc w:val="left"/>
        <w:rPr>
          <w:rFonts w:ascii="Times New Roman;serif" w:hAnsi="Times New Roman;serif"/>
          <w:b w:val="false"/>
          <w:i/>
          <w:color w:val="000000"/>
          <w:sz w:val="20"/>
        </w:rPr>
      </w:pPr>
      <w:r>
        <w:rPr>
          <w:rFonts w:ascii="Times New Roman;serif" w:hAnsi="Times New Roman;serif"/>
          <w:b w:val="false"/>
          <w:i/>
          <w:color w:val="000000"/>
          <w:sz w:val="20"/>
        </w:rPr>
        <w:t>(1)Underwriting Loss is a non-GAAP Measure. See “Reconciliation of Non-GAAP Measures.”</w:t>
      </w:r>
    </w:p>
    <w:p>
      <w:pPr>
        <w:pStyle w:val="TextBody"/>
        <w:bidi w:val="0"/>
        <w:spacing w:lineRule="auto" w:line="288" w:before="0" w:after="120"/>
        <w:ind w:left="0" w:right="0" w:hanging="360"/>
        <w:jc w:val="left"/>
        <w:rPr>
          <w:rFonts w:ascii="Times New Roman;serif" w:hAnsi="Times New Roman;serif"/>
          <w:b w:val="false"/>
          <w:i/>
          <w:color w:val="000000"/>
          <w:sz w:val="20"/>
        </w:rPr>
      </w:pPr>
      <w:r>
        <w:rPr>
          <w:rFonts w:ascii="Times New Roman;serif" w:hAnsi="Times New Roman;serif"/>
          <w:b w:val="false"/>
          <w:i/>
          <w:color w:val="000000"/>
          <w:sz w:val="20"/>
        </w:rPr>
        <w:t>(2)Underwriting results include gross fee income of $1.5 million and $4.3 million for the three months ended March 31, 2026 and 2025,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288" w:before="0" w:after="0"/>
        <w:jc w:val="left"/>
        <w:rPr/>
      </w:pPr>
      <w:hyperlink w:anchor="i979e96abde144df8bdcdd49602e9d3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Specialty Admitted Insurance segment reported underwriting losses of $1.8 million and $306,000 for the three months ended March 31, 2026 and 2025, respectively. Lower written and earned premium volumes in 2026 reflect our selective approach to new fronting opportunities and the non-renewal of several programs. Net development in our loss estimates for prior accident years was $65,000 and $121,000 favorable in the three months ended March 31, 2026 and 2025, respectively. We are closely managing expenses for the segment. Underwriting expenses decreased 48.8% from the prior year driven by a $2.9 million decrease in compensation and other general and administrative expenses, partially offset by a decrease in net ceding commissions.</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Corporate and Other Segment</w:t>
      </w:r>
    </w:p>
    <w:p>
      <w:pPr>
        <w:pStyle w:val="TextBody"/>
        <w:bidi w:val="0"/>
        <w:spacing w:lineRule="auto" w:line="288" w:before="0" w:after="120"/>
        <w:ind w:left="0" w:right="0" w:firstLine="360"/>
        <w:jc w:val="both"/>
        <w:rPr/>
      </w:pPr>
      <w:r>
        <w:rPr>
          <w:rFonts w:ascii="Times New Roman;serif" w:hAnsi="Times New Roman;serif"/>
          <w:b w:val="false"/>
          <w:color w:val="000000"/>
          <w:sz w:val="20"/>
        </w:rPr>
        <w:t>Other operating expenses for the Corporate and Other segment include personnel costs associated with the holding companies, professional fees, long-term incentive compensation (including share-based compensation) for the full Company, public company expenses and various other corporate expenses. The expenses are included in our calculation of consolidated underwriting profit, and in our consolidated expense ratio and combined ratio. Total operating expenses of the Corporate and Other segment were $9.1 million for the three months ended</w:t>
      </w:r>
      <w:r>
        <w:rPr>
          <w:color w:val="000000"/>
        </w:rPr>
        <w:t xml:space="preserve"> </w:t>
      </w:r>
      <w:r>
        <w:rPr>
          <w:rFonts w:ascii="Times New Roman;serif" w:hAnsi="Times New Roman;serif"/>
          <w:b w:val="false"/>
          <w:color w:val="000000"/>
          <w:sz w:val="20"/>
        </w:rPr>
        <w:t>March 31, 2026, down from $10.6 million in the prior year due to lower compensation expenses.</w:t>
      </w:r>
    </w:p>
    <w:p>
      <w:pPr>
        <w:pStyle w:val="TextBody"/>
        <w:bidi w:val="0"/>
        <w:spacing w:lineRule="auto" w:line="288" w:before="100" w:after="120"/>
        <w:jc w:val="left"/>
        <w:rPr>
          <w:rFonts w:ascii="Times New Roman;serif" w:hAnsi="Times New Roman;serif"/>
          <w:b/>
          <w:i/>
          <w:color w:val="000000"/>
          <w:sz w:val="20"/>
        </w:rPr>
      </w:pPr>
      <w:r>
        <w:rPr>
          <w:rFonts w:ascii="Times New Roman;serif" w:hAnsi="Times New Roman;serif"/>
          <w:b/>
          <w:i/>
          <w:color w:val="000000"/>
          <w:sz w:val="20"/>
        </w:rPr>
        <w:t>Investing Results</w:t>
      </w:r>
    </w:p>
    <w:p>
      <w:pPr>
        <w:pStyle w:val="TextBody"/>
        <w:bidi w:val="0"/>
        <w:spacing w:lineRule="auto" w:line="288" w:before="0" w:after="120"/>
        <w:ind w:left="0" w:right="0" w:firstLine="360"/>
        <w:jc w:val="both"/>
        <w:rPr/>
      </w:pPr>
      <w:r>
        <w:rPr>
          <w:rFonts w:ascii="Times New Roman;serif" w:hAnsi="Times New Roman;serif"/>
          <w:b w:val="false"/>
          <w:color w:val="000000"/>
          <w:sz w:val="20"/>
        </w:rPr>
        <w:t>Net investment income was $21.3 million and $20.0 million for the three months ended</w:t>
      </w:r>
      <w:r>
        <w:rPr>
          <w:color w:val="000000"/>
        </w:rPr>
        <w:t xml:space="preserve"> </w:t>
      </w:r>
      <w:r>
        <w:rPr>
          <w:rFonts w:ascii="Times New Roman;serif" w:hAnsi="Times New Roman;serif"/>
          <w:b w:val="false"/>
          <w:color w:val="000000"/>
          <w:sz w:val="20"/>
        </w:rPr>
        <w:t>March 31, 2026 and 2025, respectively. Income from the Company's private investments ($1.8 million and $200,000 in the respective periods) increased due to the growth of our investments in structured private credit. Excluding private investments, our net investment income for the three months ended March 31, 2026 decreased 1.5% from the prior year period principally due to lower yields. The average duration of our portfolio excluding restricted cash equivalents was 3.5 years at March 31, 2026.</w:t>
      </w:r>
    </w:p>
    <w:p>
      <w:pPr>
        <w:pStyle w:val="TextBody"/>
        <w:bidi w:val="0"/>
        <w:spacing w:lineRule="auto" w:line="288" w:before="0" w:after="12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Major categories of the Company’s net investment income are summarized as follows:</w:t>
      </w:r>
    </w:p>
    <w:tbl>
      <w:tblPr>
        <w:tblW w:w="9670" w:type="dxa"/>
        <w:jc w:val="left"/>
        <w:tblInd w:w="0" w:type="dxa"/>
        <w:tblLayout w:type="fixed"/>
        <w:tblCellMar>
          <w:top w:w="28" w:type="dxa"/>
          <w:left w:w="28" w:type="dxa"/>
          <w:bottom w:w="28" w:type="dxa"/>
          <w:right w:w="28" w:type="dxa"/>
        </w:tblCellMar>
      </w:tblPr>
      <w:tblGrid>
        <w:gridCol w:w="2332"/>
        <w:gridCol w:w="2048"/>
        <w:gridCol w:w="2054"/>
        <w:gridCol w:w="109"/>
        <w:gridCol w:w="109"/>
        <w:gridCol w:w="139"/>
        <w:gridCol w:w="139"/>
        <w:gridCol w:w="269"/>
        <w:gridCol w:w="919"/>
        <w:gridCol w:w="139"/>
        <w:gridCol w:w="109"/>
        <w:gridCol w:w="109"/>
        <w:gridCol w:w="109"/>
        <w:gridCol w:w="211"/>
        <w:gridCol w:w="721"/>
        <w:gridCol w:w="154"/>
      </w:tblGrid>
      <w:tr>
        <w:trPr/>
        <w:tc>
          <w:tcPr>
            <w:tcW w:w="2332" w:type="dxa"/>
            <w:tcBorders/>
            <w:vAlign w:val="center"/>
          </w:tcPr>
          <w:p>
            <w:pPr>
              <w:pStyle w:val="TableContents"/>
              <w:bidi w:val="0"/>
              <w:spacing w:before="0" w:after="283"/>
              <w:jc w:val="left"/>
              <w:rPr>
                <w:sz w:val="4"/>
                <w:szCs w:val="4"/>
              </w:rPr>
            </w:pPr>
            <w:r>
              <w:rPr>
                <w:sz w:val="4"/>
                <w:szCs w:val="4"/>
              </w:rPr>
            </w:r>
          </w:p>
        </w:tc>
        <w:tc>
          <w:tcPr>
            <w:tcW w:w="2048" w:type="dxa"/>
            <w:tcBorders/>
            <w:vAlign w:val="center"/>
          </w:tcPr>
          <w:p>
            <w:pPr>
              <w:pStyle w:val="TableContents"/>
              <w:bidi w:val="0"/>
              <w:spacing w:before="0" w:after="283"/>
              <w:jc w:val="left"/>
              <w:rPr>
                <w:sz w:val="4"/>
                <w:szCs w:val="4"/>
              </w:rPr>
            </w:pPr>
            <w:r>
              <w:rPr>
                <w:sz w:val="4"/>
                <w:szCs w:val="4"/>
              </w:rPr>
            </w:r>
          </w:p>
        </w:tc>
        <w:tc>
          <w:tcPr>
            <w:tcW w:w="20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643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4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7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 in thousands)</w:t>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maturity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14,532 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Bank loan participations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2,991 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invested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1,815 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restricted cash equivalents and short-term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1,968 </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investment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22,221 </w:t>
            </w:r>
          </w:p>
        </w:tc>
        <w:tc>
          <w:tcPr>
            <w:tcW w:w="1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20,958 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26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21,327 </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20,008 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annualized gross investment yields:</w:t>
      </w:r>
    </w:p>
    <w:tbl>
      <w:tblPr>
        <w:tblW w:w="5000" w:type="dxa"/>
        <w:jc w:val="left"/>
        <w:tblInd w:w="0" w:type="dxa"/>
        <w:tblLayout w:type="fixed"/>
        <w:tblCellMar>
          <w:top w:w="28" w:type="dxa"/>
          <w:left w:w="28" w:type="dxa"/>
          <w:bottom w:w="28" w:type="dxa"/>
          <w:right w:w="28" w:type="dxa"/>
        </w:tblCellMar>
      </w:tblPr>
      <w:tblGrid>
        <w:gridCol w:w="772"/>
        <w:gridCol w:w="678"/>
        <w:gridCol w:w="680"/>
        <w:gridCol w:w="109"/>
        <w:gridCol w:w="109"/>
        <w:gridCol w:w="247"/>
        <w:gridCol w:w="247"/>
        <w:gridCol w:w="247"/>
        <w:gridCol w:w="247"/>
        <w:gridCol w:w="615"/>
        <w:gridCol w:w="109"/>
        <w:gridCol w:w="109"/>
        <w:gridCol w:w="109"/>
        <w:gridCol w:w="203"/>
        <w:gridCol w:w="203"/>
        <w:gridCol w:w="316"/>
      </w:tblGrid>
      <w:tr>
        <w:trPr/>
        <w:tc>
          <w:tcPr>
            <w:tcW w:w="772"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3"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049" w:type="dxa"/>
            <w:gridSpan w:val="6"/>
            <w:tcBorders/>
          </w:tcPr>
          <w:p>
            <w:pPr>
              <w:pStyle w:val="TableContents"/>
              <w:bidi w:val="0"/>
              <w:spacing w:before="0" w:after="283"/>
              <w:jc w:val="left"/>
              <w:rPr>
                <w:sz w:val="4"/>
                <w:szCs w:val="4"/>
              </w:rPr>
            </w:pPr>
            <w:r>
              <w:rPr>
                <w:sz w:val="4"/>
                <w:szCs w:val="4"/>
              </w:rPr>
            </w:r>
          </w:p>
        </w:tc>
      </w:tr>
      <w:tr>
        <w:trPr/>
        <w:tc>
          <w:tcPr>
            <w:tcW w:w="21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1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invested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1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maturity securities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Of our total cash and invested assets of $1,955.6 million at March 31, 2026 (excluding restricted cash equivalents), $227.6 million represents the cash and cash equivalents portion of the portfolio. The majority of the portfolio, or $1,434.4 million, is comprised of fixed maturity securities that are classified as available-for-sale and carried at fair value with unrealized gains and losses on these securities reported, net of applicable taxes, as a separate component of accumulated comprehensive income (loss). Also included in our investments are $153.3 million of bank loan participations, $72.3 million of equity securities, $597,000 of short-term investments, and $67.4 million of other invested assets.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Bank loan participations generally provide a higher yield than our portfolio of fixed maturity securities and are primarily senior, secured floating-rate debt rated “BB”, “B”, or “CCC” by Standard &amp; Poor’s or an equivalent rating from another nationally recognized statistical rating organization, and are therefore below investment grade. Bank loans include assignments of and participations in performing and non-performing senior corporate debt generally acquired through primary bank syndications and in secondary markets. They consist of, but are not limited to, term loans, the funded and unfunded portions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288" w:before="0" w:after="0"/>
        <w:jc w:val="left"/>
        <w:rPr/>
      </w:pPr>
      <w:hyperlink w:anchor="i979e96abde144df8bdcdd49602e9d3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pPr>
      <w:r>
        <w:rPr>
          <w:rFonts w:ascii="Times New Roman;serif" w:hAnsi="Times New Roman;serif"/>
          <w:b w:val="false"/>
          <w:color w:val="000000"/>
          <w:sz w:val="20"/>
        </w:rPr>
        <w:t xml:space="preserve">revolving credit facilities, and similar loans and investments. </w:t>
      </w:r>
      <w:r>
        <w:rPr>
          <w:rFonts w:ascii="Times New Roman;serif" w:hAnsi="Times New Roman;serif"/>
          <w:b w:val="false"/>
          <w:color w:val="231F20"/>
          <w:sz w:val="20"/>
        </w:rPr>
        <w:t xml:space="preserve">Bank loan participations are measured at fair value pursuant to the Company's election of the fair value option, and changes in unrealized gains and losses in bank loan participations are reported in our income statement as net realized and unrealized gains (losses) on investments. </w:t>
      </w:r>
      <w:r>
        <w:rPr>
          <w:rFonts w:ascii="Times New Roman;serif" w:hAnsi="Times New Roman;serif"/>
          <w:b w:val="false"/>
          <w:color w:val="000000"/>
          <w:sz w:val="20"/>
        </w:rPr>
        <w:t>At March 31, 2026 and December 31, 2025, the fair market value of these securities was $153.3 million and $155.1 million, respectively.</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the Company recognized net realized and unrealized investment losses of $6.6 million, including $3.6 million of net unrealized losses on bank loan participations, $1.8 million of net unrealized losses for the change in the fair value of equity securities, $1.3 million of net realized investment losses on the sale of bank loan participations, and $35,000 of net realized investment gains on the sale of fixed maturity securities.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For the three months ended March 31, 2025, the Company recognized net realized and unrealized investment losses of $1.4 million, including $640,000 of net unrealized losses on bank loan participations, $708,000 of net unrealized gains for the change in the fair value of equity securities, $1.7 million of net realized investment losses on the sale of bank loan participations, $210,000 of net realized investment gains on the sale of equity securities, and $25,000 of net realized investment gains on the sale of fixed maturity securities.</w:t>
      </w:r>
    </w:p>
    <w:p>
      <w:pPr>
        <w:pStyle w:val="TextBody"/>
        <w:bidi w:val="0"/>
        <w:spacing w:lineRule="auto" w:line="288" w:before="0" w:after="120"/>
        <w:ind w:left="0" w:right="0" w:firstLine="360"/>
        <w:jc w:val="both"/>
        <w:rPr/>
      </w:pPr>
      <w:r>
        <w:rPr>
          <w:rFonts w:ascii="Times New Roman;serif" w:hAnsi="Times New Roman;serif"/>
          <w:b w:val="false"/>
          <w:color w:val="000000"/>
          <w:sz w:val="20"/>
        </w:rPr>
        <w:t xml:space="preserve">In conjunction with its outside investment managers, the Company performs quarterly reviews of all securities within its investment portfolio to determine whether any impairment has occurred. As a result of this review, management concluded that there were no credit-related impairments of fixed maturity securities at March 31, 2026, December 31, 2025, or March 31, 2025. At March 31, 2026, 100.0% of the Company’s fixed maturity security portfolio was rated “BBB-” or better (“investment grade”) by Standard &amp; Poor’s or received an equivalent rating from another nationally recognized rating agency. </w:t>
      </w:r>
      <w:r>
        <w:rPr>
          <w:rFonts w:ascii="Times New Roman;serif" w:hAnsi="Times New Roman;serif"/>
          <w:b w:val="false"/>
          <w:color w:val="231F20"/>
          <w:sz w:val="20"/>
        </w:rPr>
        <w:t>Management does not intend to sell available-for-sale securities in an unrealized loss position, and it is not “more likely than not” that the Company will be required to sell these securities before a recovery in their value to their amortized cost basis occurs.</w:t>
      </w:r>
    </w:p>
    <w:p>
      <w:pPr>
        <w:pStyle w:val="TextBody"/>
        <w:bidi w:val="0"/>
        <w:spacing w:lineRule="auto" w:line="288" w:before="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amortized cost and fair value of our available-for-sale fixed maturity securities were as follows:</w:t>
      </w:r>
    </w:p>
    <w:tbl>
      <w:tblPr>
        <w:tblW w:w="10393" w:type="dxa"/>
        <w:jc w:val="left"/>
        <w:tblInd w:w="0" w:type="dxa"/>
        <w:tblLayout w:type="fixed"/>
        <w:tblCellMar>
          <w:top w:w="28" w:type="dxa"/>
          <w:left w:w="28" w:type="dxa"/>
          <w:bottom w:w="28" w:type="dxa"/>
          <w:right w:w="28" w:type="dxa"/>
        </w:tblCellMar>
      </w:tblPr>
      <w:tblGrid>
        <w:gridCol w:w="1117"/>
        <w:gridCol w:w="296"/>
        <w:gridCol w:w="298"/>
        <w:gridCol w:w="211"/>
        <w:gridCol w:w="976"/>
        <w:gridCol w:w="109"/>
        <w:gridCol w:w="109"/>
        <w:gridCol w:w="109"/>
        <w:gridCol w:w="109"/>
        <w:gridCol w:w="211"/>
        <w:gridCol w:w="976"/>
        <w:gridCol w:w="109"/>
        <w:gridCol w:w="109"/>
        <w:gridCol w:w="109"/>
        <w:gridCol w:w="109"/>
        <w:gridCol w:w="307"/>
        <w:gridCol w:w="309"/>
        <w:gridCol w:w="292"/>
        <w:gridCol w:w="109"/>
        <w:gridCol w:w="109"/>
        <w:gridCol w:w="109"/>
        <w:gridCol w:w="211"/>
        <w:gridCol w:w="976"/>
        <w:gridCol w:w="109"/>
        <w:gridCol w:w="109"/>
        <w:gridCol w:w="109"/>
        <w:gridCol w:w="109"/>
        <w:gridCol w:w="211"/>
        <w:gridCol w:w="976"/>
        <w:gridCol w:w="109"/>
        <w:gridCol w:w="109"/>
        <w:gridCol w:w="109"/>
        <w:gridCol w:w="109"/>
        <w:gridCol w:w="307"/>
        <w:gridCol w:w="309"/>
        <w:gridCol w:w="339"/>
      </w:tblGrid>
      <w:tr>
        <w:trPr/>
        <w:tc>
          <w:tcPr>
            <w:tcW w:w="1117"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5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1"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or</w:t>
              <w:b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w:t>
              <w:br/>
              <w:t>Total</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Cost or</w:t>
              <w:b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w:t>
              <w:br/>
              <w:t>Total</w:t>
              <w:br/>
              <w:t>Fair Value</w:t>
            </w:r>
          </w:p>
        </w:tc>
      </w:tr>
      <w:tr>
        <w:trPr/>
        <w:tc>
          <w:tcPr>
            <w:tcW w:w="171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682"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 in thousands)</w:t>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maturity securities, available-for-sale:</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State and municipal</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15.6 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237,366 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15.6 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Residential mortgage-backed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466,820 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32.5 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483,074 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33.7 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180"/>
              <w:jc w:val="left"/>
              <w:rPr>
                <w:rFonts w:ascii="Times New Roman;serif" w:hAnsi="Times New Roman;serif"/>
                <w:b w:val="false"/>
                <w:color w:val="000000"/>
                <w:sz w:val="20"/>
              </w:rPr>
            </w:pPr>
            <w:r>
              <w:rPr>
                <w:rFonts w:ascii="Times New Roman;serif" w:hAnsi="Times New Roman;serif"/>
                <w:b w:val="false"/>
                <w:color w:val="000000"/>
                <w:sz w:val="20"/>
              </w:rPr>
              <w:t>Corporate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42.3 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589,477 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577,754 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41.1 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mortgage and asset-backed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8.5 </w:t>
            </w:r>
          </w:p>
        </w:tc>
        <w:tc>
          <w:tcPr>
            <w:tcW w:w="2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120,535 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8.6 </w:t>
            </w:r>
          </w:p>
        </w:tc>
        <w:tc>
          <w:tcPr>
            <w:tcW w:w="33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7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 and obligations guaranteed by the U.S. government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1.1 </w:t>
            </w:r>
          </w:p>
        </w:tc>
        <w:tc>
          <w:tcPr>
            <w:tcW w:w="2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1.0 </w:t>
            </w:r>
          </w:p>
        </w:tc>
        <w:tc>
          <w:tcPr>
            <w:tcW w:w="3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1711"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5" w:type="dxa"/>
            <w:gridSpan w:val="3"/>
            <w:tcBorders/>
            <w:vAlign w:val="center"/>
          </w:tcPr>
          <w:p>
            <w:pPr>
              <w:pStyle w:val="TableContents"/>
              <w:bidi w:val="0"/>
              <w:spacing w:before="0" w:after="283"/>
              <w:jc w:val="left"/>
              <w:rPr>
                <w:sz w:val="4"/>
                <w:szCs w:val="4"/>
              </w:rPr>
            </w:pPr>
            <w:r>
              <w:rPr>
                <w:sz w:val="4"/>
                <w:szCs w:val="4"/>
              </w:rPr>
            </w:r>
          </w:p>
        </w:tc>
      </w:tr>
      <w:tr>
        <w:trPr/>
        <w:tc>
          <w:tcPr>
            <w:tcW w:w="17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fixed maturity securities, available-for-sale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1,489,938 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1,434,375 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100.0 </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1,448,750 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1,404,774 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100.0 </w:t>
            </w:r>
          </w:p>
        </w:tc>
        <w:tc>
          <w:tcPr>
            <w:tcW w:w="3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bl>
    <w:p>
      <w:pPr>
        <w:pStyle w:val="TextBody"/>
        <w:bidi w:val="0"/>
        <w:spacing w:before="0" w:after="0"/>
        <w:jc w:val="left"/>
        <w:rPr/>
      </w:pPr>
      <w:r>
        <w:rPr/>
      </w:r>
    </w:p>
    <w:p>
      <w:pPr>
        <w:pStyle w:val="TextBody"/>
        <w:bidi w:val="0"/>
        <w:spacing w:lineRule="auto" w:line="288" w:before="0" w:after="120"/>
        <w:ind w:left="0" w:right="0" w:firstLine="360"/>
        <w:jc w:val="both"/>
        <w:rPr/>
      </w:pPr>
      <w:r>
        <w:rPr>
          <w:rFonts w:ascii="Times New Roman;serif" w:hAnsi="Times New Roman;serif"/>
          <w:b w:val="false"/>
          <w:color w:val="000000"/>
          <w:sz w:val="20"/>
        </w:rPr>
        <w:t xml:space="preserve">The following table sets forth the composition of the Company’s portfolio of available-for-sale fixed maturity securities by rating as of </w:t>
      </w:r>
      <w:r>
        <w:rPr>
          <w:rFonts w:ascii="Times New Roman;serif" w:hAnsi="Times New Roman;serif"/>
          <w:b w:val="false"/>
          <w:color w:val="231F20"/>
          <w:sz w:val="20"/>
        </w:rPr>
        <w:t>March 31, 2026</w:t>
      </w:r>
      <w:r>
        <w:rPr>
          <w:rFonts w:ascii="Times New Roman;serif" w:hAnsi="Times New Roman;serif"/>
          <w:b w:val="false"/>
          <w:color w:val="000000"/>
          <w:sz w:val="20"/>
        </w:rPr>
        <w:t>:</w:t>
      </w:r>
    </w:p>
    <w:tbl>
      <w:tblPr>
        <w:tblW w:w="6234" w:type="dxa"/>
        <w:jc w:val="left"/>
        <w:tblInd w:w="0" w:type="dxa"/>
        <w:tblLayout w:type="fixed"/>
        <w:tblCellMar>
          <w:top w:w="28" w:type="dxa"/>
          <w:left w:w="28" w:type="dxa"/>
          <w:bottom w:w="28" w:type="dxa"/>
          <w:right w:w="28" w:type="dxa"/>
        </w:tblCellMar>
      </w:tblPr>
      <w:tblGrid>
        <w:gridCol w:w="1242"/>
        <w:gridCol w:w="1094"/>
        <w:gridCol w:w="1098"/>
        <w:gridCol w:w="211"/>
        <w:gridCol w:w="976"/>
        <w:gridCol w:w="109"/>
        <w:gridCol w:w="109"/>
        <w:gridCol w:w="109"/>
        <w:gridCol w:w="109"/>
        <w:gridCol w:w="307"/>
        <w:gridCol w:w="309"/>
        <w:gridCol w:w="561"/>
      </w:tblGrid>
      <w:tr>
        <w:trPr/>
        <w:tc>
          <w:tcPr>
            <w:tcW w:w="1242"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r>
      <w:tr>
        <w:trPr/>
        <w:tc>
          <w:tcPr>
            <w:tcW w:w="3434"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6"/>
              </w:rPr>
            </w:pPr>
            <w:r>
              <w:rPr>
                <w:rFonts w:ascii="Times New Roman;serif" w:hAnsi="Times New Roman;serif"/>
                <w:b/>
                <w:color w:val="000000"/>
                <w:sz w:val="16"/>
              </w:rPr>
              <w:t>Standard &amp; Poor’s or Equivalent Designation</w:t>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 Total</w:t>
            </w:r>
          </w:p>
        </w:tc>
      </w:tr>
      <w:tr>
        <w:trPr/>
        <w:tc>
          <w:tcPr>
            <w:tcW w:w="34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28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 in thousands)</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AAA</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173,215 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AA</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630,036 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A</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33.2 </w:t>
            </w:r>
          </w:p>
        </w:tc>
        <w:tc>
          <w:tcPr>
            <w:tcW w:w="5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BBB</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5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34"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7" w:type="dxa"/>
            <w:gridSpan w:val="3"/>
            <w:tcBorders/>
            <w:vAlign w:val="center"/>
          </w:tcPr>
          <w:p>
            <w:pPr>
              <w:pStyle w:val="TableContents"/>
              <w:bidi w:val="0"/>
              <w:spacing w:before="0" w:after="283"/>
              <w:jc w:val="left"/>
              <w:rPr>
                <w:sz w:val="4"/>
                <w:szCs w:val="4"/>
              </w:rPr>
            </w:pPr>
            <w:r>
              <w:rPr>
                <w:sz w:val="4"/>
                <w:szCs w:val="4"/>
              </w:rPr>
            </w:r>
          </w:p>
        </w:tc>
      </w:tr>
      <w:tr>
        <w:trPr/>
        <w:tc>
          <w:tcPr>
            <w:tcW w:w="34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1,434,375 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5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288" w:before="0" w:after="0"/>
        <w:jc w:val="left"/>
        <w:rPr/>
      </w:pPr>
      <w:hyperlink w:anchor="i979e96abde144df8bdcdd49602e9d3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100" w:after="12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amortized cost and fair value of our available-for-sale investments in fixed maturity securities summarized by contractual maturity are as follows:</w:t>
      </w:r>
    </w:p>
    <w:tbl>
      <w:tblPr>
        <w:tblW w:w="7804" w:type="dxa"/>
        <w:jc w:val="left"/>
        <w:tblInd w:w="0" w:type="dxa"/>
        <w:tblLayout w:type="fixed"/>
        <w:tblCellMar>
          <w:top w:w="28" w:type="dxa"/>
          <w:left w:w="28" w:type="dxa"/>
          <w:bottom w:w="28" w:type="dxa"/>
          <w:right w:w="28" w:type="dxa"/>
        </w:tblCellMar>
      </w:tblPr>
      <w:tblGrid>
        <w:gridCol w:w="1210"/>
        <w:gridCol w:w="1060"/>
        <w:gridCol w:w="1075"/>
        <w:gridCol w:w="211"/>
        <w:gridCol w:w="976"/>
        <w:gridCol w:w="109"/>
        <w:gridCol w:w="109"/>
        <w:gridCol w:w="109"/>
        <w:gridCol w:w="109"/>
        <w:gridCol w:w="211"/>
        <w:gridCol w:w="976"/>
        <w:gridCol w:w="109"/>
        <w:gridCol w:w="109"/>
        <w:gridCol w:w="109"/>
        <w:gridCol w:w="109"/>
        <w:gridCol w:w="308"/>
        <w:gridCol w:w="308"/>
        <w:gridCol w:w="597"/>
      </w:tblGrid>
      <w:tr>
        <w:trPr/>
        <w:tc>
          <w:tcPr>
            <w:tcW w:w="1210"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5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of</w:t>
              <w:br/>
              <w:t>Total Value</w:t>
            </w:r>
          </w:p>
        </w:tc>
      </w:tr>
      <w:tr>
        <w:trPr/>
        <w:tc>
          <w:tcPr>
            <w:tcW w:w="334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59"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 in thousands)</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Due in:</w:t>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One year or less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51,229 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3.5 </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After one year through five years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433,282 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30.2 </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After five years through ten years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15.9 </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After ten years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152,785 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9.4 </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Residential mortgage-backed</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480,422 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32.5 </w:t>
            </w:r>
          </w:p>
        </w:tc>
        <w:tc>
          <w:tcPr>
            <w:tcW w:w="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33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mortgage and asset-backed</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125,934 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121,745 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8.5 </w:t>
            </w:r>
          </w:p>
        </w:tc>
        <w:tc>
          <w:tcPr>
            <w:tcW w:w="5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r>
        <w:trPr/>
        <w:tc>
          <w:tcPr>
            <w:tcW w:w="3345"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3" w:type="dxa"/>
            <w:gridSpan w:val="3"/>
            <w:tcBorders/>
            <w:vAlign w:val="center"/>
          </w:tcPr>
          <w:p>
            <w:pPr>
              <w:pStyle w:val="TableContents"/>
              <w:bidi w:val="0"/>
              <w:spacing w:before="0" w:after="283"/>
              <w:jc w:val="left"/>
              <w:rPr>
                <w:sz w:val="4"/>
                <w:szCs w:val="4"/>
              </w:rPr>
            </w:pPr>
            <w:r>
              <w:rPr>
                <w:sz w:val="4"/>
                <w:szCs w:val="4"/>
              </w:rPr>
            </w:r>
          </w:p>
        </w:tc>
      </w:tr>
      <w:tr>
        <w:trPr/>
        <w:tc>
          <w:tcPr>
            <w:tcW w:w="33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1,489,938 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1,434,375 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100.0 </w:t>
            </w:r>
          </w:p>
        </w:tc>
        <w:tc>
          <w:tcPr>
            <w:tcW w:w="5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i/>
                <w:color w:val="000000"/>
                <w:sz w:val="20"/>
              </w:rPr>
            </w:pPr>
            <w:r>
              <w:rPr>
                <w:rFonts w:ascii="Times New Roman;serif" w:hAnsi="Times New Roman;serif"/>
                <w:b w:val="false"/>
                <w:i/>
                <w:color w:val="000000"/>
                <w:sz w:val="20"/>
              </w:rPr>
              <w:t>%</w:t>
            </w:r>
          </w:p>
        </w:tc>
      </w:tr>
    </w:tbl>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Other Income and Expense</w:t>
      </w:r>
    </w:p>
    <w:p>
      <w:pPr>
        <w:pStyle w:val="TextBody"/>
        <w:bidi w:val="0"/>
        <w:spacing w:lineRule="auto" w:line="288" w:before="0" w:after="120"/>
        <w:ind w:left="0" w:right="0" w:firstLine="360"/>
        <w:jc w:val="both"/>
        <w:rPr/>
      </w:pPr>
      <w:r>
        <w:rPr>
          <w:rFonts w:ascii="Times New Roman;serif" w:hAnsi="Times New Roman;serif"/>
          <w:b w:val="false"/>
          <w:color w:val="000000"/>
          <w:sz w:val="20"/>
        </w:rPr>
        <w:t>Other income and expense items netted to income of $759,000 and $355,000 for the three</w:t>
      </w:r>
      <w:r>
        <w:rPr>
          <w:color w:val="231F20"/>
        </w:rPr>
        <w:t xml:space="preserve"> </w:t>
      </w:r>
      <w:r>
        <w:rPr>
          <w:rFonts w:ascii="Times New Roman;serif" w:hAnsi="Times New Roman;serif"/>
          <w:b w:val="false"/>
          <w:color w:val="231F20"/>
          <w:sz w:val="20"/>
        </w:rPr>
        <w:t>months ended March 31, 2026 and 2025, respectively. N</w:t>
      </w:r>
      <w:r>
        <w:rPr>
          <w:rFonts w:ascii="Times New Roman;serif" w:hAnsi="Times New Roman;serif"/>
          <w:b w:val="false"/>
          <w:color w:val="000000"/>
          <w:sz w:val="20"/>
        </w:rPr>
        <w:t>on-operating expenses i</w:t>
      </w:r>
      <w:r>
        <w:rPr>
          <w:rFonts w:ascii="Times New Roman;serif" w:hAnsi="Times New Roman;serif"/>
          <w:b w:val="false"/>
          <w:color w:val="231F20"/>
          <w:sz w:val="20"/>
        </w:rPr>
        <w:t>ncluded in the respective totals were</w:t>
      </w:r>
      <w:r>
        <w:rPr>
          <w:color w:val="000000"/>
        </w:rPr>
        <w:t xml:space="preserve"> </w:t>
      </w:r>
      <w:r>
        <w:rPr>
          <w:rFonts w:ascii="Times New Roman;serif" w:hAnsi="Times New Roman;serif"/>
          <w:b w:val="false"/>
          <w:color w:val="000000"/>
          <w:sz w:val="20"/>
        </w:rPr>
        <w:t>$128,000 and $563,000</w:t>
      </w:r>
      <w:r>
        <w:rPr>
          <w:rFonts w:ascii="Times New Roman;serif" w:hAnsi="Times New Roman;serif"/>
          <w:b w:val="false"/>
          <w:color w:val="231F20"/>
          <w:sz w:val="20"/>
        </w:rPr>
        <w:t>,</w:t>
      </w:r>
      <w:r>
        <w:rPr>
          <w:color w:val="000000"/>
        </w:rPr>
        <w:t xml:space="preserve"> </w:t>
      </w:r>
      <w:r>
        <w:rPr>
          <w:rFonts w:ascii="Times New Roman;serif" w:hAnsi="Times New Roman;serif"/>
          <w:b w:val="false"/>
          <w:color w:val="000000"/>
          <w:sz w:val="20"/>
        </w:rPr>
        <w:t xml:space="preserve">primarily consisting of legal and other professional fees and other expenses related to various strategic initiatives, employee severance, and litigation that the Company is involved in. </w:t>
      </w:r>
      <w:r>
        <w:rPr>
          <w:rFonts w:ascii="Times New Roman;serif" w:hAnsi="Times New Roman;serif"/>
          <w:b w:val="false"/>
          <w:color w:val="231F20"/>
          <w:sz w:val="20"/>
        </w:rPr>
        <w:t>T</w:t>
      </w:r>
      <w:r>
        <w:rPr>
          <w:rFonts w:ascii="Times New Roman;serif" w:hAnsi="Times New Roman;serif"/>
          <w:b w:val="false"/>
          <w:color w:val="000000"/>
          <w:sz w:val="20"/>
        </w:rPr>
        <w:t>he non-operating expenses were offset by $815,000 and $835,000 of broker incentive rebates in the Excess &amp; Surplus Lines segment, as well as other miscellaneous income in the respective periods.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Interest Expense</w:t>
      </w:r>
    </w:p>
    <w:p>
      <w:pPr>
        <w:pStyle w:val="TextBody"/>
        <w:bidi w:val="0"/>
        <w:spacing w:lineRule="auto" w:line="288" w:before="0" w:after="120"/>
        <w:ind w:left="0" w:right="0" w:firstLine="360"/>
        <w:jc w:val="both"/>
        <w:rPr/>
      </w:pPr>
      <w:r>
        <w:rPr>
          <w:rFonts w:ascii="Times New Roman;serif" w:hAnsi="Times New Roman;serif"/>
          <w:b w:val="false"/>
          <w:color w:val="000000"/>
          <w:sz w:val="20"/>
        </w:rPr>
        <w:t>Interest expense was $5.6 million and $5.5 million for the three</w:t>
      </w:r>
      <w:r>
        <w:rPr>
          <w:color w:val="231F20"/>
        </w:rPr>
        <w:t xml:space="preserve"> </w:t>
      </w:r>
      <w:r>
        <w:rPr>
          <w:rFonts w:ascii="Times New Roman;serif" w:hAnsi="Times New Roman;serif"/>
          <w:b w:val="false"/>
          <w:color w:val="231F20"/>
          <w:sz w:val="20"/>
        </w:rPr>
        <w:t>months ended March 31, 2026 and 2025, respectively.</w:t>
      </w:r>
      <w:r>
        <w:rPr>
          <w:color w:val="000000"/>
        </w:rPr>
        <w:t xml:space="preserve"> </w:t>
      </w:r>
      <w:r>
        <w:rPr>
          <w:rFonts w:ascii="Times New Roman;serif" w:hAnsi="Times New Roman;serif"/>
          <w:b w:val="false"/>
          <w:color w:val="000000"/>
          <w:sz w:val="20"/>
        </w:rPr>
        <w:t>See “—Liquidity and Capital Resources—Sources and Uses of Funds” for more information regarding our senior bank debt facilities and trust preferred securities.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Amortization of Intangibles and Impairment of Intangible Assets</w:t>
      </w:r>
    </w:p>
    <w:p>
      <w:pPr>
        <w:pStyle w:val="TextBody"/>
        <w:bidi w:val="0"/>
        <w:spacing w:lineRule="auto" w:line="288" w:before="0" w:after="120"/>
        <w:ind w:left="0" w:right="0" w:firstLine="360"/>
        <w:jc w:val="both"/>
        <w:rPr/>
      </w:pPr>
      <w:r>
        <w:rPr>
          <w:rFonts w:ascii="Times New Roman;serif" w:hAnsi="Times New Roman;serif"/>
          <w:b w:val="false"/>
          <w:color w:val="000000"/>
          <w:sz w:val="20"/>
        </w:rPr>
        <w:t xml:space="preserve">The Company recorded $91,000 of amortization of intangible assets in each of the three months ended </w:t>
      </w:r>
      <w:r>
        <w:rPr>
          <w:rFonts w:ascii="Times New Roman;serif" w:hAnsi="Times New Roman;serif"/>
          <w:b w:val="false"/>
          <w:color w:val="231F20"/>
          <w:sz w:val="20"/>
        </w:rPr>
        <w:t>March 31, 2026</w:t>
      </w:r>
      <w:r>
        <w:rPr>
          <w:color w:val="000000"/>
        </w:rPr>
        <w:t xml:space="preserve"> </w:t>
      </w:r>
      <w:r>
        <w:rPr>
          <w:rFonts w:ascii="Times New Roman;serif" w:hAnsi="Times New Roman;serif"/>
          <w:b w:val="false"/>
          <w:color w:val="000000"/>
          <w:sz w:val="20"/>
        </w:rPr>
        <w:t>and 2025.</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Income Tax Expense</w:t>
      </w:r>
    </w:p>
    <w:p>
      <w:pPr>
        <w:pStyle w:val="TextBody"/>
        <w:bidi w:val="0"/>
        <w:spacing w:lineRule="auto" w:line="288" w:before="0" w:after="120"/>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The Company’s U.S. federal income tax expense differs from the amount computed by applying the federal statutory income tax rate of 21% to income before taxes primarily due to interest income on tax-advantaged state and municipal securities, dividends received income, and excess tax benefits and expenses on share based compensation. Prior to the Company's domestication from Bermuda to the U.S. on November 7, 2025, the Company's effective tax rate was impacted by the relative mix of income from continuing operations reported by country and the statutory tax rates of 0% and 21% imposed by Bermuda and the U.S., respectively. The Company did not receive a U.S. tax deduction for losses in Bermuda in the prior year period resulting from Bermuda holding company expenses and interest expense. For the three months ended March 31, 2026 and 2025, our effective tax rate on (loss) income from continuing operations was (17.5%) and 31.4%, respectively. The effective rate for the three months ended March 31, 2026 was below the federal statutory income tax rate of 21% primarily because of excess tax expenses on share based compensation. RSU awards vest on the anniversary of their grant date which are predominately in the first quarter of each year.</w:t>
      </w:r>
    </w:p>
    <w:p>
      <w:pPr>
        <w:pStyle w:val="TextBody"/>
        <w:bidi w:val="0"/>
        <w:spacing w:lineRule="auto" w:line="288" w:before="0" w:after="120"/>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The Company has a deferred tax asset of $11.7 million at March 31, 2026 associated with unrealized losses in the Company’s available-for-sale fixed maturity securities portfolio. The unrealized losses are attributable to changes in market interest rates and other economic factors rather than credit-related factors of the issuers. The Company does not intend to sell available-for-sale debt securities in an unrealized loss position, and it is not “more likely than not” that the Company will be required to sell these securities before a recovery in their fair value to their amortized cost basis occurs. The Company’s hold to recovery assertion related to investments in an unrealized loss position is considered a tax planning strategy. Both the cash generated by the Company from operating activities and the unused capacity on the Company’s unsecured revolving credit facilities reduce the likelihood of having to sell debt securities in an unrealized loss position. As a result, the Company has concluded that no valuation allowance is required for the deferred tax asset associated with unrealized losses on its investments at March 31, 2026.</w:t>
      </w:r>
    </w:p>
    <w:p>
      <w:pPr>
        <w:pStyle w:val="TextBody"/>
        <w:bidi w:val="0"/>
        <w:spacing w:lineRule="auto" w:line="288" w:before="0" w:after="120"/>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 xml:space="preserve">The Company also has a deferred tax asset of $14.1 million at March 31, 2026 associated with the effects of our 2025 domestication on the business interest expense deduction. The carryforward period for this tax benefit is unlimited and does not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5"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288" w:before="0" w:after="0"/>
        <w:jc w:val="left"/>
        <w:rPr/>
      </w:pPr>
      <w:hyperlink w:anchor="i979e96abde144df8bdcdd49602e9d3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both"/>
        <w:rPr>
          <w:rFonts w:ascii="Times New Roman;serif" w:hAnsi="Times New Roman;serif"/>
          <w:b w:val="false"/>
          <w:color w:val="000000"/>
          <w:sz w:val="20"/>
        </w:rPr>
      </w:pPr>
      <w:r>
        <w:rPr>
          <w:rFonts w:ascii="Times New Roman;serif" w:hAnsi="Times New Roman;serif"/>
          <w:b w:val="false"/>
          <w:color w:val="000000"/>
          <w:sz w:val="20"/>
        </w:rPr>
        <w:t>expire, but the annual utilization on the consolidated U.S. federal income tax return is limited to the separate company (in this case, our ultimate holding company) that generated the benefit. The Company has developed tax planning strategies that we believe are prudent and feasible to increase the utilization of the carryforward in future tax years. These strategies include reducing interest expense and increasing investment income and overall pre-tax income - both at that specific entity (the ultimate holding company). As a result, the Company has concluded that no valuation allowance is required for the deferred tax asset at March 31, 2026.</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Reserves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An indicator of reserve strength that we monitor is the percentage of our gross and net loss reserves that are comprised of incurred but not reported (“IBNR”) reserves.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Company’s gross reserve for losses and loss adjustment expenses at March 31, 2026 was $3,087.8 million. Of this amount, 75.1% relates to amounts that are IBNR. This amount was 75.9% at December 31, 2025. The Company’s gross reserves for losses and loss adjustment expenses by segment are summarized as follows:</w:t>
      </w:r>
    </w:p>
    <w:tbl>
      <w:tblPr>
        <w:tblW w:w="6956" w:type="dxa"/>
        <w:jc w:val="left"/>
        <w:tblInd w:w="0" w:type="dxa"/>
        <w:tblLayout w:type="fixed"/>
        <w:tblCellMar>
          <w:top w:w="28" w:type="dxa"/>
          <w:left w:w="28" w:type="dxa"/>
          <w:bottom w:w="28" w:type="dxa"/>
          <w:right w:w="28" w:type="dxa"/>
        </w:tblCellMar>
      </w:tblPr>
      <w:tblGrid>
        <w:gridCol w:w="912"/>
        <w:gridCol w:w="801"/>
        <w:gridCol w:w="806"/>
        <w:gridCol w:w="211"/>
        <w:gridCol w:w="826"/>
        <w:gridCol w:w="109"/>
        <w:gridCol w:w="109"/>
        <w:gridCol w:w="109"/>
        <w:gridCol w:w="109"/>
        <w:gridCol w:w="211"/>
        <w:gridCol w:w="976"/>
        <w:gridCol w:w="109"/>
        <w:gridCol w:w="109"/>
        <w:gridCol w:w="109"/>
        <w:gridCol w:w="109"/>
        <w:gridCol w:w="211"/>
        <w:gridCol w:w="976"/>
        <w:gridCol w:w="154"/>
      </w:tblGrid>
      <w:tr>
        <w:trPr/>
        <w:tc>
          <w:tcPr>
            <w:tcW w:w="912"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Gross Reserves at March 31, 2026</w:t>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IBNR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43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 in thousands)</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&amp; Surplus Lines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454,119 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2,382,507 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Admitted Insurance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313,739 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391,602 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705,341 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767,858 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2,319,990 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3,087,848 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March 31, 2026, the amount of net reserves (prior to the $1.7 million allowance for uncollectible reinsurance recoverables) of $1,071.6 million that related to IBNR was 78.1%. This amount was 73.5% at December 31, 2025. The Company’s net reserves for losses and loss adjustment expenses by segment are summarized as follows:</w:t>
      </w:r>
    </w:p>
    <w:tbl>
      <w:tblPr>
        <w:tblW w:w="6806" w:type="dxa"/>
        <w:jc w:val="left"/>
        <w:tblInd w:w="0" w:type="dxa"/>
        <w:tblLayout w:type="fixed"/>
        <w:tblCellMar>
          <w:top w:w="28" w:type="dxa"/>
          <w:left w:w="28" w:type="dxa"/>
          <w:bottom w:w="28" w:type="dxa"/>
          <w:right w:w="28" w:type="dxa"/>
        </w:tblCellMar>
      </w:tblPr>
      <w:tblGrid>
        <w:gridCol w:w="912"/>
        <w:gridCol w:w="801"/>
        <w:gridCol w:w="806"/>
        <w:gridCol w:w="211"/>
        <w:gridCol w:w="826"/>
        <w:gridCol w:w="109"/>
        <w:gridCol w:w="109"/>
        <w:gridCol w:w="109"/>
        <w:gridCol w:w="109"/>
        <w:gridCol w:w="211"/>
        <w:gridCol w:w="826"/>
        <w:gridCol w:w="109"/>
        <w:gridCol w:w="109"/>
        <w:gridCol w:w="109"/>
        <w:gridCol w:w="109"/>
        <w:gridCol w:w="211"/>
        <w:gridCol w:w="976"/>
        <w:gridCol w:w="154"/>
      </w:tblGrid>
      <w:tr>
        <w:trPr/>
        <w:tc>
          <w:tcPr>
            <w:tcW w:w="912"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87" w:type="dxa"/>
            <w:gridSpan w:val="15"/>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Net Reserves at March 31, 2026</w:t>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Case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IBNR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8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 in thousands)</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&amp; Surplus Lines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955,853 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Admitted Insurance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47,699 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234,740 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836,879 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1,071,619 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Sources and Uses of Funds</w:t>
      </w:r>
    </w:p>
    <w:p>
      <w:pPr>
        <w:pStyle w:val="TextBody"/>
        <w:bidi w:val="0"/>
        <w:spacing w:lineRule="auto" w:line="288" w:before="0" w:after="120"/>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Our sources of funds consist primarily of premiums written, investment income, reinsurance recoveries, proceeds from sales and redemptions of investments, borrowings on our credit facilities, and the issuance of common shares and Series A Preferred Shares. We use operating cash flows primarily to pay operating expenses, losses and loss adjustment expenses, reinsurance premiums, and income taxes. Cash flow from operations may differ substantially from net income. The potential for a large claim under an insurance contract means that substantial and unpredictable payments may need to be made within relatively short periods of time.</w:t>
      </w:r>
    </w:p>
    <w:p>
      <w:pPr>
        <w:pStyle w:val="TextBody"/>
        <w:bidi w:val="0"/>
        <w:spacing w:lineRule="auto" w:line="288" w:before="0" w:after="120"/>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our cash flows:</w:t>
      </w:r>
    </w:p>
    <w:tbl>
      <w:tblPr>
        <w:tblW w:w="7988" w:type="dxa"/>
        <w:jc w:val="left"/>
        <w:tblInd w:w="0" w:type="dxa"/>
        <w:tblLayout w:type="fixed"/>
        <w:tblCellMar>
          <w:top w:w="28" w:type="dxa"/>
          <w:left w:w="28" w:type="dxa"/>
          <w:bottom w:w="28" w:type="dxa"/>
          <w:right w:w="28" w:type="dxa"/>
        </w:tblCellMar>
      </w:tblPr>
      <w:tblGrid>
        <w:gridCol w:w="1950"/>
        <w:gridCol w:w="1712"/>
        <w:gridCol w:w="1722"/>
        <w:gridCol w:w="211"/>
        <w:gridCol w:w="796"/>
        <w:gridCol w:w="109"/>
        <w:gridCol w:w="109"/>
        <w:gridCol w:w="109"/>
        <w:gridCol w:w="109"/>
        <w:gridCol w:w="211"/>
        <w:gridCol w:w="796"/>
        <w:gridCol w:w="154"/>
      </w:tblGrid>
      <w:tr>
        <w:trPr/>
        <w:tc>
          <w:tcPr>
            <w:tcW w:w="1950"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38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 in thousands)</w:t>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 provided by (used in):</w:t>
            </w:r>
          </w:p>
        </w:tc>
        <w:tc>
          <w:tcPr>
            <w:tcW w:w="11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activities (excluding restricted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(51,774)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(53,030)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Financing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cash and cash equivalents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(33,334)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(82,918)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restricted cash equivalents (operating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cash, cash equivalents, and restricted cash equivalents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(33,258)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(82,611)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360"/>
        <w:jc w:val="both"/>
        <w:rPr>
          <w:color w:val="000000"/>
        </w:rPr>
      </w:pPr>
      <w:r>
        <w:rPr>
          <w:color w:val="000000"/>
        </w:rPr>
        <w: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6"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288" w:before="0" w:after="0"/>
        <w:jc w:val="left"/>
        <w:rPr/>
      </w:pPr>
      <w:hyperlink w:anchor="i979e96abde144df8bdcdd49602e9d3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Cash used in operating activities excluding restricted cash equivalents was $760,000 for the three months ended March 31, 2026. This compares to cash used in operating activities excluding restricted cash equivalents of $51.8 million for the three months ended March 31, 2025. Both periods reflect lower premium collections in the Specialty Admitted Insurance segment due to the non-renewal of several programs. The prior year period was also negatively impacted by timing of reinsurance settlements.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Cash used in investing activities was $29.4 million and $53.0 million for the three months ended March 31, 2026 and 2025, respectively, reflecting the Company's efforts to enhance the yield in our investment portfolio by investing available cash and cash equivalents into higher yielding investments. Cash and cash equivalents excluding restricted cash equivalents represented 11.6% and 14.7% of total cash and invested assets at March 31, 2026 and 2025.</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Cash used in financing activities of $3.2 million for the three months ended March 31, 2026 includes $521,000 of dividends paid to common shareholders, $2.0 million of dividends paid on the Series A Preferred Shares, and $671,000 of payroll taxes withheld and remitted on net settlement of RSUs. Cash provided by financing activities of $21.9 million for the three months ended March 31, 2025 includes a $25.0 million borrowing under the Previous Credit Agreement (as defined below), $600,000 of dividends paid to common shareholders, $2.0 million of dividends paid on the Series A Preferred Shares, and $545,000 of payroll taxes withheld and remitted on net settlement of RSUs.</w:t>
      </w:r>
    </w:p>
    <w:p>
      <w:pPr>
        <w:pStyle w:val="TextBody"/>
        <w:bidi w:val="0"/>
        <w:spacing w:lineRule="auto" w:line="288" w:before="0" w:after="120"/>
        <w:ind w:left="0" w:right="0" w:firstLine="360"/>
        <w:jc w:val="both"/>
        <w:rPr/>
      </w:pPr>
      <w:r>
        <w:rPr>
          <w:rFonts w:ascii="Times New Roman;serif" w:hAnsi="Times New Roman;serif"/>
          <w:b w:val="false"/>
          <w:color w:val="000000"/>
          <w:sz w:val="20"/>
        </w:rPr>
        <w:t xml:space="preserve">The activity in restricted cash equivalents for the three months ended March 31, 2026 and 2025 relates to a former insured, per the terms of a collateral trust. See </w:t>
      </w:r>
      <w:r>
        <w:rPr>
          <w:rFonts w:ascii="Times New Roman;serif" w:hAnsi="Times New Roman;serif"/>
          <w:b w:val="false"/>
          <w:i/>
          <w:color w:val="000000"/>
          <w:sz w:val="20"/>
        </w:rPr>
        <w:t xml:space="preserve">Amounts Recoverable from an Indemnifying Party and Reinsurer on Legacy Commercial Auto Book </w:t>
      </w:r>
      <w:r>
        <w:rPr>
          <w:rFonts w:ascii="Times New Roman;serif" w:hAnsi="Times New Roman;serif"/>
          <w:b w:val="false"/>
          <w:color w:val="000000"/>
          <w:sz w:val="20"/>
        </w:rPr>
        <w:t>below.</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Dividends</w:t>
      </w:r>
    </w:p>
    <w:p>
      <w:pPr>
        <w:pStyle w:val="TextBody"/>
        <w:bidi w:val="0"/>
        <w:spacing w:lineRule="auto" w:line="288" w:before="0" w:after="120"/>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Our operations are conducted by our wholly-owned subsidiaries. Accordingly, our holding companies may receive cash through loans from banks, issuance of equity and debt securities, corporate service fees, dividends received from our subsidiaries, or through payments from our subsidiaries pursuant to our consolidated tax allocation agreement.</w:t>
      </w:r>
    </w:p>
    <w:p>
      <w:pPr>
        <w:pStyle w:val="TextBody"/>
        <w:bidi w:val="0"/>
        <w:spacing w:lineRule="auto" w:line="288" w:before="0" w:after="120"/>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The payment of dividends by our subsidiaries to us is limited by statute. In general, the laws and regulations applicable to our insurance subsidiaries limit the aggregate amount of dividends or other distributions that they may declare or pay within any 12-month period without advance regulatory approval. Generally, the limitations are based on the greater of statutory net income for the preceding year or 10.0% of statutory surplus at the end of the preceding year. In addition, insurance regulators have broad powers to prevent reduction of statutory surplus to inadequate levels and could refuse to permit the payment of dividends calculated under any applicable formula. On March 31, 2026, James River Insurance paid a $30.0 million dividend to its parent, James River Group. The remaining amount of dividends available to our holding companies from our insurance subsidiaries during 2026 without regulatory approval is $66.1 million.</w:t>
      </w:r>
    </w:p>
    <w:p>
      <w:pPr>
        <w:pStyle w:val="TextBody"/>
        <w:bidi w:val="0"/>
        <w:spacing w:lineRule="auto" w:line="288" w:before="0" w:after="120"/>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Holders of the Series A Preferred Shares are entitled to a dividend at the rate of 7% of the $1,000 liquidation preference per share (the “Liquidation Preference”) per annum, paid in cash, in-kind in common stock or in Series A Preferred Shares, at our election. On October 1, 2029, and each five-year anniversary thereafter, the dividend rate will reset to a rate equal to the five-year U.S. treasury rate plus 5.2%, provided, that the dividend rate shall not exceed 8.0%. Dividends accrue and are payable quarterly. Cash dividends of $2.0 million were paid in each of the three months ended March 31, 2026 and 2025.</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March 31, 2026, our holding companies had $33.1 million of cash and invested assets, comprised of cash and cash equivalents of $32.8 million and other invested assets of $369,000, which are not subject to regulatory restrictions.</w:t>
      </w:r>
    </w:p>
    <w:p>
      <w:pPr>
        <w:pStyle w:val="TextBody"/>
        <w:bidi w:val="0"/>
        <w:spacing w:lineRule="auto" w:line="288" w:before="0" w:after="120"/>
        <w:jc w:val="left"/>
        <w:rPr>
          <w:rFonts w:ascii="Times New Roman;serif" w:hAnsi="Times New Roman;serif"/>
          <w:b w:val="false"/>
          <w:i/>
          <w:color w:val="000000"/>
          <w:sz w:val="20"/>
        </w:rPr>
      </w:pPr>
      <w:r>
        <w:rPr>
          <w:rFonts w:ascii="Times New Roman;serif" w:hAnsi="Times New Roman;serif"/>
          <w:b w:val="false"/>
          <w:i/>
          <w:color w:val="000000"/>
          <w:sz w:val="20"/>
        </w:rPr>
        <w:t>Credit Agreements</w:t>
      </w:r>
    </w:p>
    <w:p>
      <w:pPr>
        <w:pStyle w:val="TextBody"/>
        <w:bidi w:val="0"/>
        <w:spacing w:lineRule="auto" w:line="288" w:before="0" w:after="120"/>
        <w:ind w:left="0" w:right="0" w:firstLine="360"/>
        <w:jc w:val="both"/>
        <w:rPr/>
      </w:pPr>
      <w:r>
        <w:rPr>
          <w:rFonts w:ascii="Times New Roman;serif" w:hAnsi="Times New Roman;serif"/>
          <w:b w:val="false"/>
          <w:color w:val="231F20"/>
          <w:sz w:val="20"/>
        </w:rPr>
        <w:t xml:space="preserve">On June 12, 2025, the Company entered into a Credit Agreement (the “Credit Agreement”). The Credit Agreement replaced the Company’s </w:t>
      </w:r>
      <w:r>
        <w:rPr>
          <w:rFonts w:ascii="Times New Roman;serif" w:hAnsi="Times New Roman;serif"/>
          <w:b w:val="false"/>
          <w:color w:val="000000"/>
          <w:sz w:val="20"/>
        </w:rPr>
        <w:t>Third Amended and Restated Credit Agreement dated July 7, 2023 (the “</w:t>
      </w:r>
      <w:r>
        <w:rPr>
          <w:rFonts w:ascii="Times New Roman;serif" w:hAnsi="Times New Roman;serif"/>
          <w:b w:val="false"/>
          <w:color w:val="231F20"/>
          <w:sz w:val="20"/>
        </w:rPr>
        <w:t>Previous Credit Agreement</w:t>
      </w:r>
      <w:r>
        <w:rPr>
          <w:color w:val="000000"/>
        </w:rPr>
        <w:t>”</w:t>
      </w:r>
      <w:r>
        <w:rPr>
          <w:rFonts w:ascii="Times New Roman;serif" w:hAnsi="Times New Roman;serif"/>
          <w:b w:val="false"/>
          <w:color w:val="231F20"/>
          <w:sz w:val="20"/>
        </w:rPr>
        <w:t xml:space="preserve">), which provided for a </w:t>
      </w:r>
      <w:r>
        <w:rPr>
          <w:rFonts w:ascii="Times New Roman;serif" w:hAnsi="Times New Roman;serif"/>
          <w:b w:val="false"/>
          <w:color w:val="000000"/>
          <w:sz w:val="20"/>
        </w:rPr>
        <w:t>$212.5 million</w:t>
      </w:r>
      <w:r>
        <w:rPr>
          <w:color w:val="231F20"/>
        </w:rPr>
        <w:t xml:space="preserve"> </w:t>
      </w:r>
      <w:r>
        <w:rPr>
          <w:rFonts w:ascii="Times New Roman;serif" w:hAnsi="Times New Roman;serif"/>
          <w:b w:val="false"/>
          <w:color w:val="231F20"/>
          <w:sz w:val="20"/>
        </w:rPr>
        <w:t xml:space="preserve">unsecured revolving credit facility and a </w:t>
      </w:r>
      <w:r>
        <w:rPr>
          <w:rFonts w:ascii="Times New Roman;serif" w:hAnsi="Times New Roman;serif"/>
          <w:b w:val="false"/>
          <w:color w:val="000000"/>
          <w:sz w:val="20"/>
        </w:rPr>
        <w:t>$45.0 million</w:t>
      </w:r>
      <w:r>
        <w:rPr>
          <w:color w:val="231F20"/>
        </w:rPr>
        <w:t xml:space="preserve"> </w:t>
      </w:r>
      <w:r>
        <w:rPr>
          <w:rFonts w:ascii="Times New Roman;serif" w:hAnsi="Times New Roman;serif"/>
          <w:b w:val="false"/>
          <w:color w:val="231F20"/>
          <w:sz w:val="20"/>
        </w:rPr>
        <w:t>secured revolving credit facility.</w:t>
      </w:r>
    </w:p>
    <w:p>
      <w:pPr>
        <w:pStyle w:val="TextBody"/>
        <w:bidi w:val="0"/>
        <w:spacing w:lineRule="auto" w:line="288" w:before="0" w:after="120"/>
        <w:ind w:left="0" w:right="0" w:firstLine="360"/>
        <w:jc w:val="both"/>
        <w:rPr/>
      </w:pPr>
      <w:r>
        <w:rPr>
          <w:rFonts w:ascii="Times New Roman;serif" w:hAnsi="Times New Roman;serif"/>
          <w:b w:val="false"/>
          <w:color w:val="231F20"/>
          <w:sz w:val="20"/>
        </w:rPr>
        <w:t xml:space="preserve">The Credit Agreement provides for a </w:t>
      </w:r>
      <w:r>
        <w:rPr>
          <w:rFonts w:ascii="Times New Roman;serif" w:hAnsi="Times New Roman;serif"/>
          <w:b w:val="false"/>
          <w:color w:val="000000"/>
          <w:sz w:val="20"/>
        </w:rPr>
        <w:t>$212.5 million</w:t>
      </w:r>
      <w:r>
        <w:rPr>
          <w:color w:val="231F20"/>
        </w:rPr>
        <w:t xml:space="preserve"> </w:t>
      </w:r>
      <w:r>
        <w:rPr>
          <w:rFonts w:ascii="Times New Roman;serif" w:hAnsi="Times New Roman;serif"/>
          <w:b w:val="false"/>
          <w:color w:val="231F20"/>
          <w:sz w:val="20"/>
        </w:rPr>
        <w:t>unsecured revolving credit facility available for general corporate purposes and matures on June 12, 2028. Following the sale of JRG Re, the Company no longer had a need for the secured revolving credit facility provided by the Previous Credit Agreement. The interest rates applicable to the loans under the Credit Agreement are generally based on the Secured Overnight Financing Rate (“SOFR”) plus a specified margin (</w:t>
      </w:r>
      <w:r>
        <w:rPr>
          <w:rFonts w:ascii="Times New Roman;serif" w:hAnsi="Times New Roman;serif"/>
          <w:b w:val="false"/>
          <w:color w:val="000000"/>
          <w:sz w:val="20"/>
        </w:rPr>
        <w:t xml:space="preserve">2.75% at </w:t>
      </w:r>
      <w:r>
        <w:rPr>
          <w:rFonts w:ascii="Times New Roman;serif" w:hAnsi="Times New Roman;serif"/>
          <w:b w:val="false"/>
          <w:color w:val="231F20"/>
          <w:sz w:val="20"/>
        </w:rPr>
        <w:t>March 31, 2026</w:t>
      </w:r>
      <w:r>
        <w:rPr>
          <w:rFonts w:ascii="Times New Roman;serif" w:hAnsi="Times New Roman;serif"/>
          <w:b w:val="false"/>
          <w:color w:val="000000"/>
          <w:sz w:val="20"/>
        </w:rPr>
        <w:t xml:space="preserve">) </w:t>
      </w:r>
      <w:r>
        <w:rPr>
          <w:rFonts w:ascii="Times New Roman;serif" w:hAnsi="Times New Roman;serif"/>
          <w:b w:val="false"/>
          <w:color w:val="231F20"/>
          <w:sz w:val="20"/>
        </w:rPr>
        <w:t>based on the Company’s Leverage Ratio (as defined in the Credit Agreement). In addition, the Company will pay an unused facility fee on each lender’s commitment (</w:t>
      </w:r>
      <w:r>
        <w:rPr>
          <w:rFonts w:ascii="Times New Roman;serif" w:hAnsi="Times New Roman;serif"/>
          <w:b w:val="false"/>
          <w:color w:val="000000"/>
          <w:sz w:val="20"/>
        </w:rPr>
        <w:t xml:space="preserve">0.3% at </w:t>
      </w:r>
      <w:r>
        <w:rPr>
          <w:rFonts w:ascii="Times New Roman;serif" w:hAnsi="Times New Roman;serif"/>
          <w:b w:val="false"/>
          <w:color w:val="231F20"/>
          <w:sz w:val="20"/>
        </w:rPr>
        <w:t>March 31, 2026</w:t>
      </w:r>
      <w:r>
        <w:rPr>
          <w:rFonts w:ascii="Times New Roman;serif" w:hAnsi="Times New Roman;serif"/>
          <w:b w:val="false"/>
          <w:color w:val="000000"/>
          <w:sz w:val="20"/>
        </w:rPr>
        <w:t>)</w:t>
      </w:r>
      <w:r>
        <w:rPr>
          <w:rFonts w:ascii="Times New Roman;serif" w:hAnsi="Times New Roman;serif"/>
          <w:b w:val="false"/>
          <w:color w:val="231F20"/>
          <w:sz w:val="20"/>
        </w:rPr>
        <w:t>.</w:t>
      </w:r>
    </w:p>
    <w:p>
      <w:pPr>
        <w:pStyle w:val="TextBody"/>
        <w:bidi w:val="0"/>
        <w:spacing w:lineRule="auto" w:line="288" w:before="0" w:after="120"/>
        <w:ind w:left="0" w:right="0" w:firstLine="360"/>
        <w:jc w:val="both"/>
        <w:rPr/>
      </w:pPr>
      <w:r>
        <w:rPr>
          <w:rFonts w:ascii="Times New Roman;serif" w:hAnsi="Times New Roman;serif"/>
          <w:b w:val="false"/>
          <w:color w:val="231F20"/>
          <w:sz w:val="20"/>
        </w:rPr>
        <w:t>At</w:t>
      </w:r>
      <w:r>
        <w:rPr>
          <w:color w:val="000000"/>
        </w:rPr>
        <w:t xml:space="preserve"> </w:t>
      </w:r>
      <w:r>
        <w:rPr>
          <w:rFonts w:ascii="Times New Roman;serif" w:hAnsi="Times New Roman;serif"/>
          <w:b w:val="false"/>
          <w:color w:val="231F20"/>
          <w:sz w:val="20"/>
        </w:rPr>
        <w:t>March 31, 2026</w:t>
      </w:r>
      <w:r>
        <w:rPr>
          <w:rFonts w:ascii="Times New Roman;serif" w:hAnsi="Times New Roman;serif"/>
          <w:b w:val="false"/>
          <w:color w:val="000000"/>
          <w:sz w:val="20"/>
        </w:rPr>
        <w:t>, the Company had a drawn balance of $210.8 million outstanding under the Credit Agreement, including $25.0 million previously borrowed on January 27, 2025 under the Previous Credit Agreement which was contributed to our regulated insurance entities.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7"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288" w:before="0" w:after="0"/>
        <w:jc w:val="left"/>
        <w:rPr/>
      </w:pPr>
      <w:hyperlink w:anchor="i979e96abde144df8bdcdd49602e9d3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360"/>
        <w:jc w:val="both"/>
        <w:rPr/>
      </w:pPr>
      <w:r>
        <w:rPr>
          <w:rFonts w:ascii="Times New Roman;serif" w:hAnsi="Times New Roman;serif"/>
          <w:b w:val="false"/>
          <w:color w:val="231F20"/>
          <w:sz w:val="20"/>
        </w:rPr>
        <w:t xml:space="preserve">The Credit Agreement provides for an accordion feature that permits the Company to request that one or more lenders (without the consent of the other lenders) or new financial institutions (with the consent of the Administrative Agent) provide it with increases in the credit facility of up to an aggregate of </w:t>
      </w:r>
      <w:r>
        <w:rPr>
          <w:rFonts w:ascii="Times New Roman;serif" w:hAnsi="Times New Roman;serif"/>
          <w:b w:val="false"/>
          <w:color w:val="000000"/>
          <w:sz w:val="20"/>
        </w:rPr>
        <w:t>$30.0 million</w:t>
      </w:r>
      <w:r>
        <w:rPr>
          <w:rFonts w:ascii="Times New Roman;serif" w:hAnsi="Times New Roman;serif"/>
          <w:b w:val="false"/>
          <w:color w:val="231F20"/>
          <w:sz w:val="20"/>
        </w:rPr>
        <w:t>, subject to satisfaction of certain conditions.</w:t>
      </w:r>
    </w:p>
    <w:p>
      <w:pPr>
        <w:pStyle w:val="TextBody"/>
        <w:bidi w:val="0"/>
        <w:spacing w:lineRule="auto" w:line="288" w:before="0" w:after="120"/>
        <w:ind w:left="0" w:right="0" w:firstLine="360"/>
        <w:jc w:val="both"/>
        <w:rPr/>
      </w:pPr>
      <w:r>
        <w:rPr>
          <w:rFonts w:ascii="Times New Roman;serif" w:hAnsi="Times New Roman;serif"/>
          <w:b w:val="false"/>
          <w:color w:val="231F20"/>
          <w:sz w:val="20"/>
        </w:rPr>
        <w:t xml:space="preserve">The Credit Agreement contains customary representations and warranties, affirmative and negative covenants and events of default. The Credit Agreement also includes financial covenants, including a maximum leverage ratio and minimum consolidated net worth, risk-based capital ratio and financial strength rating requirements </w:t>
      </w:r>
      <w:r>
        <w:rPr>
          <w:rFonts w:ascii="Times New Roman;serif" w:hAnsi="Times New Roman;serif"/>
          <w:b w:val="false"/>
          <w:color w:val="000000"/>
          <w:sz w:val="20"/>
        </w:rPr>
        <w:t xml:space="preserve">with which the Company was in compliance at </w:t>
      </w:r>
      <w:r>
        <w:rPr>
          <w:rFonts w:ascii="Times New Roman;serif" w:hAnsi="Times New Roman;serif"/>
          <w:b w:val="false"/>
          <w:color w:val="231F20"/>
          <w:sz w:val="20"/>
        </w:rPr>
        <w:t>March 31, 2026.</w:t>
      </w:r>
    </w:p>
    <w:p>
      <w:pPr>
        <w:pStyle w:val="TextBody"/>
        <w:bidi w:val="0"/>
        <w:spacing w:lineRule="auto" w:line="288" w:before="0" w:after="120"/>
        <w:ind w:left="0" w:right="0" w:firstLine="360"/>
        <w:jc w:val="both"/>
        <w:rPr>
          <w:rFonts w:ascii="Times New Roman;serif" w:hAnsi="Times New Roman;serif"/>
          <w:b w:val="false"/>
          <w:color w:val="231F20"/>
          <w:sz w:val="20"/>
        </w:rPr>
      </w:pPr>
      <w:r>
        <w:rPr>
          <w:rFonts w:ascii="Times New Roman;serif" w:hAnsi="Times New Roman;serif"/>
          <w:b w:val="false"/>
          <w:color w:val="231F20"/>
          <w:sz w:val="20"/>
        </w:rPr>
        <w:t>In connection with the Credit Agreement, James River Group entered into a Continuing Guaranty of Payment dated June 12, 2025 pursuant to which James River Group guarantees the payment and performance of the Company’s obligations under the Credit Agreement and other loan documents.</w:t>
      </w:r>
    </w:p>
    <w:p>
      <w:pPr>
        <w:pStyle w:val="TextBody"/>
        <w:bidi w:val="0"/>
        <w:spacing w:lineRule="auto" w:line="288" w:before="0" w:after="120"/>
        <w:jc w:val="both"/>
        <w:rPr>
          <w:rFonts w:ascii="Times New Roman;serif" w:hAnsi="Times New Roman;serif"/>
          <w:b w:val="false"/>
          <w:i/>
          <w:color w:val="000000"/>
          <w:sz w:val="20"/>
        </w:rPr>
      </w:pPr>
      <w:r>
        <w:rPr>
          <w:rFonts w:ascii="Times New Roman;serif" w:hAnsi="Times New Roman;serif"/>
          <w:b w:val="false"/>
          <w:i/>
          <w:color w:val="000000"/>
          <w:sz w:val="20"/>
        </w:rPr>
        <w:t>Senior Debt and Trust Preferred Securities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May 26, 2004, we issued $15.0 million of senior debt due April 29, 2034. The senior debt is not redeemable by the holder or subject to sinking fund requirements. Interest accrues quarterly and is payable in arrears at a floating rate per annum equal to the 3-month SOFR plus 4.11%. This senior debt is redeemable at par prior to its stated maturity at our option in whole or in part. The terms of the senior debt contain certain covenants, with which we are in compliance at March 31, 2026, and which, among other things, restrict our ability to issue senior indebtedness secured by James River Group’s common stock or its subsidiaries’ capital stock or to issue shares of its subsidiaries’ capital stock.</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From May 2004 through January 2008, we sold trust preferred securities through five Delaware statutory trusts sponsored and wholly-owned by the Company or its subsidiaries. Each trust used the net proceeds from the sale of its trust preferred securities to purchase our floating-rate junior subordinated debt.</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the nature and terms of the junior subordinated debt and trust preferred securities outstanding at March 31, 2026 (including the Company’s repurchases of a portion of these trust preferred securities):</w:t>
      </w:r>
    </w:p>
    <w:tbl>
      <w:tblPr>
        <w:tblW w:w="10205" w:type="dxa"/>
        <w:jc w:val="left"/>
        <w:tblInd w:w="0" w:type="dxa"/>
        <w:tblLayout w:type="fixed"/>
        <w:tblCellMar>
          <w:top w:w="28" w:type="dxa"/>
          <w:left w:w="28" w:type="dxa"/>
          <w:bottom w:w="28" w:type="dxa"/>
          <w:right w:w="28" w:type="dxa"/>
        </w:tblCellMar>
      </w:tblPr>
      <w:tblGrid>
        <w:gridCol w:w="1180"/>
        <w:gridCol w:w="889"/>
        <w:gridCol w:w="902"/>
        <w:gridCol w:w="364"/>
        <w:gridCol w:w="364"/>
        <w:gridCol w:w="339"/>
        <w:gridCol w:w="109"/>
        <w:gridCol w:w="109"/>
        <w:gridCol w:w="109"/>
        <w:gridCol w:w="494"/>
        <w:gridCol w:w="416"/>
        <w:gridCol w:w="367"/>
        <w:gridCol w:w="109"/>
        <w:gridCol w:w="109"/>
        <w:gridCol w:w="109"/>
        <w:gridCol w:w="364"/>
        <w:gridCol w:w="364"/>
        <w:gridCol w:w="339"/>
        <w:gridCol w:w="109"/>
        <w:gridCol w:w="109"/>
        <w:gridCol w:w="109"/>
        <w:gridCol w:w="494"/>
        <w:gridCol w:w="416"/>
        <w:gridCol w:w="367"/>
        <w:gridCol w:w="109"/>
        <w:gridCol w:w="109"/>
        <w:gridCol w:w="109"/>
        <w:gridCol w:w="398"/>
        <w:gridCol w:w="350"/>
        <w:gridCol w:w="490"/>
      </w:tblGrid>
      <w:tr>
        <w:trPr/>
        <w:tc>
          <w:tcPr>
            <w:tcW w:w="1180"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16"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r>
      <w:tr>
        <w:trPr/>
        <w:tc>
          <w:tcPr>
            <w:tcW w:w="2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James River</w:t>
              <w:br/>
              <w:t>Capital</w:t>
              <w:br/>
              <w:t>Trust 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James River</w:t>
              <w:br/>
              <w:t>Capital</w:t>
              <w:br/>
              <w:t>Trust 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James River</w:t>
              <w:br/>
              <w:t>Capital</w:t>
              <w:br/>
              <w:t>Trust 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James River</w:t>
              <w:br/>
              <w:t>Capital</w:t>
              <w:br/>
              <w:t>Trust IV</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Franklin</w:t>
              <w:br/>
              <w:t>Holdings II</w:t>
              <w:br/>
              <w:t>(Bermuda)</w:t>
              <w:br/>
              <w:t>Capital</w:t>
              <w:br/>
              <w:t>Trust I</w:t>
            </w:r>
          </w:p>
        </w:tc>
      </w:tr>
      <w:tr>
        <w:trPr/>
        <w:tc>
          <w:tcPr>
            <w:tcW w:w="29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34"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 in thousands)</w:t>
            </w:r>
          </w:p>
        </w:tc>
      </w:tr>
      <w:tr>
        <w:trPr/>
        <w:tc>
          <w:tcPr>
            <w:tcW w:w="2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Issue date</w:t>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May 26, 2004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15, 2004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15, 2006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11, 2007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January 10, 2008</w:t>
            </w:r>
          </w:p>
        </w:tc>
      </w:tr>
      <w:tr>
        <w:trPr/>
        <w:tc>
          <w:tcPr>
            <w:tcW w:w="297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Principal amount of trust preferred securities</w:t>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$54,000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$30,000</w:t>
            </w:r>
          </w:p>
        </w:tc>
      </w:tr>
      <w:tr>
        <w:trPr/>
        <w:tc>
          <w:tcPr>
            <w:tcW w:w="29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Principal amount of junior subordinated debt</w:t>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$7,217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$15,464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$20,619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$55,670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$30,928</w:t>
            </w:r>
          </w:p>
        </w:tc>
      </w:tr>
      <w:tr>
        <w:trPr/>
        <w:tc>
          <w:tcPr>
            <w:tcW w:w="297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Carrying amount of junior subordinated debt net of repurchases</w:t>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$7,217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$15,464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$20,619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$44,827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$15,928</w:t>
            </w:r>
          </w:p>
        </w:tc>
      </w:tr>
      <w:tr>
        <w:trPr/>
        <w:tc>
          <w:tcPr>
            <w:tcW w:w="297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Maturity date of junior subordinated debt, unless accelerated earlier</w:t>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May 24, 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15, 2034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June 15, 2036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December 15, 2037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March 15, 2038</w:t>
            </w:r>
          </w:p>
        </w:tc>
      </w:tr>
      <w:tr>
        <w:trPr/>
        <w:tc>
          <w:tcPr>
            <w:tcW w:w="29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Trust common stock</w:t>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$217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$464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$619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$1,670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$928</w:t>
            </w:r>
          </w:p>
        </w:tc>
      </w:tr>
      <w:tr>
        <w:trPr/>
        <w:tc>
          <w:tcPr>
            <w:tcW w:w="29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Interest rate, per annum</w:t>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Three-Month</w:t>
              <w:br/>
              <w:t>SOFR plus</w:t>
              <w:b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Three-Month</w:t>
              <w:br/>
              <w:t>SOFR plus</w:t>
              <w:br/>
              <w:t>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Three-Month</w:t>
              <w:br/>
              <w:t>SOFR plus</w:t>
              <w:b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Three-Month</w:t>
              <w:br/>
              <w:t>SOFR plus</w:t>
              <w:br/>
              <w:t>3.4%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Three-Month</w:t>
              <w:br/>
              <w:t>SOFR plus</w:t>
              <w:br/>
              <w:t>4.3%</w:t>
            </w:r>
          </w:p>
        </w:tc>
      </w:tr>
    </w:tbl>
    <w:p>
      <w:pPr>
        <w:pStyle w:val="TextBody"/>
        <w:bidi w:val="0"/>
        <w:spacing w:lineRule="auto" w:line="288" w:before="10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All of the junior subordinated debt is currently redeemable at 100.0% of the unpaid principal amount at our option.</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junior subordinated debt contains certain covenants with which we are in compliance as of March 31, 2026.</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At March 31, 2026 and December 31, 2025, the Company's leverage ratio was 27.8% and 27.5%, respectively. The leverage ratio is defined in our Credit Agreement as the ratio of adjusted consolidated debt to total capital. Adjusted consolidated debt treats trust preferred securities as equity capital up to 15% of total capital. The Series A Preferred Shares represent equity capital for purposes of the leverage ratio calculation under the credit agreements. Total capital is defined as total debt plus tangible equity excluding accumulated other comprehensive income. The maximum leverage ratio permitted by the agreements is 35.0%.</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James River Insurance has access to certain credit products including advances through its membership in the Federal Home Loan Bank. Any advances would be in the form of collateralized short-term borrowings not to exceed 30% of the Company's total assets.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8"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288" w:before="0" w:after="0"/>
        <w:jc w:val="left"/>
        <w:rPr/>
      </w:pPr>
      <w:hyperlink w:anchor="i979e96abde144df8bdcdd49602e9d3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Ceded Reinsurance</w:t>
      </w:r>
    </w:p>
    <w:p>
      <w:pPr>
        <w:pStyle w:val="TextBody"/>
        <w:bidi w:val="0"/>
        <w:spacing w:lineRule="auto" w:line="288" w:before="0" w:after="120"/>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Our insurance segments enter into reinsurance contracts to limit our exposure to potential losses arising from large risks, to protect against the aggregation of several risks in a common loss occurrence, and to provide additional capacity for growth. Our reinsurance is contracted under excess of loss and proportional quota share reinsurance contracts. In excess of loss reinsurance, the reinsurer agrees to assume all or a portion of the ceding company’s losses in excess of a specified amount. The premiums payable to the reinsurer are negotiated by the parties based on their assessment of the amount of risk being ceded to the reinsurer because the reinsurer does not share proportionately in the ceding company’s losses. In proportional quota share reinsurance, the reinsurer agrees to assume a specified percentage of the ceding company’s losses arising out of a defined class of business in exchange for a corresponding percentage of premiums. These proportional quota share reinsurance agreements generally include a ceding commission paid by the reinsurer to the Company to cover acquisition costs associated with the insurance ceded. The Company also utilizes facultative reinsurance to reduce the amount of exposure it retains on individual accounts according to its guidelines for accepting risk across various industry segments, locations and types of exposure. For the three months ended March 31, 2026 and 2025, our net premium retention was 50.8% and 43.5%, respectively.</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our Excess &amp; Surplus Lines segment’s ceded reinsurance in place as of March 31, 2026:</w:t>
      </w:r>
    </w:p>
    <w:tbl>
      <w:tblPr>
        <w:tblW w:w="5170" w:type="dxa"/>
        <w:jc w:val="left"/>
        <w:tblInd w:w="0" w:type="dxa"/>
        <w:tblLayout w:type="fixed"/>
        <w:tblCellMar>
          <w:top w:w="28" w:type="dxa"/>
          <w:left w:w="28" w:type="dxa"/>
          <w:bottom w:w="28" w:type="dxa"/>
          <w:right w:w="28" w:type="dxa"/>
        </w:tblCellMar>
      </w:tblPr>
      <w:tblGrid>
        <w:gridCol w:w="596"/>
        <w:gridCol w:w="525"/>
        <w:gridCol w:w="528"/>
        <w:gridCol w:w="109"/>
        <w:gridCol w:w="109"/>
        <w:gridCol w:w="109"/>
        <w:gridCol w:w="933"/>
        <w:gridCol w:w="933"/>
        <w:gridCol w:w="1328"/>
      </w:tblGrid>
      <w:tr>
        <w:trPr/>
        <w:tc>
          <w:tcPr>
            <w:tcW w:w="596"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328" w:type="dxa"/>
            <w:tcBorders/>
            <w:vAlign w:val="center"/>
          </w:tcPr>
          <w:p>
            <w:pPr>
              <w:pStyle w:val="TableContents"/>
              <w:bidi w:val="0"/>
              <w:spacing w:before="0" w:after="283"/>
              <w:jc w:val="left"/>
              <w:rPr>
                <w:sz w:val="4"/>
                <w:szCs w:val="4"/>
              </w:rPr>
            </w:pPr>
            <w:r>
              <w:rPr>
                <w:sz w:val="4"/>
                <w:szCs w:val="4"/>
              </w:rPr>
            </w:r>
          </w:p>
        </w:tc>
      </w:tr>
      <w:tr>
        <w:trPr/>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Line of Business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Company Retention</w:t>
            </w:r>
          </w:p>
        </w:tc>
      </w:tr>
      <w:tr>
        <w:trPr/>
        <w:tc>
          <w:tcPr>
            <w:tcW w:w="16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Casualty</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Casualty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Up to $3.6 million per occurrence.</w:t>
            </w:r>
            <w:r>
              <w:rPr>
                <w:rFonts w:ascii="Times New Roman;serif" w:hAnsi="Times New Roman;serif"/>
                <w:b w:val="false"/>
                <w:color w:val="000000"/>
                <w:sz w:val="13"/>
              </w:rPr>
              <w:t>(1)</w:t>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Primary Casualty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Up to $1.46 million per occurrence.</w:t>
            </w:r>
            <w:r>
              <w:rPr>
                <w:rFonts w:ascii="Times New Roman;serif" w:hAnsi="Times New Roman;serif"/>
                <w:b w:val="false"/>
                <w:color w:val="000000"/>
                <w:sz w:val="13"/>
              </w:rPr>
              <w:t>(2)</w:t>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Casualty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Up to $2.38 million per occurrence.</w:t>
            </w:r>
          </w:p>
        </w:tc>
      </w:tr>
      <w:tr>
        <w:trPr/>
        <w:tc>
          <w:tcPr>
            <w:tcW w:w="1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Property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Up to $5.0 million per risk.</w:t>
            </w:r>
            <w:r>
              <w:rPr>
                <w:rFonts w:ascii="Times New Roman;serif" w:hAnsi="Times New Roman;serif"/>
                <w:b w:val="false"/>
                <w:color w:val="000000"/>
                <w:sz w:val="13"/>
              </w:rPr>
              <w:t>(3)</w:t>
            </w:r>
          </w:p>
        </w:tc>
      </w:tr>
    </w:tbl>
    <w:p>
      <w:pPr>
        <w:pStyle w:val="TextBody"/>
        <w:bidi w:val="0"/>
        <w:spacing w:lineRule="auto" w:line="288" w:before="0" w:after="0"/>
        <w:ind w:left="0" w:right="0" w:hanging="360"/>
        <w:jc w:val="both"/>
        <w:rPr>
          <w:rFonts w:ascii="Times New Roman;serif" w:hAnsi="Times New Roman;serif"/>
          <w:b w:val="false"/>
          <w:i/>
          <w:color w:val="000000"/>
          <w:sz w:val="20"/>
        </w:rPr>
      </w:pPr>
      <w:r>
        <w:rPr>
          <w:rFonts w:ascii="Times New Roman;serif" w:hAnsi="Times New Roman;serif"/>
          <w:b w:val="false"/>
          <w:i/>
          <w:color w:val="000000"/>
          <w:sz w:val="20"/>
        </w:rPr>
        <w:t>(1)    Excluding Excess Casualty.</w:t>
      </w:r>
    </w:p>
    <w:p>
      <w:pPr>
        <w:pStyle w:val="TextBody"/>
        <w:bidi w:val="0"/>
        <w:spacing w:lineRule="auto" w:line="288" w:before="0" w:after="0"/>
        <w:ind w:left="0" w:right="0" w:hanging="360"/>
        <w:jc w:val="both"/>
        <w:rPr>
          <w:rFonts w:ascii="Times New Roman;serif" w:hAnsi="Times New Roman;serif"/>
          <w:b w:val="false"/>
          <w:i/>
          <w:color w:val="000000"/>
          <w:sz w:val="20"/>
        </w:rPr>
      </w:pPr>
      <w:r>
        <w:rPr>
          <w:rFonts w:ascii="Times New Roman;serif" w:hAnsi="Times New Roman;serif"/>
          <w:b w:val="false"/>
          <w:i/>
          <w:color w:val="000000"/>
          <w:sz w:val="20"/>
        </w:rPr>
        <w:t>(2)    Total exposure to any one claim is generally $730,000.</w:t>
      </w:r>
    </w:p>
    <w:p>
      <w:pPr>
        <w:pStyle w:val="TextBody"/>
        <w:bidi w:val="0"/>
        <w:spacing w:lineRule="auto" w:line="288" w:before="0" w:after="180"/>
        <w:ind w:left="0" w:right="0" w:hanging="360"/>
        <w:jc w:val="both"/>
        <w:rPr>
          <w:rFonts w:ascii="Times New Roman;serif" w:hAnsi="Times New Roman;serif"/>
          <w:b w:val="false"/>
          <w:i/>
          <w:color w:val="000000"/>
          <w:sz w:val="20"/>
        </w:rPr>
      </w:pPr>
      <w:r>
        <w:rPr>
          <w:rFonts w:ascii="Times New Roman;serif" w:hAnsi="Times New Roman;serif"/>
          <w:b w:val="false"/>
          <w:i/>
          <w:color w:val="000000"/>
          <w:sz w:val="20"/>
        </w:rPr>
        <w:t>(3)    The property catastrophe reinsurance treaty has a limit of $22.0 million per event with one reinstatement.</w:t>
      </w:r>
    </w:p>
    <w:p>
      <w:pPr>
        <w:pStyle w:val="TextBody"/>
        <w:bidi w:val="0"/>
        <w:spacing w:lineRule="auto" w:line="288" w:before="0" w:after="120"/>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We use catastrophe modeling software to analyze the risk of severe losses from hurricanes and earthquakes on our exposure. We utilize the model in our risk selection, pricing, and to manage our overall portfolio probable maximum loss (“PML”) accumulations. A PML is an estimate of the amount we would expect to pay in any one catastrophe event within a given annual probability of occurrence (i.e. a return period or loss exceedance probability).</w:t>
      </w:r>
    </w:p>
    <w:p>
      <w:pPr>
        <w:pStyle w:val="TextBody"/>
        <w:bidi w:val="0"/>
        <w:spacing w:lineRule="auto" w:line="288" w:before="0" w:after="120"/>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In our Excess &amp; Surplus Lines segment, we write a small book of excess property insurance, but we do not write primary property insurance. The Excess &amp; Surplus Lines segment has a specific proportional quota share treaty in effect to cover property risks. The proportional quota share treaty along with facultative reinsurance helps ensure that our net retained limit per risk will be $5.0 million or less.</w:t>
      </w:r>
    </w:p>
    <w:p>
      <w:pPr>
        <w:pStyle w:val="TextBody"/>
        <w:bidi w:val="0"/>
        <w:spacing w:lineRule="auto" w:line="288" w:before="0" w:after="120"/>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Some of our reinsurance treaties are subject to reinstatement premiums. In particular, a specialty casualty treaty in our Excess &amp; Surplus Lines segment providing $9.0 million in excess of $2.0 million coverage is subject to reinstatement premiums for treaty years spanning July 1, 2016 through July 1, 2022. Reinstatement premiums on this treaty are subject to aggregate caps for each treaty year, and once the cap is reached, we are no longer required to pay a reinstatement premium in order to reinstate the limit under this treaty. At March 31, 2026, we have less than $10.0 million of remaining exposure to additional reinstatement premiums on this specialty casualty treaty.</w:t>
      </w:r>
    </w:p>
    <w:p>
      <w:pPr>
        <w:pStyle w:val="TextBody"/>
        <w:bidi w:val="0"/>
        <w:spacing w:lineRule="auto" w:line="288" w:before="0" w:after="120"/>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Some of our reinsurance treaties are subject to loss ratio caps or aggregate limits. As of March 31, 2026, ceded losses to our reinsurance treaties were within these caps and aggregate limits, where applicable; however, less than $500,000 of limit remains available with respect to a reinsurer in one of our 2021 excess casualty reinsurance treaties.</w:t>
      </w:r>
    </w:p>
    <w:p>
      <w:pPr>
        <w:pStyle w:val="TextBody"/>
        <w:bidi w:val="0"/>
        <w:spacing w:lineRule="auto" w:line="288" w:before="0" w:after="120"/>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Based upon the property catastrophe modeling of our Excess &amp; Surplus Lines and Specialty Admitted Insurance segments, it would take an event greater than the 1 in 1,000 year PML to exhaust our $22.0 million property catastrophe reinsurance. In the event of a catastrophe loss exhausting our $22.0 million property catastrophe reinsurance, we estimate our pre-tax cost would not exceed 2.5% of shareholders’ equity, including reinstatement premiums and net retentions. In addition to this retention, we would retain any losses in excess of our reinsurance coverage limits.</w:t>
      </w:r>
    </w:p>
    <w:p>
      <w:pPr>
        <w:pStyle w:val="TextBody"/>
        <w:bidi w:val="0"/>
        <w:spacing w:lineRule="auto" w:line="288" w:before="0" w:after="120"/>
        <w:ind w:left="0" w:right="0" w:firstLine="405"/>
        <w:jc w:val="both"/>
        <w:rPr/>
      </w:pPr>
      <w:r>
        <w:rPr>
          <w:rFonts w:ascii="Times New Roman;serif" w:hAnsi="Times New Roman;serif"/>
          <w:b w:val="false"/>
          <w:color w:val="000000"/>
          <w:sz w:val="20"/>
        </w:rPr>
        <w:t>The Commercial Auto LPT with Aleka reinsures substantially all of the Excess &amp; Surplus Lines segment’s legacy portfolio of commercial auto policies previously issued to Rasier. See “</w:t>
      </w:r>
      <w:r>
        <w:rPr>
          <w:rFonts w:ascii="Times New Roman;serif" w:hAnsi="Times New Roman;serif"/>
          <w:b w:val="false"/>
          <w:i/>
          <w:color w:val="000000"/>
          <w:sz w:val="20"/>
        </w:rPr>
        <w:t>Amounts Recoverable from an Indemnifying Party and Reinsurer on Legacy Commercial Auto Book</w:t>
      </w:r>
      <w:r>
        <w:rPr>
          <w:color w:val="000000"/>
        </w:rPr>
        <w:t xml:space="preserve">” </w:t>
      </w:r>
      <w:r>
        <w:rPr>
          <w:rFonts w:ascii="Times New Roman;serif" w:hAnsi="Times New Roman;serif"/>
          <w:b w:val="false"/>
          <w:color w:val="000000"/>
          <w:sz w:val="20"/>
        </w:rPr>
        <w:t>below for further information on this reinsurance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9"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979e96abde144df8bdcdd49602e9d3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ind w:left="0" w:right="0" w:firstLine="360"/>
        <w:jc w:val="both"/>
        <w:rPr/>
      </w:pPr>
      <w:r>
        <w:rPr>
          <w:rFonts w:ascii="Times New Roman;serif" w:hAnsi="Times New Roman;serif"/>
          <w:b w:val="false"/>
          <w:color w:val="000000"/>
          <w:sz w:val="20"/>
        </w:rPr>
        <w:t>The E&amp;S ADC with State National reinsures James River’s Excess &amp; Surplus Lines segment casualty portfolio losses attaching to premium earned during 2010-2023 (both years inclusive), excluding, among others, losses related to commercial auto policies issued to a former large insured or its affiliates. See “</w:t>
      </w:r>
      <w:r>
        <w:rPr>
          <w:rFonts w:ascii="Times New Roman;serif" w:hAnsi="Times New Roman;serif"/>
          <w:b w:val="false"/>
          <w:i/>
          <w:color w:val="000000"/>
          <w:sz w:val="20"/>
        </w:rPr>
        <w:t>Combined Loss Portfolio Transfer and Adverse Development Cover</w:t>
      </w:r>
      <w:r>
        <w:rPr>
          <w:color w:val="000000"/>
        </w:rPr>
        <w:t xml:space="preserve">” </w:t>
      </w:r>
      <w:r>
        <w:rPr>
          <w:rFonts w:ascii="Times New Roman;serif" w:hAnsi="Times New Roman;serif"/>
          <w:b w:val="false"/>
          <w:color w:val="000000"/>
          <w:sz w:val="20"/>
        </w:rPr>
        <w:t>above for further information on this reinsurance agreement.</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E&amp;S Top Up ADC with Enstar, through its subsidiary Cavello Bay Reinsurance Limited, reinsures 100% of the losses associated with James River’s Excess &amp; Surplus Lines segment portfolio losses attaching to premium earned during 2010-2023 (both years inclusive). This agreement excludes losses related to commercial auto policies issued to a former large insured or its affiliates. It is subject to a retention by James River of $1,183.7 million (the limit of the E&amp;S ADC) and up to an aggregate limit of $75.0 million.</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is a summary of our Specialty Admitted Insurance segment’s ceded reinsurance in place as of March 31, 2026:</w:t>
      </w:r>
    </w:p>
    <w:tbl>
      <w:tblPr>
        <w:tblW w:w="10205" w:type="dxa"/>
        <w:jc w:val="left"/>
        <w:tblInd w:w="0" w:type="dxa"/>
        <w:tblLayout w:type="fixed"/>
        <w:tblCellMar>
          <w:top w:w="28" w:type="dxa"/>
          <w:left w:w="28" w:type="dxa"/>
          <w:bottom w:w="28" w:type="dxa"/>
          <w:right w:w="28" w:type="dxa"/>
        </w:tblCellMar>
      </w:tblPr>
      <w:tblGrid>
        <w:gridCol w:w="830"/>
        <w:gridCol w:w="731"/>
        <w:gridCol w:w="726"/>
        <w:gridCol w:w="109"/>
        <w:gridCol w:w="109"/>
        <w:gridCol w:w="109"/>
        <w:gridCol w:w="2215"/>
        <w:gridCol w:w="2215"/>
        <w:gridCol w:w="3161"/>
      </w:tblGrid>
      <w:tr>
        <w:trPr/>
        <w:tc>
          <w:tcPr>
            <w:tcW w:w="83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5" w:type="dxa"/>
            <w:tcBorders/>
            <w:vAlign w:val="center"/>
          </w:tcPr>
          <w:p>
            <w:pPr>
              <w:pStyle w:val="TableContents"/>
              <w:bidi w:val="0"/>
              <w:spacing w:before="0" w:after="283"/>
              <w:jc w:val="left"/>
              <w:rPr>
                <w:sz w:val="4"/>
                <w:szCs w:val="4"/>
              </w:rPr>
            </w:pPr>
            <w:r>
              <w:rPr>
                <w:sz w:val="4"/>
                <w:szCs w:val="4"/>
              </w:rPr>
            </w:r>
          </w:p>
        </w:tc>
        <w:tc>
          <w:tcPr>
            <w:tcW w:w="2215" w:type="dxa"/>
            <w:tcBorders/>
            <w:vAlign w:val="center"/>
          </w:tcPr>
          <w:p>
            <w:pPr>
              <w:pStyle w:val="TableContents"/>
              <w:bidi w:val="0"/>
              <w:spacing w:before="0" w:after="283"/>
              <w:jc w:val="left"/>
              <w:rPr>
                <w:sz w:val="4"/>
                <w:szCs w:val="4"/>
              </w:rPr>
            </w:pPr>
            <w:r>
              <w:rPr>
                <w:sz w:val="4"/>
                <w:szCs w:val="4"/>
              </w:rPr>
            </w:r>
          </w:p>
        </w:tc>
        <w:tc>
          <w:tcPr>
            <w:tcW w:w="3161" w:type="dxa"/>
            <w:tcBorders/>
            <w:vAlign w:val="center"/>
          </w:tcPr>
          <w:p>
            <w:pPr>
              <w:pStyle w:val="TableContents"/>
              <w:bidi w:val="0"/>
              <w:spacing w:before="0" w:after="283"/>
              <w:jc w:val="left"/>
              <w:rPr>
                <w:sz w:val="4"/>
                <w:szCs w:val="4"/>
              </w:rPr>
            </w:pPr>
            <w:r>
              <w:rPr>
                <w:sz w:val="4"/>
                <w:szCs w:val="4"/>
              </w:rPr>
            </w:r>
          </w:p>
        </w:tc>
      </w:tr>
      <w:tr>
        <w:trPr/>
        <w:tc>
          <w:tcPr>
            <w:tcW w:w="22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Line of Business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75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Coverage</w:t>
            </w:r>
          </w:p>
        </w:tc>
      </w:tr>
      <w:tr>
        <w:trPr/>
        <w:tc>
          <w:tcPr>
            <w:tcW w:w="22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Casualty</w:t>
            </w:r>
          </w:p>
        </w:tc>
        <w:tc>
          <w:tcPr>
            <w:tcW w:w="327" w:type="dxa"/>
            <w:gridSpan w:val="3"/>
            <w:tcBorders>
              <w:top w:val="single" w:sz="8"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Auto Programs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programs are quota share coverage for 100% of limits up to $1.0 million liability and $1.0 million physical damage per occurrence; except for one program with a primary limit of $750,000 liability.</w:t>
            </w:r>
          </w:p>
        </w:tc>
      </w:tr>
      <w:tr>
        <w:trPr/>
        <w:tc>
          <w:tcPr>
            <w:tcW w:w="2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Liability &amp; Professional Liability – Programs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Quota share coverage for 100% of limits up to $1.0 million per occurrence.</w:t>
            </w:r>
          </w:p>
        </w:tc>
      </w:tr>
      <w:tr>
        <w:trPr/>
        <w:tc>
          <w:tcPr>
            <w:tcW w:w="2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Umbrella and Excess Casualty - Programs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Quota share coverage for 100% of limits up to $25.0 million per occurrence.</w:t>
            </w:r>
          </w:p>
        </w:tc>
      </w:tr>
      <w:tr>
        <w:trPr/>
        <w:tc>
          <w:tcPr>
            <w:tcW w:w="2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1"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within Package - Programs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Uncapped quota share coverage for 100% of limits.</w:t>
            </w:r>
          </w:p>
        </w:tc>
      </w:tr>
      <w:tr>
        <w:trPr/>
        <w:tc>
          <w:tcPr>
            <w:tcW w:w="22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Property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Quota share coverage for 100% of limits up to $45.0 million per occurrence.</w:t>
            </w:r>
          </w:p>
        </w:tc>
      </w:tr>
      <w:tr>
        <w:trPr/>
        <w:tc>
          <w:tcPr>
            <w:tcW w:w="228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Aviation Programs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1" w:type="dxa"/>
            <w:gridSpan w:val="3"/>
            <w:tcBorders/>
            <w:shd w:fill="CCEEFF" w:val="clear"/>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Quota share coverage for 90.0% of limits up to $25.0 million liability, $10.0 million hull, and $10.0 million spares per occurrence, each aircraft; and excess of loss coverage for up to $4.3 million excess of $150,000 of our 10.0% share of the quota share each occurrence.</w:t>
            </w:r>
          </w:p>
        </w:tc>
      </w:tr>
    </w:tbl>
    <w:p>
      <w:pPr>
        <w:pStyle w:val="TextBody"/>
        <w:bidi w:val="0"/>
        <w:spacing w:lineRule="auto" w:line="288" w:before="120" w:after="120"/>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Our Specialty Admitted Insurance segment purchases reinsurance for at least 90.0% of the exposed limits on specialty admitted property-casualty business. While the segment focuses on casualty business, incidental property risk is incurred in the fronting and program business. The segment is covered for $22.0 million in excess of $3.0 million per occurrence to manage its property exposure to an approximate 1 in 1,000 year PML.</w:t>
      </w:r>
    </w:p>
    <w:p>
      <w:pPr>
        <w:pStyle w:val="TextBody"/>
        <w:bidi w:val="0"/>
        <w:spacing w:lineRule="auto" w:line="288" w:before="0" w:after="120"/>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In the aggregate, we believe our pre-tax group-wide PML from a 1 in 1,000 year property catastrophe event would not exceed 2.5% of shareholders’ equity, inclusive of reinstatement premiums payable.</w:t>
      </w:r>
    </w:p>
    <w:p>
      <w:pPr>
        <w:pStyle w:val="TextBody"/>
        <w:bidi w:val="0"/>
        <w:spacing w:lineRule="auto" w:line="288" w:before="0" w:after="120"/>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The Company’s insurance segments remain liable to policyholders if its reinsurers are unable to meet their contractual obligations under applicable reinsurance agreements. We establish an allowance for credit losses for our current estimate of uncollectible reinsurance recoverables. At March 31, 2026, the allowance for credit losses on reinsurance recoverables was $1.7 million. To minimize exposure to significant losses from reinsurance insolvencies, the Company evaluates the financial condition of its reinsurers and monitors concentrations of credit risk. The Company generally seeks to purchase reinsurance from reinsurers with A.M. Best financial strength ratings of “A-” (Excellent) or better. The Company’s reinsurance contracts generally require reinsurers that are not authorized as reinsurers under U.S. state insurance regulations or that experience rating downgrades from rating agencies below specified levels to fund their share of the Company’s ceded outstanding losses and loss adjustment expense reserves, typically through the use of irrevocable and unconditional letters of credit. In fronting arrangements, which the Company conducts through its Specialty Admitted Insurance segment, we are subject to credit risk with regard to insurance companies who act as reinsurers for us in such arrangements. We require collateral, in the form of a trust arrangement or letter of credit, to secure the obligations of the insurance entity for whom we are fronting.</w:t>
      </w:r>
    </w:p>
    <w:p>
      <w:pPr>
        <w:pStyle w:val="TextBody"/>
        <w:bidi w:val="0"/>
        <w:spacing w:lineRule="auto" w:line="288" w:before="0" w:after="120"/>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At March 31, 2026, we had reinsurance recoverables on unpaid losses of $2,014.6 million (net of a $1.7 million allowance for credit losses) and reinsurance recoverables on paid losses of $82.8 million, and all material recoverable amounts were from companies with A.M. Best ratings of “A-" (Excellent) or better, or are collateralized by the reinsurer for our benefit through letters of credit or funds on deposit in trust accounts.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50"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288" w:before="0" w:after="0"/>
        <w:jc w:val="left"/>
        <w:rPr/>
      </w:pPr>
      <w:hyperlink w:anchor="i979e96abde144df8bdcdd49602e9d3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Amounts Recoverable from an Indemnifying Party and Reinsurer on Legacy Commercial Auto Book</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James River previously issued a set of commercial auto insurance contracts (the “Rasier Commercial Auto Policies”) to Rasier under which James River pays losses and loss adjustment expenses on the contracts. James River has indemnity agreements with Rasier (non-insurance entities) (collectively, the “Indemnity Agreements”) and is contractually entitled to reimbursement for the portion of the losses and loss adjustment expenses paid on behalf of Rasier under the Rasier Commercial Auto Policies and other expenses incurred by James River. In addition, on September 27, 2021, James River entered into the Commercial Auto LPT with Aleka to reinsure substantially all of the Rasier Commercial Auto Policies for which James River is not otherwise indemnified by Rasier under the Indemnity Agreements.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Each of Rasier and Aleka are required to post collateral equal to 102% of James River's estimate of the respective party's obligations in trusts pursuant to the terms of the Indemnity Agreements and the Commercial Auto LPT, respectively. At March 31, 2026, the total balance of collateral securing Rasier's obligations under the Indemnity Agreements was $35.2 million and Aleka's obligations under the Commercial Auto LPT was $16.8 million. At March 31, 2026, the total reinsurance recoverables under the Commercial Auto LPT was $9.9 million.</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While the Commercial Auto LPT brings economic finality to substantially all of the Rasier Commercial Auto Policies, the Company has credit exposure to Rasier and Aleka under the Indemnity Agreements and the Commercial Auto LPT if the estimated losses and expenses of the Rasier Commercial Auto Policies grow at a faster pace than the growth in the collateral balances. In addition, the Company has credit exposure if its estimates of future losses and loss adjustment expenses and other amounts recoverable under the Indemnity Agreements and the Commercial Auto LPT, which are the basis for establishing the collateral balances, are lower than actual amounts paid or payable. The amount of the Company's credit exposure in any of these instances could be material. To mitigate these risks, the Company closely and frequently monitors its exposure compared to the collateral held, and requests additional collateral in accordance with the terms of the Commercial Auto LPT and Indemnity Agreements when its analysis indicates that it has uncollateralized exposure.</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Ratings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A.M. Best Company financial strength rating for our group’s regulated insurance subsidiaries is “A-” (Excellent) with a negative outlook. This rating reflects A.M. Best’s opinion of our insurance subsidiaries’ financial strength, operating performance and ability to meet obligations to policyholders and is not an evaluation directed towards the protection of investors. The rating for our U.S. operating insurance companies of “A-” (Excellent) is the fourth highest rating of the thirteen ratings issued by A.M. Best and is assigned to insurers that have, in A.M. Best’s opinion, an excellent ability to meet their ongoing obligations to policyholders.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financial strength ratings assigned by A.M. Best have an impact on the ability of our insurance subsidiaries to attract and retain agents and brokers and on the risk profiles of the submissions for insurance that our subsidiaries receive. We believe the “A-” (Excellent) ratings assigned to our U.S. insurance subsidiaries allow our Excess &amp; Surplus Lines segment to actively pursue relationships with the agents and brokers identified in its marketing plans.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i/>
          <w:color w:val="000000"/>
          <w:sz w:val="20"/>
        </w:rPr>
      </w:pPr>
      <w:r>
        <w:rPr>
          <w:rFonts w:ascii="Times New Roman;serif" w:hAnsi="Times New Roman;serif"/>
          <w:b/>
          <w:i/>
          <w:color w:val="000000"/>
          <w:sz w:val="20"/>
        </w:rPr>
        <w:t>Series A Preferred Shares</w:t>
      </w:r>
    </w:p>
    <w:p>
      <w:pPr>
        <w:pStyle w:val="TextBody"/>
        <w:bidi w:val="0"/>
        <w:spacing w:lineRule="auto" w:line="288" w:before="0" w:after="120"/>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The Company closed on the issuance and sale of 150,000 Series A Preferred Shares on March 1, 2022 for an aggregate purchase price of $150.0 million, or $1,000 per share, in a private placement. The Series A Preferred Shares are convertible into shares of common stock at the option of the holder at any time, or at the Company’s option under certain circumstances. Dividends on the Series A Preferred Shares accrue quarterly at the rate of 7% of the Liquidation Preference per annum, which may be paid in cash, in-kind in common stock or in Series A Preferred Shares, at the Company’s election.</w:t>
      </w:r>
    </w:p>
    <w:p>
      <w:pPr>
        <w:pStyle w:val="TextBody"/>
        <w:bidi w:val="0"/>
        <w:spacing w:lineRule="auto" w:line="288" w:before="0" w:after="120"/>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On November 11, 2024, the Company amended the Certificate of Designations setting forth the terms of the Series A Preferred Shares to, among other things, convert 37,500 outstanding Series A Preferred Shares with a liquidation value of $37.5 million to shares of common stock at a per share price of $6.40. Following the conversion, 112,500 Series A Preferred Shares remain outstanding.</w:t>
      </w: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EQUITY</w:t>
      </w:r>
    </w:p>
    <w:p>
      <w:pPr>
        <w:pStyle w:val="TextBody"/>
        <w:bidi w:val="0"/>
        <w:spacing w:lineRule="auto" w:line="288" w:before="0" w:after="120"/>
        <w:ind w:left="0" w:right="0" w:firstLine="405"/>
        <w:jc w:val="both"/>
        <w:rPr>
          <w:rFonts w:ascii="Times New Roman;serif" w:hAnsi="Times New Roman;serif"/>
          <w:b w:val="false"/>
          <w:color w:val="000000"/>
          <w:sz w:val="20"/>
        </w:rPr>
      </w:pPr>
      <w:r>
        <w:rPr>
          <w:rFonts w:ascii="Times New Roman;serif" w:hAnsi="Times New Roman;serif"/>
          <w:b w:val="false"/>
          <w:color w:val="000000"/>
          <w:sz w:val="20"/>
        </w:rPr>
        <w:t>The Company issued 268,272 shares of common stock related to the vesting of restricted share units (“RSUs”) in the three months ended March 31, 2026, increasing the total shares of common stock outstanding from 45,968,584 at December 31, 2025 to 46,236,856 at March 31, 2026.</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Share Based Compensation Expense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recognized $1.5 million and $2.7 million of share based compensation expense in the three months ended March 31, 2026 and 2025, respectively. As of March 31, 2026, the Company had $11.4 million of unrecognized share based compensation expense expected to be charged to earnings over a weighted-average period of 2.5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288" w:before="0" w:after="0"/>
        <w:jc w:val="left"/>
        <w:rPr/>
      </w:pPr>
      <w:hyperlink w:anchor="i979e96abde144df8bdcdd49602e9d3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Equity Incentive Plans</w:t>
      </w:r>
    </w:p>
    <w:p>
      <w:pPr>
        <w:pStyle w:val="TextBody"/>
        <w:bidi w:val="0"/>
        <w:spacing w:lineRule="auto" w:line="288" w:before="0" w:after="120"/>
        <w:jc w:val="both"/>
        <w:rPr>
          <w:rFonts w:ascii="Times New Roman;serif" w:hAnsi="Times New Roman;serif"/>
          <w:b/>
          <w:i/>
          <w:color w:val="000000"/>
          <w:sz w:val="20"/>
        </w:rPr>
      </w:pPr>
      <w:r>
        <w:rPr>
          <w:rFonts w:ascii="Times New Roman;serif" w:hAnsi="Times New Roman;serif"/>
          <w:b/>
          <w:i/>
          <w:color w:val="000000"/>
          <w:sz w:val="20"/>
        </w:rPr>
        <w:t>RSUs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RSU activity:</w:t>
      </w:r>
    </w:p>
    <w:tbl>
      <w:tblPr>
        <w:tblW w:w="7854" w:type="dxa"/>
        <w:jc w:val="left"/>
        <w:tblInd w:w="0" w:type="dxa"/>
        <w:tblLayout w:type="fixed"/>
        <w:tblCellMar>
          <w:top w:w="28" w:type="dxa"/>
          <w:left w:w="28" w:type="dxa"/>
          <w:bottom w:w="28" w:type="dxa"/>
          <w:right w:w="28" w:type="dxa"/>
        </w:tblCellMar>
      </w:tblPr>
      <w:tblGrid>
        <w:gridCol w:w="939"/>
        <w:gridCol w:w="825"/>
        <w:gridCol w:w="830"/>
        <w:gridCol w:w="488"/>
        <w:gridCol w:w="488"/>
        <w:gridCol w:w="196"/>
        <w:gridCol w:w="109"/>
        <w:gridCol w:w="109"/>
        <w:gridCol w:w="109"/>
        <w:gridCol w:w="213"/>
        <w:gridCol w:w="622"/>
        <w:gridCol w:w="110"/>
        <w:gridCol w:w="109"/>
        <w:gridCol w:w="109"/>
        <w:gridCol w:w="109"/>
        <w:gridCol w:w="488"/>
        <w:gridCol w:w="488"/>
        <w:gridCol w:w="196"/>
        <w:gridCol w:w="109"/>
        <w:gridCol w:w="109"/>
        <w:gridCol w:w="109"/>
        <w:gridCol w:w="213"/>
        <w:gridCol w:w="622"/>
        <w:gridCol w:w="155"/>
      </w:tblGrid>
      <w:tr>
        <w:trPr/>
        <w:tc>
          <w:tcPr>
            <w:tcW w:w="939"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Grant Date</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w:t>
              <w:br/>
              <w:t>Average</w:t>
              <w:br/>
              <w:t>Grant Date</w:t>
              <w:br/>
              <w:t>Fair Value</w:t>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beginning of period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1,299,644 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885,173 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1,316,294 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1,321,733 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Vested</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(367,456)</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(358,399)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PRSU performance adjustment</w:t>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(1,101)</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Unvested, end of period</w:t>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2,246,760 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1,848,507 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Outstanding RSUs granted to employees generally vest ratably over a three-year vesting period in the case of time-vest RSUs and cliff vest at the end of a three-year performance period in the case of PRSUs. RSUs granted to non-employee directors generally have a one year vesting period. The RSUs granted in 2026 and 2025 include 372,873 and 620,108 PRSU awards, respectively. Initial PRSU awards are granted at the 100% target performance level. The Company projects the level of achievement for each award during the performance period and periodically adjusts the number of outstanding awards to reflect the number of awards expected to vest.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288" w:before="0" w:after="0"/>
        <w:jc w:val="left"/>
        <w:rPr/>
      </w:pPr>
      <w:hyperlink w:anchor="i979e96abde144df8bdcdd49602e9d3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Underwriting Performance Ratios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the underwriting performance ratios of the Company's continuing operations inclusive of the business subject to retroactive reinsurance accounting. There is no economic impact to the Company over the life of a retroactive reinsurance contract so long as any additional losses subject to the contract are within the limit of the contract and the counterparty performs under the contract. Retroactive reinsurance accounting is not indicative of our current and ongoing operations. Management believes that providing loss ratios and combined ratios on business not subject to retroactive reinsurance accounting gives the users of our financial statements useful information in evaluating our current and ongoing operations.</w:t>
      </w:r>
    </w:p>
    <w:tbl>
      <w:tblPr>
        <w:tblW w:w="8107" w:type="dxa"/>
        <w:jc w:val="left"/>
        <w:tblInd w:w="0" w:type="dxa"/>
        <w:tblLayout w:type="fixed"/>
        <w:tblCellMar>
          <w:top w:w="28" w:type="dxa"/>
          <w:left w:w="28" w:type="dxa"/>
          <w:bottom w:w="28" w:type="dxa"/>
          <w:right w:w="28" w:type="dxa"/>
        </w:tblCellMar>
      </w:tblPr>
      <w:tblGrid>
        <w:gridCol w:w="1813"/>
        <w:gridCol w:w="1596"/>
        <w:gridCol w:w="1601"/>
        <w:gridCol w:w="109"/>
        <w:gridCol w:w="109"/>
        <w:gridCol w:w="247"/>
        <w:gridCol w:w="247"/>
        <w:gridCol w:w="307"/>
        <w:gridCol w:w="309"/>
        <w:gridCol w:w="615"/>
        <w:gridCol w:w="109"/>
        <w:gridCol w:w="109"/>
        <w:gridCol w:w="109"/>
        <w:gridCol w:w="255"/>
        <w:gridCol w:w="256"/>
        <w:gridCol w:w="316"/>
      </w:tblGrid>
      <w:tr>
        <w:trPr/>
        <w:tc>
          <w:tcPr>
            <w:tcW w:w="1813" w:type="dxa"/>
            <w:tcBorders/>
            <w:vAlign w:val="center"/>
          </w:tcPr>
          <w:p>
            <w:pPr>
              <w:pStyle w:val="TableContents"/>
              <w:bidi w:val="0"/>
              <w:spacing w:before="0" w:after="283"/>
              <w:jc w:val="left"/>
              <w:rPr>
                <w:sz w:val="4"/>
                <w:szCs w:val="4"/>
              </w:rPr>
            </w:pPr>
            <w:r>
              <w:rPr>
                <w:sz w:val="4"/>
                <w:szCs w:val="4"/>
              </w:rPr>
            </w:r>
          </w:p>
        </w:tc>
        <w:tc>
          <w:tcPr>
            <w:tcW w:w="1596" w:type="dxa"/>
            <w:tcBorders/>
            <w:vAlign w:val="center"/>
          </w:tcPr>
          <w:p>
            <w:pPr>
              <w:pStyle w:val="TableContents"/>
              <w:bidi w:val="0"/>
              <w:spacing w:before="0" w:after="283"/>
              <w:jc w:val="left"/>
              <w:rPr>
                <w:sz w:val="4"/>
                <w:szCs w:val="4"/>
              </w:rPr>
            </w:pPr>
            <w:r>
              <w:rPr>
                <w:sz w:val="4"/>
                <w:szCs w:val="4"/>
              </w:rPr>
            </w:r>
          </w:p>
        </w:tc>
        <w:tc>
          <w:tcPr>
            <w:tcW w:w="16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2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154" w:type="dxa"/>
            <w:gridSpan w:val="6"/>
            <w:tcBorders/>
          </w:tcPr>
          <w:p>
            <w:pPr>
              <w:pStyle w:val="TableContents"/>
              <w:bidi w:val="0"/>
              <w:spacing w:before="0" w:after="283"/>
              <w:jc w:val="left"/>
              <w:rPr>
                <w:sz w:val="4"/>
                <w:szCs w:val="4"/>
              </w:rPr>
            </w:pPr>
            <w:r>
              <w:rPr>
                <w:sz w:val="4"/>
                <w:szCs w:val="4"/>
              </w:rPr>
            </w:r>
          </w:p>
        </w:tc>
      </w:tr>
      <w:tr>
        <w:trPr/>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Excess &amp; Surplus Lines: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Ratio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68.0 </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retroactive reinsurance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Ratio including impact of retroactive reinsurance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78.8 </w:t>
            </w:r>
          </w:p>
        </w:tc>
        <w:tc>
          <w:tcPr>
            <w:tcW w:w="6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63.4 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Combined Ratio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96.5 </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retroactive reinsurance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10.8 </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Combined Ratio including impact of retroactive reinsurance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107.3 </w:t>
            </w:r>
          </w:p>
        </w:tc>
        <w:tc>
          <w:tcPr>
            <w:tcW w:w="6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90.1 </w:t>
            </w:r>
          </w:p>
        </w:tc>
        <w:tc>
          <w:tcPr>
            <w:tcW w:w="3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2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Consolidated: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Ratio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69.2 </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retroactive reinsurance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Ratio including impact of retroactive reinsurance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79.7 </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65.5 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Combined Ratio</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104.6 </w:t>
            </w:r>
          </w:p>
        </w:tc>
        <w:tc>
          <w:tcPr>
            <w:tcW w:w="61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Impact of retroactive reinsurance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6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Combined Ratio including impact of retroactive reinsurance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115.1 </w:t>
            </w:r>
          </w:p>
        </w:tc>
        <w:tc>
          <w:tcPr>
            <w:tcW w:w="6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98.2 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3"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288" w:before="0" w:after="0"/>
        <w:jc w:val="left"/>
        <w:rPr/>
      </w:pPr>
      <w:hyperlink w:anchor="i979e96abde144df8bdcdd49602e9d3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RECONCILIATION OF NON-GAAP MEASURES</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See “Key Metrics” above for descriptions of why management believes the following Non-GAAP measures provide useful information about our financial condition and results of operation.</w:t>
      </w:r>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Reconciliation of Underwriting Profit</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define underwriting profit as net earned premiums and gross fee income (in specific instances when the Company is not retaining insurance risk) less losses and loss adjustment expenses on business from continuing operations not subject to retroactive reinsurance accounting and other operating expenses. Other operating expenses include the underwriting, acquisition, and insurance expenses of the operating segments and, for consolidated underwriting profit, the expenses of the Corporate and Other segment. Our definition of underwriting profit may not be comparable to that of other companies.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the underwriting profit (loss) of the operating segments by individual segment to consolidated income (loss) before income taxes:</w:t>
      </w:r>
    </w:p>
    <w:tbl>
      <w:tblPr>
        <w:tblW w:w="8425" w:type="dxa"/>
        <w:jc w:val="left"/>
        <w:tblInd w:w="0" w:type="dxa"/>
        <w:tblLayout w:type="fixed"/>
        <w:tblCellMar>
          <w:top w:w="28" w:type="dxa"/>
          <w:left w:w="28" w:type="dxa"/>
          <w:bottom w:w="28" w:type="dxa"/>
          <w:right w:w="28" w:type="dxa"/>
        </w:tblCellMar>
      </w:tblPr>
      <w:tblGrid>
        <w:gridCol w:w="1880"/>
        <w:gridCol w:w="1650"/>
        <w:gridCol w:w="1659"/>
        <w:gridCol w:w="109"/>
        <w:gridCol w:w="109"/>
        <w:gridCol w:w="131"/>
        <w:gridCol w:w="131"/>
        <w:gridCol w:w="254"/>
        <w:gridCol w:w="958"/>
        <w:gridCol w:w="131"/>
        <w:gridCol w:w="109"/>
        <w:gridCol w:w="109"/>
        <w:gridCol w:w="109"/>
        <w:gridCol w:w="211"/>
        <w:gridCol w:w="721"/>
        <w:gridCol w:w="154"/>
      </w:tblGrid>
      <w:tr>
        <w:trPr/>
        <w:tc>
          <w:tcPr>
            <w:tcW w:w="1880"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16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1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05"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March 31,</w:t>
            </w:r>
          </w:p>
        </w:tc>
        <w:tc>
          <w:tcPr>
            <w:tcW w:w="1413" w:type="dxa"/>
            <w:gridSpan w:val="6"/>
            <w:tcBorders/>
          </w:tcPr>
          <w:p>
            <w:pPr>
              <w:pStyle w:val="TableContents"/>
              <w:bidi w:val="0"/>
              <w:spacing w:before="0" w:after="283"/>
              <w:jc w:val="left"/>
              <w:rPr>
                <w:sz w:val="4"/>
                <w:szCs w:val="4"/>
              </w:rPr>
            </w:pPr>
            <w:r>
              <w:rPr>
                <w:sz w:val="4"/>
                <w:szCs w:val="4"/>
              </w:rPr>
            </w:r>
          </w:p>
        </w:tc>
      </w:tr>
      <w:tr>
        <w:trPr/>
        <w:tc>
          <w:tcPr>
            <w:tcW w:w="51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1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7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(in thousands)</w:t>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Underwriting profit (loss) of the operating segments: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Excess &amp; Surplus Lines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Specialty Admitted Insurance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underwriting profit of operating segments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2,861 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operating expenses of the Corporate and Other segment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(9,081)</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Underwriting (loss) profit </w:t>
            </w:r>
            <w:r>
              <w:rPr>
                <w:rFonts w:ascii="Times New Roman;serif" w:hAnsi="Times New Roman;serif"/>
                <w:b w:val="false"/>
                <w:color w:val="000000"/>
                <w:sz w:val="16"/>
              </w:rPr>
              <w:t>(1)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2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(6,220)</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and loss adjustment expenses - retroactive reinsurance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(14,189)</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investment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21,327 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and unrealized losses on investments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and expenses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2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(5,589)</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intangible assets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2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8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51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from continuing operations before income taxes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(10,635)</w:t>
            </w:r>
          </w:p>
        </w:tc>
        <w:tc>
          <w:tcPr>
            <w:tcW w:w="1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rFonts w:ascii="Times New Roman;serif" w:hAnsi="Times New Roman;serif"/>
          <w:b w:val="false"/>
          <w:i/>
          <w:color w:val="000000"/>
          <w:sz w:val="20"/>
        </w:rPr>
      </w:pPr>
      <w:r>
        <w:rPr>
          <w:rFonts w:ascii="Times New Roman;serif" w:hAnsi="Times New Roman;serif"/>
          <w:b w:val="false"/>
          <w:i/>
          <w:color w:val="000000"/>
          <w:sz w:val="20"/>
        </w:rPr>
        <w:t>(1)Included in underwriting results for the three months ended March 31, 2026 and 2025 is gross fee income of $1.5 million and $4.3 million,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4"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288" w:before="0" w:after="0"/>
        <w:jc w:val="left"/>
        <w:rPr/>
      </w:pPr>
      <w:hyperlink w:anchor="i979e96abde144df8bdcdd49602e9d3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Reconciliation of Adjusted Net Operating Income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Adjusted net operating income is defined as income available to common shareholders excluding a) income (loss) from discontinued operations, b) the impact of retroactive reinsurance accounting, c) net realized and unrealized gains (losses) on investments, d) certain non-operating expenses such as professional service fees related to certain lawsuits, various strategic initiatives, and the filing of registration statements for the offering of securities, e) severance costs associated with terminated employees, f) deemed dividends recorded with the amendment of the Series A Preferred Shares, and g) the one-time tax benefit from Domestication for business interest expenses. Adjusted net operating income should not be viewed as a substitute for net income calculated in accordance with GAAP, and our definition of adjusted net operating income may not be comparable to that of other companies.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Our income available to common shareholders reconciles to our adjusted net operating income as follows:</w:t>
      </w:r>
    </w:p>
    <w:tbl>
      <w:tblPr>
        <w:tblW w:w="10205" w:type="dxa"/>
        <w:jc w:val="left"/>
        <w:tblInd w:w="0" w:type="dxa"/>
        <w:tblLayout w:type="fixed"/>
        <w:tblCellMar>
          <w:top w:w="28" w:type="dxa"/>
          <w:left w:w="28" w:type="dxa"/>
          <w:bottom w:w="28" w:type="dxa"/>
          <w:right w:w="28" w:type="dxa"/>
        </w:tblCellMar>
      </w:tblPr>
      <w:tblGrid>
        <w:gridCol w:w="1801"/>
        <w:gridCol w:w="1582"/>
        <w:gridCol w:w="1589"/>
        <w:gridCol w:w="211"/>
        <w:gridCol w:w="794"/>
        <w:gridCol w:w="109"/>
        <w:gridCol w:w="109"/>
        <w:gridCol w:w="109"/>
        <w:gridCol w:w="109"/>
        <w:gridCol w:w="211"/>
        <w:gridCol w:w="794"/>
        <w:gridCol w:w="109"/>
        <w:gridCol w:w="109"/>
        <w:gridCol w:w="109"/>
        <w:gridCol w:w="109"/>
        <w:gridCol w:w="211"/>
        <w:gridCol w:w="721"/>
        <w:gridCol w:w="109"/>
        <w:gridCol w:w="109"/>
        <w:gridCol w:w="109"/>
        <w:gridCol w:w="109"/>
        <w:gridCol w:w="211"/>
        <w:gridCol w:w="616"/>
        <w:gridCol w:w="156"/>
      </w:tblGrid>
      <w:tr>
        <w:trPr/>
        <w:tc>
          <w:tcPr>
            <w:tcW w:w="1801" w:type="dxa"/>
            <w:tcBorders/>
            <w:vAlign w:val="center"/>
          </w:tcPr>
          <w:p>
            <w:pPr>
              <w:pStyle w:val="TableContents"/>
              <w:bidi w:val="0"/>
              <w:spacing w:before="0" w:after="283"/>
              <w:jc w:val="left"/>
              <w:rPr>
                <w:sz w:val="4"/>
                <w:szCs w:val="4"/>
              </w:rPr>
            </w:pPr>
            <w:r>
              <w:rPr>
                <w:sz w:val="4"/>
                <w:szCs w:val="4"/>
              </w:rPr>
            </w:r>
          </w:p>
        </w:tc>
        <w:tc>
          <w:tcPr>
            <w:tcW w:w="1582"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9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33"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March 31,</w:t>
            </w:r>
          </w:p>
        </w:tc>
      </w:tr>
      <w:tr>
        <w:trPr/>
        <w:tc>
          <w:tcPr>
            <w:tcW w:w="49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5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9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(Loss) Income</w:t>
              <w:br/>
              <w:t>Before</w:t>
              <w:br/>
              <w:t>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br/>
              <w:t>(Loss) Income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Income</w:t>
              <w:br/>
              <w:t>Before</w:t>
              <w:br/>
              <w:t>Taxes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Net</w:t>
              <w:br/>
              <w:t>Income</w:t>
            </w:r>
          </w:p>
        </w:tc>
      </w:tr>
      <w:tr>
        <w:trPr/>
        <w:tc>
          <w:tcPr>
            <w:tcW w:w="49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3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16"/>
              </w:rPr>
            </w:pPr>
            <w:r>
              <w:rPr>
                <w:rFonts w:ascii="Times New Roman;serif" w:hAnsi="Times New Roman;serif"/>
                <w:b/>
                <w:i/>
                <w:color w:val="000000"/>
                <w:sz w:val="16"/>
              </w:rPr>
              <w:t>($ in thousands)</w:t>
            </w:r>
          </w:p>
        </w:tc>
      </w:tr>
      <w:tr>
        <w:trPr/>
        <w:tc>
          <w:tcPr>
            <w:tcW w:w="4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income available to common shareholders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discontinued operations</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Losses and loss adjustment expenses - retroactive reinsurance</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realized and unrealized investment losses</w:t>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expenses</w:t>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72"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49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net operating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9,102 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5"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288" w:before="0" w:after="0"/>
        <w:jc w:val="left"/>
        <w:rPr/>
      </w:pPr>
      <w:hyperlink w:anchor="i979e96abde144df8bdcdd49602e9d3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Times New Roman;serif" w:hAnsi="Times New Roman;serif"/>
          <w:b/>
          <w:i/>
          <w:color w:val="000000"/>
          <w:sz w:val="20"/>
        </w:rPr>
      </w:pPr>
      <w:r>
        <w:rPr>
          <w:rFonts w:ascii="Times New Roman;serif" w:hAnsi="Times New Roman;serif"/>
          <w:b/>
          <w:i/>
          <w:color w:val="000000"/>
          <w:sz w:val="20"/>
        </w:rPr>
        <w:t>Tangible Equity (per Share) and Tangible Common Equity (per Share)</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Tangible equity is defined as shareholders' equity plus mezzanine Series A Preferred Shares and the deferred retroactive reinsurance gain less goodwill and intangible assets, net of amortization. Tangible equity per share represents tangible equity divided by the sum of total shares of common stock outstanding plus the shares of common stock resulting from an assumed conversion of the outstanding Series A Preferred Shares into common shares (at the conversion price effective as of the last day of the applicable period). Tangible common equity is defined as shareholders' equity plus the deferred retroactive reinsurance gain less goodwill and intangible assets, net of amortization. Tangible common equity per share represents tangible common equity divided by the total shares of common stock outstanding. Our definitions of tangible equity, tangible equity per share, tangible common equity and tangible common equity per share may not be comparable to that of other companies, and they should not be viewed as a substitute for shareholders’ equity and shareholders’ equity per share calculated in accordance with GAAP.</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following table reconciles shareholders’ equity to tangible common equity as of March 31, 2026, December 31, 2025, and March 31, 2025:</w:t>
      </w:r>
    </w:p>
    <w:tbl>
      <w:tblPr>
        <w:tblW w:w="10205" w:type="dxa"/>
        <w:jc w:val="left"/>
        <w:tblInd w:w="0" w:type="dxa"/>
        <w:tblLayout w:type="fixed"/>
        <w:tblCellMar>
          <w:top w:w="28" w:type="dxa"/>
          <w:left w:w="28" w:type="dxa"/>
          <w:bottom w:w="28" w:type="dxa"/>
          <w:right w:w="28" w:type="dxa"/>
        </w:tblCellMar>
      </w:tblPr>
      <w:tblGrid>
        <w:gridCol w:w="2068"/>
        <w:gridCol w:w="1751"/>
        <w:gridCol w:w="1764"/>
        <w:gridCol w:w="232"/>
        <w:gridCol w:w="895"/>
        <w:gridCol w:w="116"/>
        <w:gridCol w:w="109"/>
        <w:gridCol w:w="109"/>
        <w:gridCol w:w="109"/>
        <w:gridCol w:w="271"/>
        <w:gridCol w:w="1026"/>
        <w:gridCol w:w="134"/>
        <w:gridCol w:w="109"/>
        <w:gridCol w:w="109"/>
        <w:gridCol w:w="109"/>
        <w:gridCol w:w="231"/>
        <w:gridCol w:w="893"/>
        <w:gridCol w:w="170"/>
      </w:tblGrid>
      <w:tr>
        <w:trPr/>
        <w:tc>
          <w:tcPr>
            <w:tcW w:w="2068" w:type="dxa"/>
            <w:tcBorders/>
            <w:vAlign w:val="center"/>
          </w:tcPr>
          <w:p>
            <w:pPr>
              <w:pStyle w:val="TableContents"/>
              <w:bidi w:val="0"/>
              <w:spacing w:before="0" w:after="283"/>
              <w:jc w:val="left"/>
              <w:rPr>
                <w:sz w:val="4"/>
                <w:szCs w:val="4"/>
              </w:rPr>
            </w:pPr>
            <w:r>
              <w:rPr>
                <w:sz w:val="4"/>
                <w:szCs w:val="4"/>
              </w:rPr>
            </w:r>
          </w:p>
        </w:tc>
        <w:tc>
          <w:tcPr>
            <w:tcW w:w="1751"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895"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893"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558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March 31, 2025</w:t>
            </w:r>
          </w:p>
        </w:tc>
      </w:tr>
      <w:tr>
        <w:trPr/>
        <w:tc>
          <w:tcPr>
            <w:tcW w:w="558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16"/>
              </w:rPr>
            </w:pPr>
            <w:r>
              <w:rPr>
                <w:rFonts w:ascii="Times New Roman;serif" w:hAnsi="Times New Roman;serif"/>
                <w:b/>
                <w:i/>
                <w:color w:val="000000"/>
                <w:sz w:val="16"/>
              </w:rPr>
              <w:t>($ in thousands, except share amounts)</w:t>
            </w:r>
          </w:p>
        </w:tc>
        <w:tc>
          <w:tcPr>
            <w:tcW w:w="124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518,416 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538,153 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484,480 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Series A redeemable preferred shares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133,115 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133,115 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133,115 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Plus: Deferred reinsurance gain</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100,909 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86,720 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56,042 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Goodwill</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181,831 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181,831 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181,831 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Intangible assets, net</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31,996 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32,087 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32,359 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Tangible equity</w:t>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538,613 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544,070 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459,447 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Series A redeemable preferred shares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133,115 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133,115 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133,115 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Tangible common equity</w:t>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405,498 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410,955 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326,332 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shares outstanding</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46,236,856 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45,968,584 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45,892,706 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shares from assumed conversion of Series A Preferred Shares</w:t>
            </w:r>
          </w:p>
        </w:tc>
        <w:tc>
          <w:tcPr>
            <w:tcW w:w="11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13,521,634 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13,521,634 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13,521,634 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shares outstanding after assumed conversion of Series A Preferred Shares</w:t>
            </w:r>
          </w:p>
        </w:tc>
        <w:tc>
          <w:tcPr>
            <w:tcW w:w="11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59,758,490 </w:t>
            </w:r>
          </w:p>
        </w:tc>
        <w:tc>
          <w:tcPr>
            <w:tcW w:w="11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59,490,218 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59,414,340 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per share:</w:t>
            </w:r>
          </w:p>
        </w:tc>
        <w:tc>
          <w:tcPr>
            <w:tcW w:w="12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Shareholders' equity</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Tangible equity</w:t>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8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Tangible common equity</w:t>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9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6"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288" w:before="0" w:after="0"/>
        <w:jc w:val="left"/>
        <w:rPr/>
      </w:pPr>
      <w:hyperlink w:anchor="i979e96abde144df8bdcdd49602e9d3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color w:val="000000"/>
        </w:rPr>
      </w:pPr>
      <w:r>
        <w:rPr>
          <w:color w:val="000000"/>
        </w:rPr>
        <w:t> </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Market risk is the risk of economic losses due to adverse changes in the estimated fair value of a financial instrument as the result of changes in equity prices, interest rates, foreign currency exchange rates and commodity prices. Our consolidated balance sheets include assets and liabilities with estimated fair values that are subject to market risk. Our primary market risks have been interest rate risk associated with investments in fixed maturities and equity price risk associated with investments in equity securities. We do not have material exposure to foreign currency exchange rate risk or commodity risk.</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in market risk from the information provided in Item 7A of our Annual Report on Form 10-K for the year ended December 31,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maintain disclosure controls and procedures that are designed to ensure that information required to be disclosed in the reports we file or submit under the Securities Exchange Act of 1934, as amended (the “Exchange Act”) is recorded, processed, summarized and reported within the time periods specified in the SEC’s rules and forms, and that such information is accumulated and communicated to our management, including our Chief Executive Officer (“CEO”) and Chief Financial Officer ("CFO"), as appropriate, to allow timely decisions regarding required disclosure. In connection with the preparation of this quarterly report on Form 10-Q, our management carried out an evaluation, under the supervision and with the participation of our CEO and CFO, as of March 31, 2026, of the effectiveness of the design and operation of our disclosure controls and procedures, as such term is defined under Rule 13a-15(e) and 15d-15(e) under the Exchange Act. Based upon this evaluation, our CEO and CFO concluded that our disclosure controls and procedures were effective as of March 31, 2026.</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Changes in Internal Controls over Financial Reporting</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were no changes in our internal control over financial reporting (as defined in Rules 13a-15(f) and 15d-15(f) under the Exchange Act) that occurred during our quarter ended March 31, 2026 that have materially affected, or are reasonably likely to materially affect, our internal control over financial reporting.</w:t>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Inherent Limitations on Effectiveness of Controls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effectiveness of any system of controls and procedures is subject to certain limitations, and, as a result, there can be no assurance that our controls and procedures will detect all errors or fraud. A control system, no matter how well conceived and operated, can provide only reasonable, not absolute, assurance that the objectives of the control system will be attained.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 xml:space="preserve">The information required with respect to this item can be found under “Contingent Liabilities - Legal Proceedings” in note 8 of the notes to the unaudited consolidated financial statements contained in this quarterly report and is incorporated by reference into this Item 1.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There have been no material changes in our risk factors in the quarter ended March 31, 2026 from those disclosed in our Annual Report on Form 10-K for the year ended December 31, 2025, except as follows:</w:t>
      </w:r>
    </w:p>
    <w:p>
      <w:pPr>
        <w:pStyle w:val="TextBody"/>
        <w:bidi w:val="0"/>
        <w:spacing w:lineRule="auto" w:line="288" w:before="0" w:after="120"/>
        <w:jc w:val="both"/>
        <w:rPr/>
      </w:pPr>
      <w:r>
        <w:rPr>
          <w:rFonts w:ascii="Times New Roman;serif" w:hAnsi="Times New Roman;serif"/>
          <w:b/>
          <w:i/>
          <w:color w:val="000000"/>
          <w:sz w:val="20"/>
        </w:rPr>
        <w:t>We may b</w:t>
      </w:r>
      <w:r>
        <w:rPr>
          <w:rFonts w:ascii="Times New Roman;serif" w:hAnsi="Times New Roman;serif"/>
          <w:b/>
          <w:color w:val="000000"/>
          <w:sz w:val="20"/>
        </w:rPr>
        <w:t>e</w:t>
      </w:r>
      <w:r>
        <w:rPr>
          <w:color w:val="000000"/>
        </w:rPr>
        <w:t xml:space="preserve"> </w:t>
      </w:r>
      <w:r>
        <w:rPr>
          <w:rFonts w:ascii="Times New Roman;serif" w:hAnsi="Times New Roman;serif"/>
          <w:b/>
          <w:i/>
          <w:color w:val="000000"/>
          <w:sz w:val="20"/>
        </w:rPr>
        <w:t>unable to obtain reinsurance coverage at reasonable prices or on terms that provide us adequate protection.</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We purchase reinsurance in many of our lines of business to help manage our exposure to insurance risks that we underwrite and to reduce volatility in our results.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availability and cost of reinsurance are subject to prevailing market conditions, both in terms of price and available capacity, each of which can affect our business volume and profitability. The availability of reasonably affordable reinsurance is a critical element of our business plan. One important way we utilize reinsurance is to reduce volatility in claims payments by limiting our exposure to losses from large risks. Another way we use reinsurance is to purchase substantial protection against concentrated losses when we enter new markets. In addition, the ability to obtain reinsurance is critical to our fee-based fronting business. As a result, our ability to manage volatility, mitigate significant losses, expand into new markets, grow by offering insurance to new kinds of enterprises, or grow our fronting business may be limited by the unavailability of reasonably priced reinsurance. We may not be able to obtain reinsurance on acceptable terms or from entities with satisfactory creditworthiness. In such event, if we are unwilling to accept the terms or credit risk of potential reinsurers, we would have to reduce the level of our underwriting commitments, which would reduce our revenues. Reinsurance capacity has become more restricted making reinsurance placements more challenging in recent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7"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288" w:before="0" w:after="0"/>
        <w:jc w:val="left"/>
        <w:rPr/>
      </w:pPr>
      <w:hyperlink w:anchor="i979e96abde144df8bdcdd49602e9d3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color w:val="000000"/>
        </w:rPr>
      </w:pPr>
      <w:r>
        <w:rPr>
          <w:color w:val="000000"/>
        </w:rPr>
        <w:t> </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Many reinsurance companies exclude certain coverages from, or alter terms in, the reinsurance contracts we enter into with them. Some exclusions relate to risks that we cannot in turn exclude from the policies we write due to business or regulatory constraints. In addition, reinsurers are imposing terms, such as lower per occurrence and aggregate limits, and more exclusions, limiting the protection provided under the reinsurance contract. For example, some of our reinsurance treaties are subject to loss ratio caps or aggregate limits. While ceded losses to our reinsurance treaties were within these loss ratio caps and aggregate limits, where applicable, as of March 31, 2026, less than $500,000 of limit remains available with respect to a reinsurer in one of our 2021 excess casualty reinsurance treaties. If ceded losses were to exceed the loss ratio cap or aggregate limit that applies to a reinsurer’s participation on a given reinsurance contract, the Company would not have reinsurance coverage from that reinsurer's share of losses in excess of such loss ratio cap or aggregate limit, which could have a material adverse effect on our business, liquidity and results of operations. As a result, we, like other direct insurance companies, write insurance policies which to some extent do not have the benefit of reinsurance protection. These gaps in reinsurance protection expose us to greater risk and greater potential losses. For example, certain reinsurers have excluded coverage for terrorist acts or priced such coverage at unreasonably high rates. Many direct insurers, including us, have written policies without terrorist act exclusions and in many cases we cannot exclude terrorist acts because of regulatory constraints. We may, therefore, be exposed to potential losses as a result of terrorist acts. See also “Item 1. Business — Purchase of Reinsurance” in our Annual Report on Form 10-K for the year ended December 31, 2025 filed with the SEC on March 3, 2026.</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In addition to the traditional prospective reinsurance described above, we have purchased retroactive reinsurance in the form of loss portfolio transfers and adverse development covers on certain books of our business. This retroactive reinsurance may prove to be inadequate to cover the adverse loss development on the subject business. In particular, the ES Top Up ADC purchased in 2024 has a $75.0 million limit, $7.5 million of which remains available as of March 31,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both"/>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8"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288" w:before="0" w:after="0"/>
        <w:jc w:val="left"/>
        <w:rPr/>
      </w:pPr>
      <w:hyperlink w:anchor="i979e96abde144df8bdcdd49602e9d3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73"/>
        <w:gridCol w:w="241"/>
        <w:gridCol w:w="242"/>
        <w:gridCol w:w="2840"/>
        <w:gridCol w:w="2716"/>
        <w:gridCol w:w="3893"/>
      </w:tblGrid>
      <w:tr>
        <w:trPr/>
        <w:tc>
          <w:tcPr>
            <w:tcW w:w="27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840" w:type="dxa"/>
            <w:tcBorders/>
            <w:vAlign w:val="center"/>
          </w:tcPr>
          <w:p>
            <w:pPr>
              <w:pStyle w:val="TableContents"/>
              <w:bidi w:val="0"/>
              <w:spacing w:before="0" w:after="283"/>
              <w:jc w:val="left"/>
              <w:rPr>
                <w:sz w:val="4"/>
                <w:szCs w:val="4"/>
              </w:rPr>
            </w:pPr>
            <w:r>
              <w:rPr>
                <w:sz w:val="4"/>
                <w:szCs w:val="4"/>
              </w:rPr>
            </w:r>
          </w:p>
        </w:tc>
        <w:tc>
          <w:tcPr>
            <w:tcW w:w="2716" w:type="dxa"/>
            <w:tcBorders/>
            <w:vAlign w:val="center"/>
          </w:tcPr>
          <w:p>
            <w:pPr>
              <w:pStyle w:val="TableContents"/>
              <w:bidi w:val="0"/>
              <w:spacing w:before="0" w:after="283"/>
              <w:jc w:val="left"/>
              <w:rPr>
                <w:sz w:val="4"/>
                <w:szCs w:val="4"/>
              </w:rPr>
            </w:pPr>
            <w:r>
              <w:rPr>
                <w:sz w:val="4"/>
                <w:szCs w:val="4"/>
              </w:rPr>
            </w:r>
          </w:p>
        </w:tc>
        <w:tc>
          <w:tcPr>
            <w:tcW w:w="3893" w:type="dxa"/>
            <w:tcBorders/>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16"/>
              </w:rPr>
            </w:pPr>
            <w:r>
              <w:rPr>
                <w:rFonts w:ascii="Times New Roman;serif" w:hAnsi="Times New Roman;serif"/>
                <w:b/>
                <w:color w:val="000000"/>
                <w:sz w:val="16"/>
              </w:rPr>
              <w:t>Exhibit</w:t>
              <w:br/>
              <w:t>Number</w:t>
            </w:r>
          </w:p>
        </w:tc>
        <w:tc>
          <w:tcPr>
            <w:tcW w:w="944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w:t>
            </w:r>
          </w:p>
        </w:tc>
        <w:tc>
          <w:tcPr>
            <w:tcW w:w="944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2">
              <w:r>
                <w:rPr>
                  <w:rStyle w:val="InternetLink"/>
                  <w:rFonts w:ascii="Times New Roman;serif" w:hAnsi="Times New Roman;serif"/>
                  <w:b w:val="false"/>
                  <w:color w:val="0000FF"/>
                  <w:sz w:val="20"/>
                  <w:u w:val="single"/>
                </w:rPr>
                <w:t>First Amendment to the Employment Agreement, dated as of July 30, 2024, by and between Frank D’Orazio, James River Group Holdings, Inc. and James River Group, Inc. (incorporated by reference to Exhibit 10.20 to Amendment No. 1 to the Annual Report on Form 10-K filed on April 30, 2026; Commission File No. 001-36777)</w:t>
              </w:r>
            </w:hyperlink>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10.2*</w:t>
            </w:r>
          </w:p>
        </w:tc>
        <w:tc>
          <w:tcPr>
            <w:tcW w:w="944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r:id="rId3">
              <w:r>
                <w:rPr>
                  <w:rStyle w:val="InternetLink"/>
                  <w:rFonts w:ascii="Times New Roman;serif" w:hAnsi="Times New Roman;serif"/>
                  <w:b w:val="false"/>
                  <w:color w:val="0000FF"/>
                  <w:sz w:val="20"/>
                  <w:u w:val="single"/>
                </w:rPr>
                <w:t>First Amendment to the Employment Agreement, dated as of December 4, 2023, by and between Jeanette Miller, James River Group Holdings, Inc. and James River Group, Inc. (incorporated by reference to Exhibit 10.39 to Amendment No. 1 to the Annual Report on Form 10-K filed on April 30, 2026; Commission File No. 001-36777)</w:t>
              </w:r>
            </w:hyperlink>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31.1</w:t>
            </w:r>
          </w:p>
        </w:tc>
        <w:tc>
          <w:tcPr>
            <w:tcW w:w="94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q26jrvrex311.htm">
              <w:r>
                <w:rPr>
                  <w:rStyle w:val="InternetLink"/>
                  <w:rFonts w:ascii="Times New Roman;serif" w:hAnsi="Times New Roman;serif"/>
                  <w:b w:val="false"/>
                  <w:color w:val="0000FF"/>
                  <w:sz w:val="20"/>
                  <w:u w:val="single"/>
                </w:rPr>
                <w:t>Chief Executive Officer Certification pursuant to Rule 13a-14(a)/15d-14(a)</w:t>
              </w:r>
            </w:hyperlink>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31.2</w:t>
            </w:r>
          </w:p>
        </w:tc>
        <w:tc>
          <w:tcPr>
            <w:tcW w:w="944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q26jrvrex312.htm">
              <w:r>
                <w:rPr>
                  <w:rStyle w:val="InternetLink"/>
                  <w:rFonts w:ascii="Times New Roman;serif" w:hAnsi="Times New Roman;serif"/>
                  <w:b w:val="false"/>
                  <w:color w:val="0000FF"/>
                  <w:sz w:val="20"/>
                  <w:u w:val="single"/>
                </w:rPr>
                <w:t>Chief Financial Officer Certification pursuant to Rule 13a-14(a)/15d-14(a)</w:t>
              </w:r>
            </w:hyperlink>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32.1</w:t>
            </w:r>
          </w:p>
        </w:tc>
        <w:tc>
          <w:tcPr>
            <w:tcW w:w="9449"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a1q26jrvrex32.htm">
              <w:r>
                <w:rPr>
                  <w:rStyle w:val="InternetLink"/>
                  <w:rFonts w:ascii="Times New Roman;serif" w:hAnsi="Times New Roman;serif"/>
                  <w:b w:val="false"/>
                  <w:color w:val="0000FF"/>
                  <w:sz w:val="20"/>
                  <w:u w:val="single"/>
                </w:rPr>
                <w:t>Chief Executive Officer and Chief Financial Officer Certification pursuant to 18 U.S.C. Section 1350, as adopted pursuant to Section 906 of the Sarbanes-Oxley Act of 2002</w:t>
              </w:r>
            </w:hyperlink>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101.INS</w:t>
            </w:r>
          </w:p>
        </w:tc>
        <w:tc>
          <w:tcPr>
            <w:tcW w:w="94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Instance Document</w:t>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101.SCH</w:t>
            </w:r>
          </w:p>
        </w:tc>
        <w:tc>
          <w:tcPr>
            <w:tcW w:w="94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101.CAL</w:t>
            </w:r>
          </w:p>
        </w:tc>
        <w:tc>
          <w:tcPr>
            <w:tcW w:w="94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101.DEF</w:t>
            </w:r>
          </w:p>
        </w:tc>
        <w:tc>
          <w:tcPr>
            <w:tcW w:w="94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101.LAB</w:t>
            </w:r>
          </w:p>
        </w:tc>
        <w:tc>
          <w:tcPr>
            <w:tcW w:w="94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101.PRE</w:t>
            </w:r>
          </w:p>
        </w:tc>
        <w:tc>
          <w:tcPr>
            <w:tcW w:w="94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6"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104</w:t>
            </w:r>
          </w:p>
        </w:tc>
        <w:tc>
          <w:tcPr>
            <w:tcW w:w="944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Cover Page Interactive Data File - the cover page XBRL tags are embedded within the Inline XBRL document in Exhibit 101.</w:t>
            </w:r>
          </w:p>
        </w:tc>
      </w:tr>
      <w:tr>
        <w:trPr/>
        <w:tc>
          <w:tcPr>
            <w:tcW w:w="7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 Denotes a management contract or compensatory plan or arrangement.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9"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288" w:before="0" w:after="0"/>
        <w:jc w:val="left"/>
        <w:rPr/>
      </w:pPr>
      <w:hyperlink w:anchor="i979e96abde144df8bdcdd49602e9d33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24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149"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445"/>
        <w:gridCol w:w="445"/>
        <w:gridCol w:w="445"/>
        <w:gridCol w:w="908"/>
        <w:gridCol w:w="908"/>
        <w:gridCol w:w="130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445"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4455" w:type="dxa"/>
            <w:gridSpan w:val="6"/>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James River Group Holdings, Inc.</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May 5, 2026</w:t>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/s/ Frank N. D’Orazio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Frank N. D’Orazio</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Chief Executive Officer and Director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May 5, 2026</w:t>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By:</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 Sarah C. Doran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1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Sarah C. Doran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1335"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 </w:t>
            </w:r>
          </w:p>
        </w:tc>
        <w:tc>
          <w:tcPr>
            <w:tcW w:w="312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60"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left"/>
        <w:rPr>
          <w:color w:val="000000"/>
        </w:rPr>
      </w:pPr>
      <w:r>
        <w:rPr>
          <w:color w:val="000000"/>
        </w:rPr>
        <w:t>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 Frank N. D’Orazio, certify that:</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James River Group Holdings, Inc.;</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May 5, 2026 </w:t>
      </w:r>
    </w:p>
    <w:p>
      <w:pPr>
        <w:pStyle w:val="TextBody"/>
        <w:bidi w:val="0"/>
        <w:spacing w:lineRule="auto" w:line="288" w:before="0" w:after="0"/>
        <w:jc w:val="left"/>
        <w:rPr>
          <w:color w:val="000000"/>
        </w:rPr>
      </w:pPr>
      <w:r>
        <w:rPr>
          <w:color w:val="000000"/>
        </w:rPr>
        <w:t> </w:t>
      </w:r>
    </w:p>
    <w:tbl>
      <w:tblPr>
        <w:tblW w:w="2816" w:type="dxa"/>
        <w:jc w:val="center"/>
        <w:tblInd w:w="0" w:type="dxa"/>
        <w:tblLayout w:type="fixed"/>
        <w:tblCellMar>
          <w:top w:w="28" w:type="dxa"/>
          <w:left w:w="28" w:type="dxa"/>
          <w:bottom w:w="28" w:type="dxa"/>
          <w:right w:w="28" w:type="dxa"/>
        </w:tblCellMar>
      </w:tblPr>
      <w:tblGrid>
        <w:gridCol w:w="886"/>
        <w:gridCol w:w="776"/>
        <w:gridCol w:w="782"/>
        <w:gridCol w:w="109"/>
        <w:gridCol w:w="109"/>
        <w:gridCol w:w="154"/>
      </w:tblGrid>
      <w:tr>
        <w:trPr/>
        <w:tc>
          <w:tcPr>
            <w:tcW w:w="886"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Frank N. D’Orazio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Frank N. D’Orazio</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Chief Executive Officer </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0" w:after="0"/>
        <w:jc w:val="left"/>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75260"/>
                <wp:effectExtent l="0" t="0" r="0" b="0"/>
                <wp:wrapNone/>
                <wp:docPr id="61" name="Frame6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0" w:after="0"/>
        <w:jc w:val="left"/>
        <w:rPr>
          <w:color w:val="000000"/>
        </w:rPr>
      </w:pPr>
      <w:r>
        <w:rPr>
          <w:color w:val="000000"/>
        </w:rPr>
        <w:t> </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I, Sarah C. Doran, certify that:</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James River Group Holdings, Inc.;</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Date: May 5, 2026 </w:t>
      </w:r>
    </w:p>
    <w:p>
      <w:pPr>
        <w:pStyle w:val="TextBody"/>
        <w:bidi w:val="0"/>
        <w:spacing w:before="100" w:after="283"/>
        <w:jc w:val="left"/>
        <w:rPr/>
      </w:pPr>
      <w:r>
        <w:rPr/>
      </w:r>
    </w:p>
    <w:tbl>
      <w:tblPr>
        <w:tblW w:w="2757" w:type="dxa"/>
        <w:jc w:val="center"/>
        <w:tblInd w:w="0" w:type="dxa"/>
        <w:tblLayout w:type="fixed"/>
        <w:tblCellMar>
          <w:top w:w="28" w:type="dxa"/>
          <w:left w:w="28" w:type="dxa"/>
          <w:bottom w:w="28" w:type="dxa"/>
          <w:right w:w="28" w:type="dxa"/>
        </w:tblCellMar>
      </w:tblPr>
      <w:tblGrid>
        <w:gridCol w:w="863"/>
        <w:gridCol w:w="759"/>
        <w:gridCol w:w="763"/>
        <w:gridCol w:w="109"/>
        <w:gridCol w:w="109"/>
        <w:gridCol w:w="154"/>
      </w:tblGrid>
      <w:tr>
        <w:trPr/>
        <w:tc>
          <w:tcPr>
            <w:tcW w:w="86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7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Sarah C. Doran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3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Sarah C. Doran</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38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lineRule="auto" w:line="288" w:before="0" w:after="0"/>
        <w:jc w:val="left"/>
        <w:rPr>
          <w:color w:val="000000"/>
        </w:rPr>
      </w:pPr>
      <w:r>
        <w:rPr>
          <w:color w:val="000000"/>
        </w:rPr>
        <w:t> </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75260"/>
                <wp:effectExtent l="0" t="0" r="0" b="0"/>
                <wp:wrapNone/>
                <wp:docPr id="62" name="Frame6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18 U.S.C. SECTION 1350,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AS ADOPTED PURSUANT TO</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lineRule="auto" w:line="288" w:before="0" w:after="0"/>
        <w:jc w:val="left"/>
        <w:rPr>
          <w:color w:val="000000"/>
        </w:rPr>
      </w:pPr>
      <w:r>
        <w:rPr>
          <w:color w:val="000000"/>
        </w:rPr>
        <w:t> </w:t>
      </w:r>
    </w:p>
    <w:p>
      <w:pPr>
        <w:pStyle w:val="TextBody"/>
        <w:bidi w:val="0"/>
        <w:spacing w:lineRule="auto" w:line="288" w:before="120" w:after="120"/>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In connection with the quarterly report of James River Group Holdings, Inc. (the “Company”) on Form 10-Q for the period ended March 31, 2026 as filed with the Securities and Exchange Commission on the date hereof  (the “Report”), we, Frank N. D’Orazio, Chief Executive Officer of the Company, and Sarah C. Doran, Chief Financial Officer of the Company, certify, to the best of our knowledge, pursuant to 18 U.S.C. §1350, as adopted pursuant to §906 of the Sarbanes-Oxley Act of 2002, that:</w:t>
      </w:r>
    </w:p>
    <w:p>
      <w:pPr>
        <w:pStyle w:val="TextBody"/>
        <w:bidi w:val="0"/>
        <w:spacing w:lineRule="auto" w:line="288" w:before="120" w:after="120"/>
        <w:jc w:val="left"/>
        <w:rPr/>
      </w:pPr>
      <w:r>
        <w:rPr>
          <w:rFonts w:ascii="Times New Roman;serif" w:hAnsi="Times New Roman;serif"/>
          <w:b w:val="false"/>
          <w:color w:val="000000"/>
          <w:sz w:val="20"/>
        </w:rPr>
        <w:t>(1)</w:t>
      </w:r>
      <w:r>
        <w:rPr>
          <w:rFonts w:ascii="Times New Roman;serif" w:hAnsi="Times New Roman;serif"/>
          <w:b w:val="false"/>
          <w:color w:val="000000"/>
          <w:sz w:val="20"/>
        </w:rPr>
        <w:t>The Report fully complies with the requirements of Section 13(a) or 15(d) of the Securities Exchange Act of 1934, and</w:t>
      </w:r>
    </w:p>
    <w:p>
      <w:pPr>
        <w:pStyle w:val="TextBody"/>
        <w:bidi w:val="0"/>
        <w:spacing w:lineRule="auto" w:line="288" w:before="120" w:after="12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lineRule="auto" w:line="288" w:before="0" w:after="0"/>
        <w:jc w:val="left"/>
        <w:rPr>
          <w:color w:val="000000"/>
        </w:rPr>
      </w:pPr>
      <w:r>
        <w:rPr>
          <w:color w:val="000000"/>
        </w:rPr>
        <w:t> </w:t>
      </w:r>
    </w:p>
    <w:tbl>
      <w:tblPr>
        <w:tblW w:w="2817" w:type="dxa"/>
        <w:jc w:val="center"/>
        <w:tblInd w:w="0" w:type="dxa"/>
        <w:tblLayout w:type="fixed"/>
        <w:tblCellMar>
          <w:top w:w="28" w:type="dxa"/>
          <w:left w:w="28" w:type="dxa"/>
          <w:bottom w:w="28" w:type="dxa"/>
          <w:right w:w="28" w:type="dxa"/>
        </w:tblCellMar>
      </w:tblPr>
      <w:tblGrid>
        <w:gridCol w:w="124"/>
        <w:gridCol w:w="109"/>
        <w:gridCol w:w="109"/>
        <w:gridCol w:w="724"/>
        <w:gridCol w:w="724"/>
        <w:gridCol w:w="102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2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Frank N. D’Orazio</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Frank N. D’Orazio</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5, 2026</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Sarah C. Doran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Sarah C. Doran</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5, 2026</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75260"/>
                <wp:effectExtent l="0" t="0" r="0" b="0"/>
                <wp:wrapNone/>
                <wp:docPr id="63" name="Frame6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620459/000162045926000022/jrvrex1020.htm" TargetMode="External"/><Relationship Id="rId3" Type="http://schemas.openxmlformats.org/officeDocument/2006/relationships/hyperlink" Target="https://www.sec.gov/Archives/edgar/data/1620459/000162045926000022/jrvrex1039.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30831</Words>
  <Characters>172433</Characters>
  <CharactersWithSpaces>201563</CharactersWithSpaces>
  <Paragraphs>3991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