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-224155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81915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195580</wp:posOffset>
            </wp:positionV>
            <wp:extent cx="269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49"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ended June 30, 2018</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4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from _______ to _______</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001-36777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JAMES RIVER GROUP HOLDINGS, LTD.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40" w:type="dxa"/>
            <w:vAlign w:val="bottom"/>
          </w:tcPr>
          <w:p>
            <w:pPr>
              <w:ind w:left="540"/>
              <w:spacing w:after="0"/>
              <w:rPr>
                <w:sz w:val="20"/>
                <w:szCs w:val="20"/>
                <w:color w:val="auto"/>
              </w:rPr>
            </w:pPr>
            <w:r>
              <w:rPr>
                <w:rFonts w:ascii="Arial" w:cs="Arial" w:eastAsia="Arial" w:hAnsi="Arial"/>
                <w:sz w:val="18"/>
                <w:szCs w:val="18"/>
                <w:b w:val="1"/>
                <w:bCs w:val="1"/>
                <w:color w:val="auto"/>
              </w:rPr>
              <w:t>Bermuda</w:t>
            </w:r>
          </w:p>
        </w:tc>
        <w:tc>
          <w:tcPr>
            <w:tcW w:w="3380" w:type="dxa"/>
            <w:vAlign w:val="bottom"/>
          </w:tcPr>
          <w:p>
            <w:pPr>
              <w:jc w:val="right"/>
              <w:ind w:right="62"/>
              <w:spacing w:after="0"/>
              <w:rPr>
                <w:sz w:val="20"/>
                <w:szCs w:val="20"/>
                <w:color w:val="auto"/>
              </w:rPr>
            </w:pPr>
            <w:r>
              <w:rPr>
                <w:rFonts w:ascii="Arial" w:cs="Arial" w:eastAsia="Arial" w:hAnsi="Arial"/>
                <w:sz w:val="18"/>
                <w:szCs w:val="18"/>
                <w:b w:val="1"/>
                <w:bCs w:val="1"/>
                <w:color w:val="auto"/>
              </w:rPr>
              <w:t>98-0585280</w:t>
            </w:r>
          </w:p>
        </w:tc>
      </w:tr>
      <w:tr>
        <w:trPr>
          <w:trHeight w:val="180"/>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left="420" w:right="274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390"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40"/>
        <w:spacing w:after="0"/>
        <w:tabs>
          <w:tab w:leader="none" w:pos="2640" w:val="left"/>
          <w:tab w:leader="none" w:pos="4400" w:val="left"/>
          <w:tab w:leader="none" w:pos="6200" w:val="left"/>
          <w:tab w:leader="none" w:pos="940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5"/>
          <w:szCs w:val="15"/>
          <w:color w:val="auto"/>
        </w:rPr>
        <w:t>Emerging Growth Company o</w:t>
      </w:r>
    </w:p>
    <w:p>
      <w:pPr>
        <w:spacing w:after="0" w:line="257"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August 1, 2018: 29,928,137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56"/>
        </w:trPr>
        <w:tc>
          <w:tcPr>
            <w:tcW w:w="10580" w:type="dxa"/>
            <w:vAlign w:val="bottom"/>
            <w:gridSpan w:val="26"/>
            <w:shd w:val="clear" w:color="auto" w:fill="CCEEFF"/>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Sheets—June 30, 2018 and December 31, 2017</w:t>
              </w:r>
            </w:hyperlink>
          </w:p>
        </w:tc>
        <w:tc>
          <w:tcPr>
            <w:tcW w:w="540" w:type="dxa"/>
            <w:vAlign w:val="bottom"/>
            <w:gridSpan w:val="4"/>
            <w:shd w:val="clear" w:color="auto" w:fill="CCEEFF"/>
          </w:tcPr>
          <w:p>
            <w:pPr>
              <w:jc w:val="center"/>
              <w:ind w:left="252"/>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32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Income and Comprehensive (Loss) Income—Three and Six Months Ended June 30, 2018</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00" w:type="dxa"/>
            <w:vAlign w:val="bottom"/>
            <w:gridSpan w:val="21"/>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2017</w:t>
              </w:r>
            </w:hyperlink>
          </w:p>
        </w:tc>
        <w:tc>
          <w:tcPr>
            <w:tcW w:w="540" w:type="dxa"/>
            <w:vAlign w:val="bottom"/>
            <w:gridSpan w:val="4"/>
            <w:shd w:val="clear" w:color="auto" w:fill="CCEEFF"/>
          </w:tcPr>
          <w:p>
            <w:pPr>
              <w:jc w:val="center"/>
              <w:ind w:left="252"/>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00" w:type="dxa"/>
            <w:vAlign w:val="bottom"/>
            <w:gridSpan w:val="21"/>
            <w:shd w:val="clear" w:color="auto" w:fill="CCEEFF"/>
          </w:tcPr>
          <w:p>
            <w:pPr>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Changes in Shareholders’ Equity—Six Months Ended June 30, 2018 and 2017</w:t>
              </w:r>
            </w:hyperlink>
          </w:p>
        </w:tc>
        <w:tc>
          <w:tcPr>
            <w:tcW w:w="540" w:type="dxa"/>
            <w:vAlign w:val="bottom"/>
            <w:gridSpan w:val="4"/>
            <w:shd w:val="clear" w:color="auto" w:fill="CCEEFF"/>
          </w:tcPr>
          <w:p>
            <w:pPr>
              <w:jc w:val="center"/>
              <w:ind w:left="252"/>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540" w:type="dxa"/>
            <w:vAlign w:val="bottom"/>
            <w:tcBorders>
              <w:top w:val="single" w:sz="8" w:color="0000EE"/>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Flows—Six Months Ended June 30, 2018 and 2017</w:t>
              </w:r>
            </w:hyperlink>
          </w:p>
        </w:tc>
        <w:tc>
          <w:tcPr>
            <w:tcW w:w="540" w:type="dxa"/>
            <w:vAlign w:val="bottom"/>
            <w:gridSpan w:val="4"/>
            <w:shd w:val="clear" w:color="auto" w:fill="CCEEFF"/>
          </w:tcPr>
          <w:p>
            <w:pPr>
              <w:jc w:val="center"/>
              <w:ind w:left="252"/>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Critical Accounting Policies and Estimates</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580" w:type="dxa"/>
            <w:vAlign w:val="bottom"/>
            <w:gridSpan w:val="26"/>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PART II. OTHER INFORMATION</w:t>
              </w:r>
            </w:hyperlink>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950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540" w:type="dxa"/>
            <w:vAlign w:val="bottom"/>
            <w:gridSpan w:val="4"/>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50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540" w:type="dxa"/>
            <w:vAlign w:val="bottom"/>
            <w:gridSpan w:val="4"/>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5.</w:t>
              </w:r>
            </w:hyperlink>
          </w:p>
        </w:tc>
        <w:tc>
          <w:tcPr>
            <w:tcW w:w="950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540" w:type="dxa"/>
            <w:vAlign w:val="bottom"/>
            <w:gridSpan w:val="4"/>
          </w:tcPr>
          <w:p>
            <w:pPr>
              <w:jc w:val="center"/>
              <w:ind w:left="27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500" w:type="dxa"/>
            <w:vAlign w:val="bottom"/>
            <w:gridSpan w:val="2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center"/>
              <w:ind w:left="272"/>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shd w:val="clear" w:color="auto" w:fill="CCEEFF"/>
          </w:tcPr>
          <w:p>
            <w:pPr>
              <w:spacing w:after="0"/>
              <w:rPr>
                <w:sz w:val="21"/>
                <w:szCs w:val="21"/>
                <w:color w:val="auto"/>
              </w:rPr>
            </w:pPr>
          </w:p>
        </w:tc>
      </w:tr>
      <w:tr>
        <w:trPr>
          <w:trHeight w:val="675"/>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880" w:type="dxa"/>
            <w:vAlign w:val="bottom"/>
            <w:tcBorders>
              <w:top w:val="single" w:sz="8" w:color="CCEEFF"/>
            </w:tcBorders>
            <w:gridSpan w:val="16"/>
          </w:tcPr>
          <w:p>
            <w:pPr>
              <w:ind w:left="4580"/>
              <w:spacing w:after="0"/>
              <w:rPr>
                <w:sz w:val="20"/>
                <w:szCs w:val="20"/>
                <w:color w:val="auto"/>
              </w:rPr>
            </w:pPr>
            <w:r>
              <w:rPr>
                <w:rFonts w:ascii="Arial" w:cs="Arial" w:eastAsia="Arial" w:hAnsi="Arial"/>
                <w:sz w:val="18"/>
                <w:szCs w:val="18"/>
                <w:color w:val="auto"/>
              </w:rPr>
              <w:t>2</w:t>
            </w:r>
          </w:p>
        </w:tc>
        <w:tc>
          <w:tcPr>
            <w:tcW w:w="5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8" w:lineRule="exact"/>
        <w:rPr>
          <w:rFonts w:ascii="Arial" w:cs="Arial" w:eastAsia="Arial" w:hAnsi="Arial"/>
          <w:sz w:val="17"/>
          <w:szCs w:val="17"/>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820" w:right="28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90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3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recently enacted Public Law No. 115-97, informally titled the Tax Cuts and Jobs Act, may have a significant effect on us including, among other things, by potentially increasing our tax rate, as well as on our shareholders;</w:t>
      </w:r>
    </w:p>
    <w:p>
      <w:pPr>
        <w:spacing w:after="0" w:line="62" w:lineRule="exact"/>
        <w:rPr>
          <w:rFonts w:ascii="Arial" w:cs="Arial" w:eastAsia="Arial" w:hAnsi="Arial"/>
          <w:sz w:val="18"/>
          <w:szCs w:val="18"/>
          <w:color w:val="auto"/>
        </w:rPr>
      </w:pPr>
    </w:p>
    <w:p>
      <w:pPr>
        <w:ind w:left="820" w:right="260" w:hanging="488"/>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820" w:right="7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89" w:lineRule="exact"/>
        <w:rPr>
          <w:rFonts w:ascii="Arial" w:cs="Arial" w:eastAsia="Arial" w:hAnsi="Arial"/>
          <w:sz w:val="18"/>
          <w:szCs w:val="18"/>
          <w:color w:val="auto"/>
        </w:rPr>
      </w:pPr>
    </w:p>
    <w:p>
      <w:pPr>
        <w:ind w:left="820" w:right="40" w:hanging="488"/>
        <w:spacing w:after="0" w:line="34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which substantially exceed our expectations and/or exceed the amount of reinsurance we have purchased to protect us from such events;</w:t>
      </w:r>
    </w:p>
    <w:p>
      <w:pPr>
        <w:spacing w:after="0" w:line="21"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right="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62" w:lineRule="exact"/>
        <w:rPr>
          <w:rFonts w:ascii="Arial" w:cs="Arial" w:eastAsia="Arial" w:hAnsi="Arial"/>
          <w:sz w:val="18"/>
          <w:szCs w:val="18"/>
          <w:color w:val="auto"/>
        </w:rPr>
      </w:pPr>
    </w:p>
    <w:p>
      <w:pPr>
        <w:ind w:left="820" w:right="3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or insurance companies with whom we have a fronting arrangement failing to pay us for claims;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30"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filed with the SEC on March 1, 2018.</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0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89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Invested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Available-for-sale, at fair value (amortized cost: 2018 – $1,039,778; 2017 – $1,008,662)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1,021,387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Trading, at fair value (amortized cost: 2018 – $0; 2017 – $3,801)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securities available-for-sale, at fair value (cost: 2018 – $77,995; 2017 – $75,318)</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84,009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 at amortized cost,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238,214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70,208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invested assets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1,461,038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1,447,654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267,367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Premiums receivable and agents’ balances, net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341,391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352,436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on unpaid losses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302,524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recoverable on paid losses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65,462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72,365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82,667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2,937,376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2,756,695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212"/>
              <w:spacing w:after="0"/>
              <w:rPr>
                <w:sz w:val="20"/>
                <w:szCs w:val="20"/>
                <w:color w:val="auto"/>
              </w:rPr>
            </w:pPr>
            <w:r>
              <w:rPr>
                <w:rFonts w:ascii="Arial" w:cs="Arial" w:eastAsia="Arial" w:hAnsi="Arial"/>
                <w:sz w:val="14"/>
                <w:szCs w:val="14"/>
                <w:b w:val="1"/>
                <w:bCs w:val="1"/>
                <w:i w:val="1"/>
                <w:iCs w:val="1"/>
                <w:color w:val="auto"/>
                <w:w w:val="92"/>
              </w:rPr>
              <w:t>(in thousands, except share amounts)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1,468,353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1,292,349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417,771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418,114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reinsurers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56,268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Senior debt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98,300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40,342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2,248,133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2,061,996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Shares – 2018 and 2017: $0.0002 par value; 200,000,000 shares authorized; 29,917,821 and 29,696,682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6"/>
              </w:rPr>
              <w:t>Preferred Shares – 2018 and 2017: $0.00125 par value; 20,000,000 shares authorized; no shares issued and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636,149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66,677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48,198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689,243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2,937,376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2,756,695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Comprehensive (Loss) Income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4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293,378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281,475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591,494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505,654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(139,920)</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188,606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207,824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399,584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365,734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208,210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184,077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409,152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338,764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30,447</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228,041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202,394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446,385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378,796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154,595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131,084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298,367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236,453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101,929</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209,534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410,764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343,259</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35,621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35,537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32,617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32,991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w w:val="92"/>
              </w:rPr>
              <w:t>Net unrealized (losses) gains, net of taxes of $(183) and $(727) in 2018 and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$1,157 and $2,671 in 2017</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43,733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Per share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 declared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29,882,988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29,406,877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29,823,982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29,348,557</w:t>
            </w: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30,293,933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30,307,099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30,243,946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30,317,585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7"/>
          </w:tcPr>
          <w:p>
            <w:pPr>
              <w:ind w:left="20"/>
              <w:spacing w:after="0"/>
              <w:rPr>
                <w:sz w:val="20"/>
                <w:szCs w:val="20"/>
                <w:color w:val="auto"/>
              </w:rPr>
            </w:pPr>
            <w:r>
              <w:rPr>
                <w:rFonts w:ascii="Arial" w:cs="Arial" w:eastAsia="Arial" w:hAnsi="Arial"/>
                <w:sz w:val="14"/>
                <w:szCs w:val="14"/>
                <w:b w:val="1"/>
                <w:bCs w:val="1"/>
                <w:i w:val="1"/>
                <w:iCs w:val="1"/>
                <w:color w:val="auto"/>
                <w:w w:val="89"/>
              </w:rPr>
              <w:t>(in thousands, except share amounts)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2016</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29,257,566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636,856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693,221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32,991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 under share incentive 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Balances at June 30, 2017</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29,467,647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637,349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70,495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11,869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719,719</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29,696,682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43,304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 under share incentive 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4"/>
              </w:rPr>
              <w:t>Cumulative effect of adoption of ASU No. 2016-01, net of</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taxes</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of adoption of ASU No. 2018-02</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Balances at June 30, 2018</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29,917,821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641,290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66,677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689,243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164,086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65,326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available-for-sale: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 fixed maturity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(196,208)</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 – fixed maturity securities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65,275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33,723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 and calls – fixed maturity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128,640</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Purchases – equity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 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(144,172)</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77,933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79,959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28,638</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Return of capital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receivable or payable,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(66,058)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(17,729)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 under equity incentive plans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Common share repurchases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109,784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267,367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87,771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right="9600" w:firstLine="8"/>
        <w:spacing w:after="0" w:line="400" w:lineRule="auto"/>
        <w:tabs>
          <w:tab w:leader="none" w:pos="30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owns six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is authorized to write business in every state and the District of Columbia.</w:t>
      </w:r>
    </w:p>
    <w:p>
      <w:pPr>
        <w:spacing w:after="0" w:line="6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Falls Lake National Insurance Company (“Falls Lake National”) is an Ohio domiciled insurance company which wholly owns Stonewood Insurance Company (“Stonewood Insurance”), a North Carolina domiciled company, Falls Lake General Insurance Company, an Ohio domiciled company, and Falls Lake Fire and Casualty Company, a California domiciled company. Falls Lake National began writing specialty admitted fronting and program business in late 2013. Falls Lake Fire and Casualty began operations in 2016.</w:t>
      </w:r>
    </w:p>
    <w:p>
      <w:pPr>
        <w:spacing w:after="0" w:line="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provides reinsurance to the Company’s U.S.-based insurance subsidiaries. Carolina Re is a party to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2017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2017 was derived from the Company’s audited annual consolidated financial statements.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purpose, and the Company’s relative exposure to the related risks of the VIE on the date it becomes initially involved in the VIE. The Company reassesses its VIE determination with respect to an entity on an ongoing basis.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$32.2 million and $32.1 million as of June 30, 2018 and December 31, 2017, respectively, representing the Company’s maximum exposure to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effective tax rate fluctuates from period to period based on the relative mix of income reported by country and the respective tax rates imposed by each tax jurisdiction. For the three months ended June 30, 2018 and 2017, our U.S. federal income tax expense was 8.2% and 6.5% of income before taxes, respectively (8.4% and 7.2% for the six months ended June 30, 2018 and 2017, respectively). For U.S.-sourced income, the Company’s U.S. federal income tax expense differs from the amounts computed by applying the federal statutory income tax rate (21% in 2018 and 35% in 2017) to income before taxes due primarily to interest income on tax-advantaged state and municipal securities (state and municipal securities represent 12.5% and 12.3% of our available-for-sale securities at June 30, 2018 and 2017, respectively), dividends received income, and excess tax benefits on share based compensation.</w:t>
      </w:r>
    </w:p>
    <w:p>
      <w:pPr>
        <w:spacing w:after="0" w:line="5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Financial results reflect provisional amounts related to the December 2017 enactment of the Tax Cuts and Jobs Act of 2017 (the </w:t>
      </w:r>
      <w:r>
        <w:rPr>
          <w:rFonts w:ascii="Arial" w:cs="Arial" w:eastAsia="Arial" w:hAnsi="Arial"/>
          <w:sz w:val="18"/>
          <w:szCs w:val="18"/>
          <w:color w:val="231F20"/>
        </w:rPr>
        <w:t>“</w:t>
      </w:r>
      <w:r>
        <w:rPr>
          <w:rFonts w:ascii="Arial" w:cs="Arial" w:eastAsia="Arial" w:hAnsi="Arial"/>
          <w:sz w:val="18"/>
          <w:szCs w:val="18"/>
          <w:color w:val="auto"/>
        </w:rPr>
        <w:t>Tax Act</w:t>
      </w:r>
      <w:r>
        <w:rPr>
          <w:rFonts w:ascii="Arial" w:cs="Arial" w:eastAsia="Arial" w:hAnsi="Arial"/>
          <w:sz w:val="18"/>
          <w:szCs w:val="18"/>
          <w:color w:val="231F20"/>
        </w:rPr>
        <w:t>”</w:t>
      </w:r>
      <w:r>
        <w:rPr>
          <w:rFonts w:ascii="Arial" w:cs="Arial" w:eastAsia="Arial" w:hAnsi="Arial"/>
          <w:sz w:val="18"/>
          <w:szCs w:val="18"/>
          <w:color w:val="auto"/>
        </w:rPr>
        <w:t>). These provisional estimates are based on the Company’s initial analysis and current interpretation of the legislation. Given the complexity of the legislation, anticipated guidance from the U.S. Treasury, and the potential for additional guidance from the SEC or the Financial Accounting Standards Board (</w:t>
      </w:r>
      <w:r>
        <w:rPr>
          <w:rFonts w:ascii="Arial" w:cs="Arial" w:eastAsia="Arial" w:hAnsi="Arial"/>
          <w:sz w:val="18"/>
          <w:szCs w:val="18"/>
          <w:color w:val="231F20"/>
        </w:rPr>
        <w:t>“FASB”)</w:t>
      </w:r>
      <w:r>
        <w:rPr>
          <w:rFonts w:ascii="Arial" w:cs="Arial" w:eastAsia="Arial" w:hAnsi="Arial"/>
          <w:sz w:val="18"/>
          <w:szCs w:val="18"/>
          <w:color w:val="auto"/>
        </w:rPr>
        <w:t>, these estimates may be adjusted during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 xml:space="preserve">Effective January 1, 2018, the Company adopted Accounting Standards Update (“ASU”) 2014-09, </w:t>
      </w:r>
      <w:r>
        <w:rPr>
          <w:rFonts w:ascii="Arial" w:cs="Arial" w:eastAsia="Arial" w:hAnsi="Arial"/>
          <w:sz w:val="16"/>
          <w:szCs w:val="16"/>
          <w:i w:val="1"/>
          <w:iCs w:val="1"/>
          <w:color w:val="231F20"/>
        </w:rPr>
        <w:t>Revenue from Contracts with Customers (Topic 606)</w:t>
      </w:r>
      <w:r>
        <w:rPr>
          <w:rFonts w:ascii="Arial" w:cs="Arial" w:eastAsia="Arial" w:hAnsi="Arial"/>
          <w:sz w:val="16"/>
          <w:szCs w:val="16"/>
          <w:color w:val="231F20"/>
        </w:rPr>
        <w:t xml:space="preserve">. </w:t>
      </w:r>
      <w:r>
        <w:rPr>
          <w:rFonts w:ascii="Arial" w:cs="Arial" w:eastAsia="Arial" w:hAnsi="Arial"/>
          <w:sz w:val="16"/>
          <w:szCs w:val="16"/>
          <w:color w:val="000000"/>
        </w:rPr>
        <w:t>The guidance applies to all companies that either enter into contracts with customers to transfer goods or services or enter into contracts for the transfer of nonfinancial assets, unless those contracts are within the scope of other standards, such as insurance contracts. Under this guidance, a company will recognize revenue when it transfers promised goods or services to customers in an amount that reflects the consideration to which the company expects to be entitled in exchange for those goods or services. Judgments required in adopting this update may include identifying performance obligations in the contract, estimating the amount of variable consideration to include in the transaction price and allocating the transaction price to each separate performance obligation. The adoption of ASU 2014-09 had no impact on reported fee income and there was no cumulative effect of initially applying the update.</w:t>
      </w:r>
    </w:p>
    <w:p>
      <w:pPr>
        <w:spacing w:after="0" w:line="5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 xml:space="preserve">Effective January 1, 2018, the Company adopted ASU 2016-01, </w:t>
      </w:r>
      <w:r>
        <w:rPr>
          <w:rFonts w:ascii="Arial" w:cs="Arial" w:eastAsia="Arial" w:hAnsi="Arial"/>
          <w:sz w:val="16"/>
          <w:szCs w:val="16"/>
          <w:i w:val="1"/>
          <w:iCs w:val="1"/>
          <w:color w:val="231F20"/>
        </w:rPr>
        <w:t>Financial Instruments - Overall (Subtopic 825-10): Recognition and Measurement of</w:t>
      </w:r>
      <w:r>
        <w:rPr>
          <w:rFonts w:ascii="Arial" w:cs="Arial" w:eastAsia="Arial" w:hAnsi="Arial"/>
          <w:sz w:val="16"/>
          <w:szCs w:val="16"/>
          <w:color w:val="231F20"/>
        </w:rPr>
        <w:t xml:space="preserve"> </w:t>
      </w:r>
      <w:r>
        <w:rPr>
          <w:rFonts w:ascii="Arial" w:cs="Arial" w:eastAsia="Arial" w:hAnsi="Arial"/>
          <w:sz w:val="16"/>
          <w:szCs w:val="16"/>
          <w:i w:val="1"/>
          <w:iCs w:val="1"/>
          <w:color w:val="231F20"/>
        </w:rPr>
        <w:t>Financial Assets and Financial Liabilities</w:t>
      </w:r>
      <w:r>
        <w:rPr>
          <w:rFonts w:ascii="Arial" w:cs="Arial" w:eastAsia="Arial" w:hAnsi="Arial"/>
          <w:sz w:val="16"/>
          <w:szCs w:val="16"/>
          <w:color w:val="231F20"/>
        </w:rPr>
        <w:t>. Among other things, this ASU requires equity investments (except those accounted for under the equity method of</w:t>
      </w:r>
      <w:r>
        <w:rPr>
          <w:rFonts w:ascii="Arial" w:cs="Arial" w:eastAsia="Arial" w:hAnsi="Arial"/>
          <w:sz w:val="16"/>
          <w:szCs w:val="16"/>
          <w:i w:val="1"/>
          <w:iCs w:val="1"/>
          <w:color w:val="231F20"/>
        </w:rPr>
        <w:t xml:space="preserve"> </w:t>
      </w:r>
      <w:r>
        <w:rPr>
          <w:rFonts w:ascii="Arial" w:cs="Arial" w:eastAsia="Arial" w:hAnsi="Arial"/>
          <w:sz w:val="16"/>
          <w:szCs w:val="16"/>
          <w:color w:val="231F20"/>
        </w:rPr>
        <w:t>accounting or those that result in consolidation of the investee) to be measured at fair value with changes in fair value recognized in net income. Upon adoption on January 1, 2018, the Company made a $4.7 million cumulative-effect adjustment to increase retained earnings and reduce accumulated other comprehensive income. The adoption of ASU 2016-01 did not materially impact the Company's financial position, cash flows, or total comprehensive income. The Company's results of operations were impacted as changes in fair value of equity instruments are now presented in net income rather than other comprehensive (loss) income. For the three and six months ended June 30, 2018, the respective impact on net income was an increase of $451,000 ($0.02 and $0.01 increase in basic and diluted earnings per share, respectively) and a reduction of $922,000 ($0.03 reduction in basic and diluted earnings per share).</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Effective January 1, 2018, the Company adopted ASU </w:t>
      </w:r>
      <w:r>
        <w:rPr>
          <w:rFonts w:ascii="Arial" w:cs="Arial" w:eastAsia="Arial" w:hAnsi="Arial"/>
          <w:sz w:val="17"/>
          <w:szCs w:val="17"/>
          <w:color w:val="000000"/>
        </w:rPr>
        <w:t>2018-02,</w:t>
      </w:r>
      <w:r>
        <w:rPr>
          <w:rFonts w:ascii="Arial" w:cs="Arial" w:eastAsia="Arial" w:hAnsi="Arial"/>
          <w:sz w:val="17"/>
          <w:szCs w:val="17"/>
          <w:color w:val="231F20"/>
        </w:rPr>
        <w:t xml:space="preserve"> </w:t>
      </w:r>
      <w:r>
        <w:rPr>
          <w:rFonts w:ascii="Arial" w:cs="Arial" w:eastAsia="Arial" w:hAnsi="Arial"/>
          <w:sz w:val="17"/>
          <w:szCs w:val="17"/>
          <w:i w:val="1"/>
          <w:iCs w:val="1"/>
          <w:color w:val="000000"/>
        </w:rPr>
        <w:t>Income Statement - Reporting Comprehensive Income (Topic 220): Reclassification of</w:t>
      </w:r>
      <w:r>
        <w:rPr>
          <w:rFonts w:ascii="Arial" w:cs="Arial" w:eastAsia="Arial" w:hAnsi="Arial"/>
          <w:sz w:val="17"/>
          <w:szCs w:val="17"/>
          <w:color w:val="231F20"/>
        </w:rPr>
        <w:t xml:space="preserve"> </w:t>
      </w:r>
      <w:r>
        <w:rPr>
          <w:rFonts w:ascii="Arial" w:cs="Arial" w:eastAsia="Arial" w:hAnsi="Arial"/>
          <w:sz w:val="17"/>
          <w:szCs w:val="17"/>
          <w:i w:val="1"/>
          <w:iCs w:val="1"/>
          <w:color w:val="000000"/>
        </w:rPr>
        <w:t xml:space="preserve">Certain Tax Effects from Accumulated Other Comprehensive Income. </w:t>
      </w:r>
      <w:r>
        <w:rPr>
          <w:rFonts w:ascii="Arial" w:cs="Arial" w:eastAsia="Arial" w:hAnsi="Arial"/>
          <w:sz w:val="17"/>
          <w:szCs w:val="17"/>
          <w:color w:val="000000"/>
        </w:rPr>
        <w:t>This update was issued as a result of the enactment of the Tax Act on December 22,</w:t>
      </w:r>
      <w:r>
        <w:rPr>
          <w:rFonts w:ascii="Arial" w:cs="Arial" w:eastAsia="Arial" w:hAnsi="Arial"/>
          <w:sz w:val="17"/>
          <w:szCs w:val="17"/>
          <w:i w:val="1"/>
          <w:iCs w:val="1"/>
          <w:color w:val="000000"/>
        </w:rPr>
        <w:t xml:space="preserve"> </w:t>
      </w:r>
      <w:r>
        <w:rPr>
          <w:rFonts w:ascii="Arial" w:cs="Arial" w:eastAsia="Arial" w:hAnsi="Arial"/>
          <w:sz w:val="17"/>
          <w:szCs w:val="17"/>
          <w:color w:val="000000"/>
        </w:rPr>
        <w:t>2017. The ASU allows for the option to reclassify the stranded tax effects resulting from the implementation of the Tax Act out of accumulated other comprehensive income and into retained earnings. As the adoption of ASU 2016-01 in 2018 resulted in the reclassification of the entire unrealized balance on equity securities from accumulated other comprehensive income into retained earnings, only the stranded tax effects on the unrealized balances of fixed income securities were impacted by the adoption of ASU 2018-02. The reclassification resulted in a $711,000 decrease to the Company's retained earnings with a corresponding increase to accumulated other comprehensive income in the first quarter of 2018.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Accounting Standards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Under current guidance for lessees, leases are only included on the balance sheet if certain criteria, classifying the agreement as a capital lease, are met. This update will require the recognition of a right-of-use asset and a corresponding lease liability, discounted to the present value, for all leases that extend beyond 12 months. This ASU is effective for annual and interim reporting periods beginning after December 15, 2018. Upon adoption, leases will be recognized and measured at the beginning of the earliest period presented using a modified retrospective approach. The Company is currently evaluating ASU 2016-02 to determine the potential impact that adopting this standard will have on its financial statements.</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 xml:space="preserve">In June 2016, the FASB issued ASU 2016-13, </w:t>
      </w:r>
      <w:r>
        <w:rPr>
          <w:rFonts w:ascii="Arial" w:cs="Arial" w:eastAsia="Arial" w:hAnsi="Arial"/>
          <w:sz w:val="17"/>
          <w:szCs w:val="17"/>
          <w:i w:val="1"/>
          <w:iCs w:val="1"/>
          <w:color w:val="231F20"/>
        </w:rPr>
        <w:t>Financial Instruments - Credit Losses (Topic 326): Measurement of Credit Losses on Financial</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Instruments. </w:t>
      </w:r>
      <w:r>
        <w:rPr>
          <w:rFonts w:ascii="Arial" w:cs="Arial" w:eastAsia="Arial" w:hAnsi="Arial"/>
          <w:sz w:val="17"/>
          <w:szCs w:val="17"/>
          <w:color w:val="231F20"/>
        </w:rPr>
        <w:t>Current GAAP delays the recognition of credit losses until it is probable a loss has been incurred. The update will require financial assets</w:t>
      </w:r>
      <w:r>
        <w:rPr>
          <w:rFonts w:ascii="Arial" w:cs="Arial" w:eastAsia="Arial" w:hAnsi="Arial"/>
          <w:sz w:val="17"/>
          <w:szCs w:val="17"/>
          <w:i w:val="1"/>
          <w:iCs w:val="1"/>
          <w:color w:val="231F20"/>
        </w:rPr>
        <w:t xml:space="preserve"> </w:t>
      </w:r>
      <w:r>
        <w:rPr>
          <w:rFonts w:ascii="Arial" w:cs="Arial" w:eastAsia="Arial" w:hAnsi="Arial"/>
          <w:sz w:val="17"/>
          <w:szCs w:val="17"/>
          <w:color w:val="231F20"/>
        </w:rPr>
        <w:t>measured at amortized cost, such as bank loan participations held for investment, to be presented at the net amount expected to be collected by means of an allowance for credit losses that runs through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Upon adoption, this ASU will be applied using the modified-retrospective approach, by which a cumulative-effect adjustment will be made to retained earnings as of the beginning of the first reporting period presented. The Company has not yet completed the analysis of how adopting this ASU will affect the Company’s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investments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138,373</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190,574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184,751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439,993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430,345</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177,286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174,442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 of U.S. government corporations and agencies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87,143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85,797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1,039,778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1,021,387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84,009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investments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1,117,773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12,476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1,105,396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144,366</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160,379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158,661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413,721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182,595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182,611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 of U.S. government corporations and agencies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35,847</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79,476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78,874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1,008,662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investments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1,083,980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1,098,620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June 30, 2018 are summarized, by contractual maturity,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40,895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40,760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317,761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312,999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193,545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187,368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117,692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119,077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190,574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184,751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177,286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174,442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1,039,778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1,021,387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72,649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91,518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76,384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167,902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112,250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132,638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Obligations of U.S. government corporations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agencies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630,682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184,174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814,856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investments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640,810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189,801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830,611</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(24,853)</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50,779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84,193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Obligations of U.S. government corporations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agencies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50,760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313,795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245,969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319,654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251,634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571,288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held securities of 219 issuers that were in an unrealized loss position at June 30, 2018 with a total fair value of $830.6 million and gross unrealized losses of $24.9 million. None of the fixed maturity securities with unrealized losses has ever missed, or been delinquent on, a scheduled principal or interest payment.</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2018, 100.0%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Management concluded that none of the fixed maturity securities with an unrealized loss at June 30, 2018 or December 31, 2017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A</w:t>
      </w:r>
      <w:r>
        <w:rPr>
          <w:rFonts w:ascii="Arial" w:cs="Arial" w:eastAsia="Arial" w:hAnsi="Arial"/>
          <w:sz w:val="17"/>
          <w:szCs w:val="17"/>
          <w:color w:val="000000"/>
        </w:rPr>
        <w:t>t</w:t>
      </w:r>
      <w:r>
        <w:rPr>
          <w:rFonts w:ascii="Arial" w:cs="Arial" w:eastAsia="Arial" w:hAnsi="Arial"/>
          <w:sz w:val="17"/>
          <w:szCs w:val="17"/>
          <w:color w:val="231F20"/>
        </w:rPr>
        <w:t xml:space="preserve"> December 31, 2017</w:t>
      </w:r>
      <w:r>
        <w:rPr>
          <w:rFonts w:ascii="Arial" w:cs="Arial" w:eastAsia="Arial" w:hAnsi="Arial"/>
          <w:sz w:val="17"/>
          <w:szCs w:val="17"/>
          <w:color w:val="000000"/>
        </w:rPr>
        <w:t xml:space="preserve">, management concluded that one equity security, based on the severity and duration of the impairment, had experienced an other-than-temporary impairment. Accordingly, the Company recorded an impairment loss of $1.5 million in 2017. Management concluded that none of the other equity securities with an unrealized loss at </w:t>
      </w:r>
      <w:r>
        <w:rPr>
          <w:rFonts w:ascii="Arial" w:cs="Arial" w:eastAsia="Arial" w:hAnsi="Arial"/>
          <w:sz w:val="17"/>
          <w:szCs w:val="17"/>
          <w:color w:val="231F20"/>
        </w:rPr>
        <w:t>December 31, 2017</w:t>
      </w:r>
      <w:r>
        <w:rPr>
          <w:rFonts w:ascii="Arial" w:cs="Arial" w:eastAsia="Arial" w:hAnsi="Arial"/>
          <w:sz w:val="17"/>
          <w:szCs w:val="17"/>
          <w:color w:val="000000"/>
        </w:rPr>
        <w:t xml:space="preserve"> experienced an other-than-temporary impairment.</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At December 31, 2017, the Company held a participation in a loan with unpaid principal of $807,000 issued by a company that produces and supplies power to Puerto Rico through a power purchase agreement with Puerto Rico Electric Power Authority (“PREPA”), a public corporation and governmental agency of the Commonwealth of Puerto Rico. Management concluded that an allowance for credit losses should be established on the loan at December 31, 2017 to reduce its carrying value to $0. In the first quarter of 2018, the full outstanding principal on the loan was repaid and the Company recognized a realized gain of $807,000 on the repayment.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Management concluded that certain loans in the Company's bank loan portfolio were impaired as of June 30, 2018. The aggregate allowance for credit losses was $1.2 million at June 30, 2018 on impaired loans from three issuers with a total carrying value of $2.2 million and unpaid principal of $3.5 million. At December 31, 2017, the aggregate allowance for credit losses was $3.2 million on impaired loans from five issuers with a total carrying value of $5.1 million and unpaid principal of $8.4 million. The aggregate allowance for credit losses on impaired loans was $705,000 at June 30, 2017 and $943,000 at December 31, 2016.</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2018 or December 31, 2017.</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allowance for credit losses is maintained at a level believed adequate by management to absorb estimated probable credit losses. Management’s periodic evaluation of the adequacy of the allowance is based on consultations and a</w:t>
      </w:r>
      <w:r>
        <w:rPr>
          <w:rFonts w:ascii="Arial" w:cs="Arial" w:eastAsia="Arial" w:hAnsi="Arial"/>
          <w:sz w:val="18"/>
          <w:szCs w:val="18"/>
          <w:color w:val="000000"/>
        </w:rPr>
        <w:t>dvice</w:t>
      </w:r>
      <w:r>
        <w:rPr>
          <w:rFonts w:ascii="Arial" w:cs="Arial" w:eastAsia="Arial" w:hAnsi="Arial"/>
          <w:sz w:val="18"/>
          <w:szCs w:val="18"/>
          <w:color w:val="231F20"/>
        </w:rPr>
        <w:t xml:space="preserve"> of the Company’s independent investment manager, known and inherent risks in the portfolio, adverse situations that may affect the borrower’s ability to repay, the estimated value of any underlying collateral, current economic conditions, and other relevant factors. The Company generally records an allowance equal to the difference between the fair value and the amortized cost of bank loans that it has determined to be impaired as a practical expedient for an estimate of probable future cash flows to be collected on those bank loans. Bank loans are charged off against the allowance after all means of collection have been exhausted and the potential for recovery is considered remote.</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average recorded investment in impaired bank loans was $3.7 million and $5.0 million during the six months ended June 30, 2018 and 2017, respectively. Investment income of $65,000 and $179,000, respectively, was recognized during the time within those periods that the loans were impaired. The Company recorded net realized investment losses of $896,000 and $893,000 in the three and six months ended June 30, 2018, respectively, for changes in the fair value of impaired bank loans ($42,000 of net realized investment losses and $135,000 of net realized investment gains in the three and six months ended June 30, 2017, respectively).</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Changes in unrealized gains or losses on securities held for trading are recorded as trading gains or losses within net investment income. Net investment income for the three and six months ended June 30, 2018 includes $1,000 and $4,000 of net trading losses, respectively, all relating to securities sold during the three and six months ended June 30,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5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9"/>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356</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56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1,607</w:t>
            </w:r>
          </w:p>
        </w:tc>
      </w:tr>
      <w:tr>
        <w:trPr>
          <w:trHeight w:val="27"/>
        </w:trPr>
        <w:tc>
          <w:tcPr>
            <w:tcW w:w="56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37"/>
        </w:trPr>
        <w:tc>
          <w:tcPr>
            <w:tcW w:w="56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(646)</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918</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409</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Changes in fair values of equity securities</w:t>
            </w:r>
          </w:p>
        </w:tc>
        <w:tc>
          <w:tcPr>
            <w:tcW w:w="88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Short-term investments and other:</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1,354</w:t>
            </w:r>
          </w:p>
        </w:tc>
      </w:tr>
      <w:tr>
        <w:trPr>
          <w:trHeight w:val="20"/>
        </w:trPr>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Investment Income</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220" w:type="dxa"/>
            <w:vAlign w:val="bottom"/>
            <w:gridSpan w:val="5"/>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3"/>
              <w:spacing w:after="0" w:line="15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left="378"/>
              <w:spacing w:after="0"/>
              <w:rPr>
                <w:sz w:val="20"/>
                <w:szCs w:val="20"/>
                <w:color w:val="auto"/>
              </w:rPr>
            </w:pPr>
            <w:r>
              <w:rPr>
                <w:rFonts w:ascii="Arial" w:cs="Arial" w:eastAsia="Arial" w:hAnsi="Arial"/>
                <w:sz w:val="14"/>
                <w:szCs w:val="14"/>
                <w:b w:val="1"/>
                <w:bCs w:val="1"/>
                <w:i w:val="1"/>
                <w:iCs w:val="1"/>
                <w:color w:val="auto"/>
                <w:w w:val="89"/>
              </w:rPr>
              <w:t>(in thousands)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32,204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2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2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invested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70,208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hanging="202"/>
        <w:spacing w:after="0" w:line="255" w:lineRule="auto"/>
        <w:rPr>
          <w:sz w:val="20"/>
          <w:szCs w:val="20"/>
          <w:color w:val="auto"/>
        </w:rPr>
      </w:pPr>
      <w:r>
        <w:rPr>
          <w:rFonts w:ascii="Arial" w:cs="Arial" w:eastAsia="Arial" w:hAnsi="Arial"/>
          <w:sz w:val="18"/>
          <w:szCs w:val="18"/>
          <w:color w:val="auto"/>
        </w:rPr>
        <w:t>(a)The Company’s Corporate and Other segment owns equity interests ranging from 2.6% to 32.8% in various LLCs whose principal objective is capital appreciation and income generation from owning and operating renewable energy production facilities (wind and solar). The LLCs are managed by an affiliate of the Company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$2.1 million and $3.6 million in the six months ended June 30, 2018 and 2017, respectively.</w:t>
      </w:r>
    </w:p>
    <w:p>
      <w:pPr>
        <w:spacing w:after="0" w:line="81" w:lineRule="exact"/>
        <w:rPr>
          <w:sz w:val="20"/>
          <w:szCs w:val="20"/>
          <w:color w:val="auto"/>
        </w:rPr>
      </w:pPr>
    </w:p>
    <w:p>
      <w:pPr>
        <w:jc w:val="both"/>
        <w:ind w:left="220" w:hanging="215"/>
        <w:spacing w:after="0" w:line="277" w:lineRule="auto"/>
        <w:rPr>
          <w:sz w:val="20"/>
          <w:szCs w:val="20"/>
          <w:color w:val="auto"/>
        </w:rPr>
      </w:pPr>
      <w:r>
        <w:rPr>
          <w:rFonts w:ascii="Arial" w:cs="Arial" w:eastAsia="Arial" w:hAnsi="Arial"/>
          <w:sz w:val="18"/>
          <w:szCs w:val="18"/>
          <w:color w:val="auto"/>
        </w:rPr>
        <w:t>(b)</w:t>
      </w:r>
      <w:r>
        <w:rPr>
          <w:rFonts w:ascii="Arial" w:cs="Arial" w:eastAsia="Arial" w:hAnsi="Arial"/>
          <w:sz w:val="18"/>
          <w:szCs w:val="18"/>
          <w:color w:val="231F20"/>
        </w:rPr>
        <w:t>The Company has invested in notes receivable for renewable energy projects. At</w:t>
      </w:r>
      <w:r>
        <w:rPr>
          <w:rFonts w:ascii="Arial" w:cs="Arial" w:eastAsia="Arial" w:hAnsi="Arial"/>
          <w:sz w:val="18"/>
          <w:szCs w:val="18"/>
          <w:color w:val="auto"/>
        </w:rPr>
        <w:t xml:space="preserve"> June 30, 2018</w:t>
      </w:r>
      <w:r>
        <w:rPr>
          <w:rFonts w:ascii="Arial" w:cs="Arial" w:eastAsia="Arial" w:hAnsi="Arial"/>
          <w:sz w:val="18"/>
          <w:szCs w:val="18"/>
          <w:color w:val="231F20"/>
        </w:rPr>
        <w:t>, the Company holds an $8.8 million note issued by an</w:t>
      </w:r>
      <w:r>
        <w:rPr>
          <w:rFonts w:ascii="Arial" w:cs="Arial" w:eastAsia="Arial" w:hAnsi="Arial"/>
          <w:sz w:val="18"/>
          <w:szCs w:val="18"/>
          <w:color w:val="auto"/>
        </w:rPr>
        <w:t xml:space="preserve"> </w:t>
      </w:r>
      <w:r>
        <w:rPr>
          <w:rFonts w:ascii="Arial" w:cs="Arial" w:eastAsia="Arial" w:hAnsi="Arial"/>
          <w:sz w:val="18"/>
          <w:szCs w:val="18"/>
          <w:color w:val="231F20"/>
        </w:rPr>
        <w:t>affiliate of the Company. Interest on the note, which matures in 2021, is fixed at 15.0%. Interest income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left="180"/>
        <w:spacing w:after="0" w:line="324" w:lineRule="auto"/>
        <w:rPr>
          <w:sz w:val="20"/>
          <w:szCs w:val="20"/>
          <w:color w:val="auto"/>
        </w:rPr>
      </w:pPr>
      <w:r>
        <w:rPr>
          <w:rFonts w:ascii="Arial" w:cs="Arial" w:eastAsia="Arial" w:hAnsi="Arial"/>
          <w:sz w:val="18"/>
          <w:szCs w:val="18"/>
          <w:color w:val="231F20"/>
        </w:rPr>
        <w:t>on the note was $328,000 and $625,000 for the three and six months ended June 30, 2018, respectively ($49,000 for the three and six months ended June 30, 2017).</w:t>
      </w:r>
    </w:p>
    <w:p>
      <w:pPr>
        <w:spacing w:after="0" w:line="35" w:lineRule="exact"/>
        <w:rPr>
          <w:sz w:val="20"/>
          <w:szCs w:val="20"/>
          <w:color w:val="auto"/>
        </w:rPr>
      </w:pPr>
    </w:p>
    <w:p>
      <w:pPr>
        <w:jc w:val="both"/>
        <w:ind w:left="220" w:hanging="202"/>
        <w:spacing w:after="0" w:line="270" w:lineRule="auto"/>
        <w:rPr>
          <w:sz w:val="20"/>
          <w:szCs w:val="20"/>
          <w:color w:val="auto"/>
        </w:rPr>
      </w:pPr>
      <w:r>
        <w:rPr>
          <w:rFonts w:ascii="Arial" w:cs="Arial" w:eastAsia="Arial" w:hAnsi="Arial"/>
          <w:sz w:val="17"/>
          <w:szCs w:val="17"/>
          <w:color w:val="auto"/>
        </w:rPr>
        <w:t>(c)The Company owns investments in limited partnerships that invest in concentrated portfolios including publicly-traded small cap equities, loans of middle market private equity sponsored companies, equity tranches of collateralized loan obligations (</w:t>
      </w:r>
      <w:r>
        <w:rPr>
          <w:rFonts w:ascii="Arial" w:cs="Arial" w:eastAsia="Arial" w:hAnsi="Arial"/>
          <w:sz w:val="17"/>
          <w:szCs w:val="17"/>
          <w:color w:val="231F20"/>
        </w:rPr>
        <w:t>“</w:t>
      </w:r>
      <w:r>
        <w:rPr>
          <w:rFonts w:ascii="Arial" w:cs="Arial" w:eastAsia="Arial" w:hAnsi="Arial"/>
          <w:sz w:val="17"/>
          <w:szCs w:val="17"/>
          <w:color w:val="auto"/>
        </w:rPr>
        <w:t>CLOs</w:t>
      </w:r>
      <w:r>
        <w:rPr>
          <w:rFonts w:ascii="Arial" w:cs="Arial" w:eastAsia="Arial" w:hAnsi="Arial"/>
          <w:sz w:val="17"/>
          <w:szCs w:val="17"/>
          <w:color w:val="231F20"/>
        </w:rPr>
        <w:t>”</w:t>
      </w:r>
      <w:r>
        <w:rPr>
          <w:rFonts w:ascii="Arial" w:cs="Arial" w:eastAsia="Arial" w:hAnsi="Arial"/>
          <w:sz w:val="17"/>
          <w:szCs w:val="17"/>
          <w:color w:val="auto"/>
        </w:rPr>
        <w:t xml:space="preserve">), and tranches of distressed home loans. </w:t>
      </w:r>
      <w:r>
        <w:rPr>
          <w:rFonts w:ascii="Arial" w:cs="Arial" w:eastAsia="Arial" w:hAnsi="Arial"/>
          <w:sz w:val="17"/>
          <w:szCs w:val="17"/>
          <w:color w:val="231F20"/>
        </w:rPr>
        <w:t>Income</w:t>
      </w:r>
      <w:r>
        <w:rPr>
          <w:rFonts w:ascii="Arial" w:cs="Arial" w:eastAsia="Arial" w:hAnsi="Arial"/>
          <w:sz w:val="17"/>
          <w:szCs w:val="17"/>
          <w:color w:val="auto"/>
        </w:rPr>
        <w:t xml:space="preserve"> </w:t>
      </w:r>
      <w:r>
        <w:rPr>
          <w:rFonts w:ascii="Arial" w:cs="Arial" w:eastAsia="Arial" w:hAnsi="Arial"/>
          <w:sz w:val="17"/>
          <w:szCs w:val="17"/>
          <w:color w:val="231F20"/>
        </w:rPr>
        <w:t>f</w:t>
      </w:r>
      <w:r>
        <w:rPr>
          <w:rFonts w:ascii="Arial" w:cs="Arial" w:eastAsia="Arial" w:hAnsi="Arial"/>
          <w:sz w:val="17"/>
          <w:szCs w:val="17"/>
          <w:color w:val="000000"/>
        </w:rPr>
        <w:t>rom the partnerships is recognized under the equity method of accounting. The Company’s Corporate and Other segment held an investment in a limited</w:t>
      </w:r>
      <w:r>
        <w:rPr>
          <w:rFonts w:ascii="Arial" w:cs="Arial" w:eastAsia="Arial" w:hAnsi="Arial"/>
          <w:sz w:val="17"/>
          <w:szCs w:val="17"/>
          <w:color w:val="231F20"/>
        </w:rPr>
        <w:t xml:space="preserve"> </w:t>
      </w:r>
      <w:r>
        <w:rPr>
          <w:rFonts w:ascii="Arial" w:cs="Arial" w:eastAsia="Arial" w:hAnsi="Arial"/>
          <w:sz w:val="17"/>
          <w:szCs w:val="17"/>
          <w:color w:val="000000"/>
        </w:rPr>
        <w:t xml:space="preserve">partnership with a carrying value of $3.2 million at June 30, 2018. The Company recognized investment income of $333,000 and $208,000 on the investment for the three and six months ended June 30, 2018, respectively ($152,000 and $220,000 </w:t>
      </w:r>
      <w:r>
        <w:rPr>
          <w:rFonts w:ascii="Arial" w:cs="Arial" w:eastAsia="Arial" w:hAnsi="Arial"/>
          <w:sz w:val="17"/>
          <w:szCs w:val="17"/>
          <w:color w:val="231F20"/>
        </w:rPr>
        <w:t>for the three and six months ended June 30, 2017,</w:t>
      </w:r>
      <w:r>
        <w:rPr>
          <w:rFonts w:ascii="Arial" w:cs="Arial" w:eastAsia="Arial" w:hAnsi="Arial"/>
          <w:sz w:val="17"/>
          <w:szCs w:val="17"/>
          <w:color w:val="000000"/>
        </w:rPr>
        <w:t xml:space="preserve"> </w:t>
      </w:r>
      <w:r>
        <w:rPr>
          <w:rFonts w:ascii="Arial" w:cs="Arial" w:eastAsia="Arial" w:hAnsi="Arial"/>
          <w:sz w:val="17"/>
          <w:szCs w:val="17"/>
          <w:color w:val="231F20"/>
        </w:rPr>
        <w:t>respectively)</w:t>
      </w:r>
      <w:r>
        <w:rPr>
          <w:rFonts w:ascii="Arial" w:cs="Arial" w:eastAsia="Arial" w:hAnsi="Arial"/>
          <w:sz w:val="17"/>
          <w:szCs w:val="17"/>
          <w:color w:val="000000"/>
        </w:rPr>
        <w:t>. The Company’s Excess and Surplus Lines segment holds investments in limited partnerships of $28.1 million at June 30, 2018. Investment</w:t>
      </w:r>
      <w:r>
        <w:rPr>
          <w:rFonts w:ascii="Arial" w:cs="Arial" w:eastAsia="Arial" w:hAnsi="Arial"/>
          <w:sz w:val="17"/>
          <w:szCs w:val="17"/>
          <w:color w:val="231F20"/>
        </w:rPr>
        <w:t xml:space="preserve"> </w:t>
      </w:r>
      <w:r>
        <w:rPr>
          <w:rFonts w:ascii="Arial" w:cs="Arial" w:eastAsia="Arial" w:hAnsi="Arial"/>
          <w:sz w:val="17"/>
          <w:szCs w:val="17"/>
          <w:color w:val="000000"/>
        </w:rPr>
        <w:t xml:space="preserve">income of $759,000 and $1.1 million was recognized on the investments for the three and six months ended June 30, 2018, respectively ($551,000 and $865,000 </w:t>
      </w:r>
      <w:r>
        <w:rPr>
          <w:rFonts w:ascii="Arial" w:cs="Arial" w:eastAsia="Arial" w:hAnsi="Arial"/>
          <w:sz w:val="17"/>
          <w:szCs w:val="17"/>
          <w:color w:val="231F20"/>
        </w:rPr>
        <w:t>for the three and six months ended June 30, 2017, respectively)</w:t>
      </w:r>
      <w:r>
        <w:rPr>
          <w:rFonts w:ascii="Arial" w:cs="Arial" w:eastAsia="Arial" w:hAnsi="Arial"/>
          <w:sz w:val="17"/>
          <w:szCs w:val="17"/>
          <w:color w:val="000000"/>
        </w:rPr>
        <w:t>. At June 30, 2018, the Company’s Excess and Surplus Lines segment has outstanding commitments to invest another $625,000 in these limited partnerships.</w:t>
      </w:r>
    </w:p>
    <w:p>
      <w:pPr>
        <w:spacing w:after="0" w:line="74" w:lineRule="exact"/>
        <w:rPr>
          <w:sz w:val="20"/>
          <w:szCs w:val="20"/>
          <w:color w:val="auto"/>
        </w:rPr>
      </w:pPr>
    </w:p>
    <w:p>
      <w:pPr>
        <w:jc w:val="both"/>
        <w:ind w:left="220" w:hanging="215"/>
        <w:spacing w:after="0" w:line="257" w:lineRule="auto"/>
        <w:rPr>
          <w:sz w:val="20"/>
          <w:szCs w:val="20"/>
          <w:color w:val="auto"/>
        </w:rPr>
      </w:pPr>
      <w:r>
        <w:rPr>
          <w:rFonts w:ascii="Arial" w:cs="Arial" w:eastAsia="Arial" w:hAnsi="Arial"/>
          <w:sz w:val="18"/>
          <w:szCs w:val="18"/>
          <w:color w:val="auto"/>
        </w:rPr>
        <w:t>(d)The Company holds $4.5 million of subordinated notes issued by a bank holding company. Interest on the notes, which mature on August 12, 2023, is fixed at 7.6% per annum. Interest income on the notes was $86,000 and $172,000, respectively, in both the three and six months ended June 30, 2018 and 2017. The Company’s Non-Executive Chairman was previously the Lead Independent Director of the bank holding company and an investor in the bank holding company. Additionally, one of the Company’s directors was an investor in the bank holding company and is currently a lender to the bank holding company.</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At June 30, 2018, the Company held an investment in a CLO where one of the underlying loans was issued by the bank holding company. The investment, with a carrying value of $4.7 million at June 30, 2018, is classified as an available-for-sale fixed maturity.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previously held common shares issued by the bank holding company. </w:t>
      </w:r>
      <w:r>
        <w:rPr>
          <w:rFonts w:ascii="Arial" w:cs="Arial" w:eastAsia="Arial" w:hAnsi="Arial"/>
          <w:sz w:val="18"/>
          <w:szCs w:val="18"/>
          <w:color w:val="231F20"/>
        </w:rPr>
        <w:t>Realized investments gains of $409,000 were recognized in the six</w:t>
      </w:r>
      <w:r>
        <w:rPr>
          <w:rFonts w:ascii="Arial" w:cs="Arial" w:eastAsia="Arial" w:hAnsi="Arial"/>
          <w:sz w:val="18"/>
          <w:szCs w:val="18"/>
          <w:color w:val="auto"/>
        </w:rPr>
        <w:t xml:space="preserve"> </w:t>
      </w:r>
      <w:r>
        <w:rPr>
          <w:rFonts w:ascii="Arial" w:cs="Arial" w:eastAsia="Arial" w:hAnsi="Arial"/>
          <w:sz w:val="18"/>
          <w:szCs w:val="18"/>
          <w:color w:val="231F20"/>
        </w:rPr>
        <w:t>months ended June 30, 2017 related to the sale of common shares of the bank holding company.</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The Company holds a $1.0 million certificate of deposit issued by the bank holding company. The certificate of deposit, which matures on December 19, 2018, is carried as a short-term investment. Interest income of $3,000 was recognized on this investment for the six months ended June 30, 2018 and 2017.</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2018 and December 31, 2017.</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Broker relationships</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24.6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Identifiable intangible assets subject to amortization</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condensed consolidated financial statements: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6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86"/>
        </w:trPr>
        <w:tc>
          <w:tcPr>
            <w:tcW w:w="4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6"/>
                <w:szCs w:val="16"/>
                <w:color w:val="auto"/>
              </w:rPr>
            </w:pPr>
          </w:p>
        </w:tc>
      </w:tr>
      <w:tr>
        <w:trPr>
          <w:trHeight w:val="276"/>
        </w:trPr>
        <w:tc>
          <w:tcPr>
            <w:tcW w:w="4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4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5"/>
          </w:tcPr>
          <w:p>
            <w:pPr>
              <w:spacing w:after="0"/>
              <w:rPr>
                <w:sz w:val="20"/>
                <w:szCs w:val="20"/>
                <w:color w:val="auto"/>
              </w:rPr>
            </w:pPr>
            <w:r>
              <w:rPr>
                <w:rFonts w:ascii="Arial" w:cs="Arial" w:eastAsia="Arial" w:hAnsi="Arial"/>
                <w:sz w:val="14"/>
                <w:szCs w:val="14"/>
                <w:b w:val="1"/>
                <w:bCs w:val="1"/>
                <w:i w:val="1"/>
                <w:iCs w:val="1"/>
                <w:color w:val="auto"/>
                <w:w w:val="98"/>
              </w:rPr>
              <w:t>(in thousands, except share and per share amounts)</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to shareholders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16,984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14,541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32,617</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32,991</w:t>
            </w:r>
          </w:p>
        </w:tc>
      </w:tr>
      <w:tr>
        <w:trPr>
          <w:trHeight w:val="324"/>
        </w:trPr>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29,882,988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29,406,877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29,823,982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29,348,557</w:t>
            </w: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share equivalents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410,945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900,222</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419,964</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969,028</w:t>
            </w:r>
          </w:p>
        </w:tc>
      </w:tr>
      <w:tr>
        <w:trPr>
          <w:trHeight w:val="297"/>
        </w:trPr>
        <w:tc>
          <w:tcPr>
            <w:tcW w:w="4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30,293,933</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30,307,099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30,243,946</w:t>
            </w:r>
          </w:p>
        </w:tc>
        <w:tc>
          <w:tcPr>
            <w:tcW w:w="2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30,317,585</w:t>
            </w:r>
          </w:p>
        </w:tc>
      </w:tr>
      <w:tr>
        <w:trPr>
          <w:trHeight w:val="311"/>
        </w:trPr>
        <w:tc>
          <w:tcPr>
            <w:tcW w:w="4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43"/>
        </w:trPr>
        <w:tc>
          <w:tcPr>
            <w:tcW w:w="4340" w:type="dxa"/>
            <w:vAlign w:val="bottom"/>
          </w:tcPr>
          <w:p>
            <w:pPr>
              <w:ind w:left="160"/>
              <w:spacing w:after="0"/>
              <w:rPr>
                <w:sz w:val="20"/>
                <w:szCs w:val="20"/>
                <w:color w:val="auto"/>
              </w:rPr>
            </w:pPr>
            <w:r>
              <w:rPr>
                <w:rFonts w:ascii="Arial" w:cs="Arial" w:eastAsia="Arial" w:hAnsi="Arial"/>
                <w:sz w:val="18"/>
                <w:szCs w:val="18"/>
                <w:color w:val="auto"/>
              </w:rPr>
              <w:t>Common share equivalents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4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0"/>
        </w:trPr>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Common share equivalents relate to stock options and restricted share units (“RSU’s”). For the three and six months ended June 30, 2018, common share equivalents of 182,246 and 187,502 shares, respectively, were excluded from the calculations of diluted earnings per share as their effects were anti-dilutive. For the </w:t>
      </w:r>
      <w:r>
        <w:rPr>
          <w:rFonts w:ascii="Arial" w:cs="Arial" w:eastAsia="Arial" w:hAnsi="Arial"/>
          <w:sz w:val="18"/>
          <w:szCs w:val="18"/>
          <w:color w:val="231F20"/>
        </w:rPr>
        <w:t>three and six months ended June 30, 2017</w:t>
      </w:r>
      <w:r>
        <w:rPr>
          <w:rFonts w:ascii="Arial" w:cs="Arial" w:eastAsia="Arial" w:hAnsi="Arial"/>
          <w:sz w:val="18"/>
          <w:szCs w:val="18"/>
          <w:color w:val="auto"/>
        </w:rPr>
        <w:t>, common share equivalents of 201,821 and 150,075 shares, respectively, were excluded from the calculations of diluted earnings per share as their effects were anti-dilutive.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recoverables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1,038,303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791,781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989,825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761,128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97"/>
              </w:rPr>
              <w:t>Add: Incurred losses and loss adjustment expenses net of reinsurance: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152,371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298,753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238,152</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 losses and loss and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298,367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236,453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95"/>
              </w:rPr>
              <w:t>Deduct: Loss and loss adjustment expense payments net of reinsurance: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17,606</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79,503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69,449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162,620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140,467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 and loss adjustment expense payments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83,357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195,374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158,073</w:t>
            </w:r>
          </w:p>
        </w:tc>
        <w:tc>
          <w:tcPr>
            <w:tcW w:w="0" w:type="dxa"/>
            <w:vAlign w:val="bottom"/>
          </w:tcPr>
          <w:p>
            <w:pPr>
              <w:spacing w:after="0"/>
              <w:rPr>
                <w:sz w:val="1"/>
                <w:szCs w:val="1"/>
                <w:color w:val="auto"/>
              </w:rPr>
            </w:pPr>
          </w:p>
        </w:tc>
      </w:tr>
      <w:tr>
        <w:trPr>
          <w:trHeight w:val="209"/>
        </w:trPr>
        <w:tc>
          <w:tcPr>
            <w:tcW w:w="5600" w:type="dxa"/>
            <w:vAlign w:val="bottom"/>
          </w:tcPr>
          <w:p>
            <w:pPr>
              <w:ind w:left="4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recoverables at end of period</w:t>
            </w:r>
          </w:p>
        </w:tc>
        <w:tc>
          <w:tcPr>
            <w:tcW w:w="3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1,092,818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839,508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1,092,818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839,508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Add: Reinsurance recoverables on unpaid losses and loss adjustment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at end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375,535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221,553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375,535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221,553</w:t>
            </w:r>
          </w:p>
        </w:tc>
        <w:tc>
          <w:tcPr>
            <w:tcW w:w="0" w:type="dxa"/>
            <w:vAlign w:val="bottom"/>
          </w:tcPr>
          <w:p>
            <w:pPr>
              <w:spacing w:after="0"/>
              <w:rPr>
                <w:sz w:val="1"/>
                <w:szCs w:val="1"/>
                <w:color w:val="auto"/>
              </w:rPr>
            </w:pPr>
          </w:p>
        </w:tc>
      </w:tr>
      <w:tr>
        <w:trPr>
          <w:trHeight w:val="209"/>
        </w:trPr>
        <w:tc>
          <w:tcPr>
            <w:tcW w:w="5600" w:type="dxa"/>
            <w:vAlign w:val="bottom"/>
          </w:tcPr>
          <w:p>
            <w:pPr>
              <w:ind w:left="40"/>
              <w:spacing w:after="0"/>
              <w:rPr>
                <w:sz w:val="20"/>
                <w:szCs w:val="20"/>
                <w:color w:val="auto"/>
              </w:rPr>
            </w:pPr>
            <w:r>
              <w:rPr>
                <w:rFonts w:ascii="Arial" w:cs="Arial" w:eastAsia="Arial" w:hAnsi="Arial"/>
                <w:sz w:val="18"/>
                <w:szCs w:val="18"/>
                <w:color w:val="auto"/>
                <w:w w:val="98"/>
              </w:rPr>
              <w:t>Reserve for losses and loss adjustment expenses gross of reinsurance</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1,468,353</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1,061,061</w:t>
            </w:r>
          </w:p>
        </w:tc>
        <w:tc>
          <w:tcPr>
            <w:tcW w:w="120" w:type="dxa"/>
            <w:vAlign w:val="bottom"/>
          </w:tcPr>
          <w:p>
            <w:pPr>
              <w:spacing w:after="0"/>
              <w:rPr>
                <w:sz w:val="18"/>
                <w:szCs w:val="18"/>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97"/>
              </w:rPr>
              <w:t>1,468,353</w:t>
            </w:r>
          </w:p>
        </w:tc>
        <w:tc>
          <w:tcPr>
            <w:tcW w:w="100" w:type="dxa"/>
            <w:vAlign w:val="bottom"/>
          </w:tcPr>
          <w:p>
            <w:pPr>
              <w:spacing w:after="0"/>
              <w:rPr>
                <w:sz w:val="18"/>
                <w:szCs w:val="18"/>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87"/>
              </w:rPr>
              <w:t>1,061,061</w:t>
            </w:r>
          </w:p>
        </w:tc>
        <w:tc>
          <w:tcPr>
            <w:tcW w:w="0" w:type="dxa"/>
            <w:vAlign w:val="bottom"/>
          </w:tcPr>
          <w:p>
            <w:pPr>
              <w:spacing w:after="0"/>
              <w:rPr>
                <w:sz w:val="1"/>
                <w:szCs w:val="1"/>
                <w:color w:val="auto"/>
              </w:rPr>
            </w:pPr>
          </w:p>
        </w:tc>
      </w:tr>
      <w:tr>
        <w:trPr>
          <w:trHeight w:val="242"/>
        </w:trPr>
        <w:tc>
          <w:tcPr>
            <w:tcW w:w="5600" w:type="dxa"/>
            <w:vAlign w:val="bottom"/>
          </w:tcPr>
          <w:p>
            <w:pPr>
              <w:ind w:left="40"/>
              <w:spacing w:after="0"/>
              <w:rPr>
                <w:sz w:val="20"/>
                <w:szCs w:val="20"/>
                <w:color w:val="auto"/>
              </w:rPr>
            </w:pPr>
            <w:r>
              <w:rPr>
                <w:rFonts w:ascii="Arial" w:cs="Arial" w:eastAsia="Arial" w:hAnsi="Arial"/>
                <w:sz w:val="18"/>
                <w:szCs w:val="18"/>
                <w:color w:val="auto"/>
                <w:w w:val="89"/>
              </w:rPr>
              <w:t>recoverables on unpaid losses and loss adjustment expenses at end of period</w:t>
            </w:r>
          </w:p>
        </w:tc>
        <w:tc>
          <w:tcPr>
            <w:tcW w:w="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experienced $2.2 million of adverse reserve development in the three months ended June 30, 2018 on the reserve for losses and loss adjustment expenses held at December 31, 2017. This reserve development included $58,000 of favorable development in the Excess and Surplus Lines segment, primarily from $1.9 million of favorable development on the property catastrophe losses from the September 2017 storms coupled with adverse development in commercial auto business and favorable development in other core Excess and Surplus Lines. The Specialty Admitted Insurance segment experienced $167,000 of favorable development, primarily due to favorable development in the workers' compensation business for prior accident years, partially offset by adverse development on certain terminated program business. The Company also experienced $2.4 million of adverse development in the Casualty Reinsurance segment primarily related to losses from risk profiles and treaty structures that the Company no longer writes.</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experienced $1.7 million of adverse reserve development in the three months ended June 30, 2017 on the reserve for losses and loss adjustment expenses held at December 31, 2016. This reserve development included $1.4 million of favorable development in the Excess and Surplus Lines segment. The Specialty Admitted Insurance segment experienced $949,000 of adverse development, primarily due to adverse development in the programs business. The Company also experienced $2.2 million of adverse development for the Casualty Reinsurance segment. The development was mostly related to the 2010 and 2012 contracts with one reinsured.</w:t>
      </w:r>
    </w:p>
    <w:p>
      <w:pPr>
        <w:spacing w:after="0" w:line="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experienced $386,000 of favorable reserve development in the six months ended June 30, 2018 on the reserve for losses and loss adjustment expenses held at December 31, 2017. This reserve development included $1.2 million of favorable development in the Excess and Surplus Lines segment, primarily from $1.9 million of favorable development on the property catastrophe losses from the September 2017 storms coupled with adverse development in commercial auto business and favorable development in other core Excess and Surplus Lines. The Specialty Admitted Insurance segment experienced $1.5 million of favorable development, primarily due to favorable development in the workers' compensation business for prior accident years, partially offset by adverse development on certain terminated program business. The Company also experienced $2.3 million of adverse development in the Casualty Reinsurance segment primarily related to losses from risk profiles and treaty structures that the Company no longer writes.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experienced $1.7 million of favorable reserve development in the six months ended June 30, 2017 on the reserve for losses and loss adjustment expenses held at December 31, 2016. This reserve development included $4.7 million of favorable development in the Excess and Surplus Lines segment. The Specialty Admitted Insurance segment experienced $907,000 of adverse development, primarily due to adverse development in the programs business which were partially offset by favorable development in the workers' compensation business. The Company also experienced $2.1 million of adverse development for the Casualty Reinsurance segment. The development was mostly related to the 2010 and 2012 contracts with one reinsured.</w:t>
      </w:r>
    </w:p>
    <w:p>
      <w:pPr>
        <w:spacing w:after="0" w:line="4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Unrealized (losses) gains arising during the period, before U.S. income taxes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13,851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(2,792)</w:t>
            </w: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Unrealized (losses) gains arising during the period, net of U.S.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Less reclassification adjustment:</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U.S. income tax expenses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Reclassification adjustment for investment losses (gains) realized in net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10,742</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reinsurance subsidiary, JRG Re, has entered into three letter of credit facilities with banks as security to third-party reinsureds on reinsurance assumed by JRG Re. JRG Re has established custodial accounts to secure these letters of credit. Under a $100.0 million facility, $45.5 million of letters of credit were issued through June 30, 2018 which were secured by deposits of $59.0 million. Under a $102.5 million facility, $100.2 million of letters of credit were issued through June 30, 2018 which were secured by deposits of $126.3 million. Under a $100.0 million facility, $6.9 million of letters of credit were issued through June 30, 2018 which were secured by deposits of $10.0 million. JRG Re has also established trust accounts to secure its obligations to selected reinsureds. The total amount deposited in the trust accounts for the benefit of third-party reinsureds was $271.8 million at June 30, 2018.</w:t>
      </w:r>
    </w:p>
    <w:p>
      <w:pPr>
        <w:spacing w:after="0" w:line="5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is also exposed to credit risk relating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June 30, 2018, the cash equivalent collateral held in the collateral trust arrangement was approximately $944.8 million, which exceeds the amount of claims receivable and unpaid reported losses and loss adjustment expenses outstanding. This is a rapidly growing relationship, and as such, there is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Gross fee income of the Excess and Surplus Lines segment is included in that segment’s underwriting profit. Gross fee income of $3.7 million and $4.2 million was included in underwriting profit for the three months ended June 30, 2018 and 2017, respectively. For the six months ended June 30, 2018 and 2017, gross fee income of $8.5 million and $8.1 million, respectively, was included in underwriting profit. Segment results are reported prior to the effects of intercompany reinsurance agreements among the Company’s insurance subsidiaries.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b w:val="1"/>
                <w:bCs w:val="1"/>
                <w:color w:val="auto"/>
                <w:w w:val="85"/>
              </w:rPr>
              <w:t>Excess and</w:t>
            </w:r>
          </w:p>
        </w:tc>
        <w:tc>
          <w:tcPr>
            <w:tcW w:w="340" w:type="dxa"/>
            <w:vAlign w:val="bottom"/>
          </w:tcPr>
          <w:p>
            <w:pPr>
              <w:spacing w:after="0"/>
              <w:rPr>
                <w:sz w:val="14"/>
                <w:szCs w:val="14"/>
                <w:color w:val="auto"/>
              </w:rPr>
            </w:pPr>
          </w:p>
        </w:tc>
        <w:tc>
          <w:tcPr>
            <w:tcW w:w="1140" w:type="dxa"/>
            <w:vAlign w:val="bottom"/>
          </w:tcPr>
          <w:p>
            <w:pPr>
              <w:jc w:val="center"/>
              <w:ind w:right="172"/>
              <w:spacing w:after="0"/>
              <w:rPr>
                <w:sz w:val="20"/>
                <w:szCs w:val="20"/>
                <w:color w:val="auto"/>
              </w:rPr>
            </w:pPr>
            <w:r>
              <w:rPr>
                <w:rFonts w:ascii="Arial" w:cs="Arial" w:eastAsia="Arial" w:hAnsi="Arial"/>
                <w:sz w:val="14"/>
                <w:szCs w:val="14"/>
                <w:b w:val="1"/>
                <w:bCs w:val="1"/>
                <w:color w:val="auto"/>
                <w:w w:val="91"/>
              </w:rPr>
              <w:t>Specialty</w:t>
            </w:r>
          </w:p>
        </w:tc>
        <w:tc>
          <w:tcPr>
            <w:tcW w:w="280" w:type="dxa"/>
            <w:vAlign w:val="bottom"/>
          </w:tcPr>
          <w:p>
            <w:pPr>
              <w:spacing w:after="0"/>
              <w:rPr>
                <w:sz w:val="14"/>
                <w:szCs w:val="14"/>
                <w:color w:val="auto"/>
              </w:rPr>
            </w:pPr>
          </w:p>
        </w:tc>
        <w:tc>
          <w:tcPr>
            <w:tcW w:w="122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2"/>
              </w:rPr>
              <w:t>Casualty</w:t>
            </w:r>
          </w:p>
        </w:tc>
        <w:tc>
          <w:tcPr>
            <w:tcW w:w="300" w:type="dxa"/>
            <w:vAlign w:val="bottom"/>
          </w:tcPr>
          <w:p>
            <w:pPr>
              <w:spacing w:after="0"/>
              <w:rPr>
                <w:sz w:val="14"/>
                <w:szCs w:val="14"/>
                <w:color w:val="auto"/>
              </w:rPr>
            </w:pPr>
          </w:p>
        </w:tc>
        <w:tc>
          <w:tcPr>
            <w:tcW w:w="1140" w:type="dxa"/>
            <w:vAlign w:val="bottom"/>
          </w:tcPr>
          <w:p>
            <w:pPr>
              <w:jc w:val="center"/>
              <w:ind w:right="172"/>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Surplus</w:t>
            </w:r>
          </w:p>
        </w:tc>
        <w:tc>
          <w:tcPr>
            <w:tcW w:w="340" w:type="dxa"/>
            <w:vAlign w:val="bottom"/>
          </w:tcPr>
          <w:p>
            <w:pPr>
              <w:spacing w:after="0"/>
              <w:rPr>
                <w:sz w:val="12"/>
                <w:szCs w:val="12"/>
                <w:color w:val="auto"/>
              </w:rPr>
            </w:pPr>
          </w:p>
        </w:tc>
        <w:tc>
          <w:tcPr>
            <w:tcW w:w="11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8"/>
              </w:rPr>
              <w:t>Admitted</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2"/>
              </w:rPr>
              <w:t>Lines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0"/>
              </w:rPr>
              <w:t>Insurance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0"/>
              </w:rPr>
              <w:t>Reinsurance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52"/>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165,398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97,100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30,880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293,378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139,127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54,817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10,117</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9,662</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2,946</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147,012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15,436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64,254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907,314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566,196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1,378,305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85,561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2,937,376</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138,004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76,771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66,700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281,475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117,268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49,049</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(loss) of insurance segments</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11,729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7,386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2,224</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125,484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18,435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56,574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779,428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369,515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1,268,560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114,550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2,532,053</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332,884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184,501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74,109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591,494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269,098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27,606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112,448</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21,416</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2,611</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3,473</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17,679</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5,468</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284,339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29,391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129,780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446,385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907,314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566,196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1,378,305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85,561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2,937,376</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246,999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149,235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109,420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505,654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211,117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34,013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93,634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338,764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(loss) of insurance segments</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20,529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1,395</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14,510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4,347</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226,574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35,359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108,720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378,796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779,428</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369,515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1,268,560</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114,550</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2,532,053</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reconciles the underwriting profit (loss) of the operating segments by individual segment to consolidated income before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54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of the insurance segments: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11,729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20,529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20,994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29,391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30,447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15,555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35,621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35,537</w:t>
            </w:r>
          </w:p>
        </w:tc>
        <w:tc>
          <w:tcPr>
            <w:tcW w:w="0" w:type="dxa"/>
            <w:vAlign w:val="bottom"/>
          </w:tcPr>
          <w:p>
            <w:pPr>
              <w:spacing w:after="0"/>
              <w:rPr>
                <w:sz w:val="1"/>
                <w:szCs w:val="1"/>
                <w:color w:val="auto"/>
              </w:rPr>
            </w:pPr>
          </w:p>
        </w:tc>
      </w:tr>
      <w:tr>
        <w:trPr>
          <w:trHeight w:val="20"/>
        </w:trPr>
        <w:tc>
          <w:tcPr>
            <w:tcW w:w="5600" w:type="dxa"/>
            <w:vAlign w:val="bottom"/>
            <w:vMerge w:val="restart"/>
          </w:tcPr>
          <w:p>
            <w:pPr>
              <w:jc w:val="right"/>
              <w:ind w:right="1550"/>
              <w:spacing w:after="0"/>
              <w:rPr>
                <w:sz w:val="20"/>
                <w:szCs w:val="20"/>
                <w:color w:val="auto"/>
              </w:rPr>
            </w:pPr>
            <w:r>
              <w:rPr>
                <w:rFonts w:ascii="Arial" w:cs="Arial" w:eastAsia="Arial" w:hAnsi="Arial"/>
                <w:sz w:val="18"/>
                <w:szCs w:val="18"/>
                <w:b w:val="1"/>
                <w:bCs w:val="1"/>
                <w:color w:val="auto"/>
                <w:w w:val="91"/>
              </w:rPr>
              <w:t>9.  Other Operating Expenses and Other Expenses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tcPr>
          <w:p>
            <w:pPr>
              <w:jc w:val="right"/>
              <w:ind w:right="1550"/>
              <w:spacing w:after="0"/>
              <w:rPr>
                <w:sz w:val="20"/>
                <w:szCs w:val="20"/>
                <w:color w:val="auto"/>
              </w:rPr>
            </w:pPr>
            <w:r>
              <w:rPr>
                <w:rFonts w:ascii="Arial" w:cs="Arial" w:eastAsia="Arial" w:hAnsi="Arial"/>
                <w:sz w:val="18"/>
                <w:szCs w:val="18"/>
                <w:color w:val="auto"/>
                <w:w w:val="98"/>
              </w:rPr>
              <w:t>Other operating expenses consist of the following:</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154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28,672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58,870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59,252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underwriting expenses of the operating segments</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15,327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32,926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30,121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14,738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51,751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53,036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106,534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101,929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 levels of inputs are used to measure fair value of financial instruments: (1) Level 1: quoted price (unadjusted) in active markets for identical assets,</w:t>
      </w:r>
    </w:p>
    <w:p>
      <w:pPr>
        <w:spacing w:after="0" w:line="46" w:lineRule="exact"/>
        <w:rPr>
          <w:sz w:val="20"/>
          <w:szCs w:val="20"/>
          <w:color w:val="auto"/>
        </w:rPr>
      </w:pPr>
    </w:p>
    <w:p>
      <w:pPr>
        <w:jc w:val="both"/>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2016.</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Assets measured at fair value on a recurring basis as of June 30, 2018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138,373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184,751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184,751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430,345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430,345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169,762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174,442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Obligations of U.S. government corporations and agencies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85,227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85,797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85,227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931,480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1,021,387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64,866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64,866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15,311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68,698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84,009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100,538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1,000,178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1,105,396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Trading securities: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maturity securities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December 31, 2017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144,366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158,661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158,661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413,721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413,721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177,931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182,611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Obligations of U.S. government corporations and agencies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35,847</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78,265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restart"/>
          </w:tcPr>
          <w:p>
            <w:pPr>
              <w:jc w:val="right"/>
              <w:ind w:right="36"/>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78,874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78,265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933,153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66,281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15,507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67,015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93,772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1,000,168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1,098,620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Trading securities: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maturity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35,804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beginning and ending balances of assets and liabilities measured at fair value on a recurring basis using significant unobservable inputs (Level 3) consist of one available-for-sale fixed maturity security with a fair value of $4.7 million, and there was no activity (purchases, sales, transfers) involving Level 3 securities for the six months ended June 30, 2018 and 2017. A market approach using prices in trades of comparable securities was utilized to determine the fair value for this security at June 30, 2018 and December 31, 2017.</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six months ended June 30, 2018 or 2017. The Company recognizes transfers between levels at the beginning of the reporting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realized gains or losses included in earnings for the six months ended June 30, 2018 attributable to the change in unrealized gains or losses relating to Level 3 assets valued at fair value on a recurring basis that are still held at June 30, 2018.</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Active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Bank loan participations held-for-investment that were determined to be impaired were written down to their fair value of $2.2 million at June 30, 2018 and $5.1 million at December 31, 2017.</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2018, there were no investments for which external sources were unavailable to determine fair value. At December 31, 2017, there was one bank loan participation with an unpaid principal balance of $807,000 and a carrying value of zero for which external sources were unavailable to determine fair value.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Available-for-sale: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maturity securities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1,021,387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1,021,387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1,016,098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84,009</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84,009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82,522</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Fixed maturity securities</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3,808</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253,689</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238,214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236,532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267,367</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267,367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163,495</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25,140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36,804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invested assets – notes receivable</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13,250</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18,880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11,778</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debt</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98,300</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97,960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98,300</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97,884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Junior subordinated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104,055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104,055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116,569</w:t>
            </w:r>
          </w:p>
        </w:tc>
        <w:tc>
          <w:tcPr>
            <w:tcW w:w="0" w:type="dxa"/>
            <w:vAlign w:val="bottom"/>
          </w:tcPr>
          <w:p>
            <w:pPr>
              <w:spacing w:after="0"/>
              <w:rPr>
                <w:sz w:val="1"/>
                <w:szCs w:val="1"/>
                <w:color w:val="auto"/>
              </w:rPr>
            </w:pPr>
          </w:p>
        </w:tc>
      </w:tr>
      <w:tr>
        <w:trPr>
          <w:trHeight w:val="675"/>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26</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June 30, 2018 and December 31, 2017 were determined by calculating the present value of expected future cash flows under the terms of the note agreements or debt agreements, as applicable, discounted at an estimated market rate of interest at June 30, 2018 and December 31, 2017,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bank loan participations held-for-investment, senior debt, and junior subordinated debt at June 30, 2018 and December 31, 2017 were determined using inputs to the valuation methodology that are unobservable (Level 3).</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Capital Stock and Equity Awards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221,139 common shares in the six months ended June 30, 2018 with 177,835 new shares related to stock option exercises and 43,304 new shares related to vesting of RSUs. The total common shares outstanding increased from 29,696,682 at December 31, 2017 to 29,917,821 at June 30, 2018.</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six months of 2018 and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Dividend per</w:t>
            </w:r>
          </w:p>
        </w:tc>
        <w:tc>
          <w:tcPr>
            <w:tcW w:w="2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Payable to Shareholders of</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ind w:left="32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Common Share</w:t>
            </w:r>
          </w:p>
        </w:tc>
        <w:tc>
          <w:tcPr>
            <w:tcW w:w="23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Record on</w:t>
            </w:r>
          </w:p>
        </w:tc>
        <w:tc>
          <w:tcPr>
            <w:tcW w:w="188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Payment Date</w:t>
            </w:r>
          </w:p>
        </w:tc>
        <w:tc>
          <w:tcPr>
            <w:tcW w:w="340" w:type="dxa"/>
            <w:vAlign w:val="bottom"/>
          </w:tcPr>
          <w:p>
            <w:pPr>
              <w:spacing w:after="0"/>
              <w:rPr>
                <w:sz w:val="18"/>
                <w:szCs w:val="18"/>
                <w:color w:val="auto"/>
              </w:rPr>
            </w:pPr>
          </w:p>
        </w:tc>
        <w:tc>
          <w:tcPr>
            <w:tcW w:w="1760" w:type="dxa"/>
            <w:vAlign w:val="bottom"/>
          </w:tcPr>
          <w:p>
            <w:pPr>
              <w:ind w:left="220"/>
              <w:spacing w:after="0"/>
              <w:rPr>
                <w:sz w:val="20"/>
                <w:szCs w:val="20"/>
                <w:color w:val="auto"/>
              </w:rPr>
            </w:pPr>
            <w:r>
              <w:rPr>
                <w:rFonts w:ascii="Arial" w:cs="Arial" w:eastAsia="Arial" w:hAnsi="Arial"/>
                <w:sz w:val="16"/>
                <w:szCs w:val="16"/>
                <w:b w:val="1"/>
                <w:bCs w:val="1"/>
                <w:color w:val="auto"/>
              </w:rPr>
              <w:t>Total Amount</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03"/>
        </w:trPr>
        <w:tc>
          <w:tcPr>
            <w:tcW w:w="28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22,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23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March 12, 2018</w:t>
            </w:r>
          </w:p>
        </w:tc>
        <w:tc>
          <w:tcPr>
            <w:tcW w:w="1880" w:type="dxa"/>
            <w:vAlign w:val="bottom"/>
            <w:tcBorders>
              <w:bottom w:val="single" w:sz="8" w:color="CCEEFF"/>
            </w:tcBorders>
            <w:shd w:val="clear" w:color="auto" w:fill="CCEEFF"/>
          </w:tcPr>
          <w:p>
            <w:pPr>
              <w:jc w:val="center"/>
              <w:ind w:right="179"/>
              <w:spacing w:after="0"/>
              <w:rPr>
                <w:sz w:val="20"/>
                <w:szCs w:val="20"/>
                <w:color w:val="auto"/>
              </w:rPr>
            </w:pPr>
            <w:r>
              <w:rPr>
                <w:rFonts w:ascii="Arial" w:cs="Arial" w:eastAsia="Arial" w:hAnsi="Arial"/>
                <w:sz w:val="16"/>
                <w:szCs w:val="16"/>
                <w:color w:val="auto"/>
                <w:w w:val="91"/>
              </w:rPr>
              <w:t>March 30, 2018</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9.0 million</w:t>
            </w:r>
          </w:p>
        </w:tc>
      </w:tr>
      <w:tr>
        <w:trPr>
          <w:trHeight w:val="237"/>
        </w:trPr>
        <w:tc>
          <w:tcPr>
            <w:tcW w:w="2820" w:type="dxa"/>
            <w:vAlign w:val="bottom"/>
            <w:gridSpan w:val="3"/>
          </w:tcPr>
          <w:p>
            <w:pPr>
              <w:ind w:left="40"/>
              <w:spacing w:after="0"/>
              <w:rPr>
                <w:sz w:val="20"/>
                <w:szCs w:val="20"/>
                <w:color w:val="auto"/>
              </w:rPr>
            </w:pPr>
            <w:r>
              <w:rPr>
                <w:rFonts w:ascii="Arial" w:cs="Arial" w:eastAsia="Arial" w:hAnsi="Arial"/>
                <w:sz w:val="16"/>
                <w:szCs w:val="16"/>
                <w:color w:val="auto"/>
              </w:rPr>
              <w:t>May 1, 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2320" w:type="dxa"/>
            <w:vAlign w:val="bottom"/>
          </w:tcPr>
          <w:p>
            <w:pPr>
              <w:jc w:val="center"/>
              <w:ind w:right="59"/>
              <w:spacing w:after="0"/>
              <w:rPr>
                <w:sz w:val="20"/>
                <w:szCs w:val="20"/>
                <w:color w:val="auto"/>
              </w:rPr>
            </w:pPr>
            <w:r>
              <w:rPr>
                <w:rFonts w:ascii="Arial" w:cs="Arial" w:eastAsia="Arial" w:hAnsi="Arial"/>
                <w:sz w:val="16"/>
                <w:szCs w:val="16"/>
                <w:color w:val="auto"/>
                <w:w w:val="88"/>
              </w:rPr>
              <w:t>June 11, 2018</w:t>
            </w:r>
          </w:p>
        </w:tc>
        <w:tc>
          <w:tcPr>
            <w:tcW w:w="1880" w:type="dxa"/>
            <w:vAlign w:val="bottom"/>
          </w:tcPr>
          <w:p>
            <w:pPr>
              <w:jc w:val="center"/>
              <w:ind w:right="179"/>
              <w:spacing w:after="0"/>
              <w:rPr>
                <w:sz w:val="20"/>
                <w:szCs w:val="20"/>
                <w:color w:val="auto"/>
              </w:rPr>
            </w:pPr>
            <w:r>
              <w:rPr>
                <w:rFonts w:ascii="Arial" w:cs="Arial" w:eastAsia="Arial" w:hAnsi="Arial"/>
                <w:sz w:val="16"/>
                <w:szCs w:val="16"/>
                <w:color w:val="auto"/>
                <w:w w:val="88"/>
              </w:rPr>
              <w:t>June 29, 2018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Pr>
          <w:p>
            <w:pPr>
              <w:ind w:left="980"/>
              <w:spacing w:after="0"/>
              <w:rPr>
                <w:sz w:val="20"/>
                <w:szCs w:val="20"/>
                <w:color w:val="auto"/>
              </w:rPr>
            </w:pPr>
            <w:r>
              <w:rPr>
                <w:rFonts w:ascii="Arial" w:cs="Arial" w:eastAsia="Arial" w:hAnsi="Arial"/>
                <w:sz w:val="16"/>
                <w:szCs w:val="16"/>
                <w:color w:val="auto"/>
              </w:rPr>
              <w:t>9.1 million</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2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18.1 million</w:t>
            </w:r>
          </w:p>
        </w:tc>
      </w:tr>
      <w:tr>
        <w:trPr>
          <w:trHeight w:val="324"/>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2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37"/>
        </w:trPr>
        <w:tc>
          <w:tcPr>
            <w:tcW w:w="2820" w:type="dxa"/>
            <w:vAlign w:val="bottom"/>
            <w:gridSpan w:val="3"/>
          </w:tcPr>
          <w:p>
            <w:pPr>
              <w:ind w:left="40"/>
              <w:spacing w:after="0"/>
              <w:rPr>
                <w:sz w:val="20"/>
                <w:szCs w:val="20"/>
                <w:color w:val="auto"/>
              </w:rPr>
            </w:pPr>
            <w:r>
              <w:rPr>
                <w:rFonts w:ascii="Arial" w:cs="Arial" w:eastAsia="Arial" w:hAnsi="Arial"/>
                <w:sz w:val="16"/>
                <w:szCs w:val="16"/>
                <w:color w:val="auto"/>
              </w:rPr>
              <w:t>February 14, 2017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2320" w:type="dxa"/>
            <w:vAlign w:val="bottom"/>
          </w:tcPr>
          <w:p>
            <w:pPr>
              <w:jc w:val="center"/>
              <w:ind w:right="79"/>
              <w:spacing w:after="0"/>
              <w:rPr>
                <w:sz w:val="20"/>
                <w:szCs w:val="20"/>
                <w:color w:val="auto"/>
              </w:rPr>
            </w:pPr>
            <w:r>
              <w:rPr>
                <w:rFonts w:ascii="Arial" w:cs="Arial" w:eastAsia="Arial" w:hAnsi="Arial"/>
                <w:sz w:val="16"/>
                <w:szCs w:val="16"/>
                <w:color w:val="auto"/>
                <w:w w:val="93"/>
              </w:rPr>
              <w:t>March 13, 2017</w:t>
            </w:r>
          </w:p>
        </w:tc>
        <w:tc>
          <w:tcPr>
            <w:tcW w:w="1880" w:type="dxa"/>
            <w:vAlign w:val="bottom"/>
          </w:tcPr>
          <w:p>
            <w:pPr>
              <w:jc w:val="center"/>
              <w:ind w:right="179"/>
              <w:spacing w:after="0"/>
              <w:rPr>
                <w:sz w:val="20"/>
                <w:szCs w:val="20"/>
                <w:color w:val="auto"/>
              </w:rPr>
            </w:pPr>
            <w:r>
              <w:rPr>
                <w:rFonts w:ascii="Arial" w:cs="Arial" w:eastAsia="Arial" w:hAnsi="Arial"/>
                <w:sz w:val="16"/>
                <w:szCs w:val="16"/>
                <w:color w:val="auto"/>
                <w:w w:val="91"/>
              </w:rPr>
              <w:t>March 31, 2017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Pr>
          <w:p>
            <w:pPr>
              <w:ind w:left="980"/>
              <w:spacing w:after="0"/>
              <w:rPr>
                <w:sz w:val="20"/>
                <w:szCs w:val="20"/>
                <w:color w:val="auto"/>
              </w:rPr>
            </w:pPr>
            <w:r>
              <w:rPr>
                <w:rFonts w:ascii="Arial" w:cs="Arial" w:eastAsia="Arial" w:hAnsi="Arial"/>
                <w:sz w:val="16"/>
                <w:szCs w:val="16"/>
                <w:color w:val="auto"/>
              </w:rPr>
              <w:t>8.9 million</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May 2,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232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8"/>
              </w:rPr>
              <w:t>June 12, 2017</w:t>
            </w:r>
          </w:p>
        </w:tc>
        <w:tc>
          <w:tcPr>
            <w:tcW w:w="1880" w:type="dxa"/>
            <w:vAlign w:val="bottom"/>
            <w:tcBorders>
              <w:bottom w:val="single" w:sz="8" w:color="CCEEFF"/>
            </w:tcBorders>
            <w:shd w:val="clear" w:color="auto" w:fill="CCEEFF"/>
          </w:tcPr>
          <w:p>
            <w:pPr>
              <w:jc w:val="center"/>
              <w:ind w:right="179"/>
              <w:spacing w:after="0"/>
              <w:rPr>
                <w:sz w:val="20"/>
                <w:szCs w:val="20"/>
                <w:color w:val="auto"/>
              </w:rPr>
            </w:pPr>
            <w:r>
              <w:rPr>
                <w:rFonts w:ascii="Arial" w:cs="Arial" w:eastAsia="Arial" w:hAnsi="Arial"/>
                <w:sz w:val="16"/>
                <w:szCs w:val="16"/>
                <w:color w:val="auto"/>
                <w:w w:val="88"/>
              </w:rPr>
              <w:t>June 30, 2017</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8.9 million</w:t>
            </w:r>
          </w:p>
        </w:tc>
      </w:tr>
      <w:tr>
        <w:trPr>
          <w:trHeight w:val="21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0.60</w:t>
            </w:r>
          </w:p>
        </w:tc>
        <w:tc>
          <w:tcPr>
            <w:tcW w:w="2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ind w:left="900"/>
              <w:spacing w:after="0"/>
              <w:rPr>
                <w:sz w:val="20"/>
                <w:szCs w:val="20"/>
                <w:color w:val="auto"/>
              </w:rPr>
            </w:pPr>
            <w:r>
              <w:rPr>
                <w:rFonts w:ascii="Arial" w:cs="Arial" w:eastAsia="Arial" w:hAnsi="Arial"/>
                <w:sz w:val="16"/>
                <w:szCs w:val="16"/>
                <w:color w:val="auto"/>
              </w:rPr>
              <w:t>17.8 million</w:t>
            </w:r>
          </w:p>
        </w:tc>
      </w:tr>
    </w:tbl>
    <w:p>
      <w:pPr>
        <w:spacing w:after="0" w:line="181"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Included in the total dividends for the six months ended June 30, 2018 and 2017 are $197,000 and $154,000 of dividend equivalents on RSUs, respectively. The balance of dividends payable was $500,870 at June 30, 2018 and $434,000 at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June 30, 2018, 1,692,615 shares are available for grant.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50,000, and at June 30, 2018, 21,663 shares are available for grant.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option activity for the six months ended June 30,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1,479,236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2,234,699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205,244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(255,609)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(443,114)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1,194,181</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1,946,767</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876,816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992,395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of the outstanding options vest over two to four years and have a contractual life of seven years from the original date of grant. All of the outstanding options have an exercise price greater than or equal to the fair value of the underlying shares at the date of grant. The weighted-average remaining contractual life of the options outstanding and options exercisable was 4.1 years and 3.8 years,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RSU activity for the six months ended June 30, 2018 and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196,800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214,907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119,312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(63,191)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(39,113)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326,144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257,256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32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r>
      <w:tr>
        <w:trPr>
          <w:trHeight w:val="192"/>
        </w:trPr>
        <w:tc>
          <w:tcPr>
            <w:tcW w:w="5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3"/>
              </w:rPr>
              <w:t>2017</w:t>
            </w:r>
          </w:p>
        </w:tc>
      </w:tr>
      <w:tr>
        <w:trPr>
          <w:trHeight w:val="196"/>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based compensation expense</w:t>
            </w: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88"/>
              </w:rPr>
              <w:t>1,660</w:t>
            </w:r>
          </w:p>
        </w:tc>
        <w:tc>
          <w:tcPr>
            <w:tcW w:w="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8"/>
              </w:rPr>
              <w:t>1,784</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3,115</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U.S. tax benefit on share based compensation expense</w:t>
            </w:r>
          </w:p>
        </w:tc>
        <w:tc>
          <w:tcPr>
            <w:tcW w:w="840" w:type="dxa"/>
            <w:vAlign w:val="bottom"/>
          </w:tcPr>
          <w:p>
            <w:pPr>
              <w:spacing w:after="0"/>
              <w:rPr>
                <w:sz w:val="21"/>
                <w:szCs w:val="21"/>
                <w:color w:val="auto"/>
              </w:rPr>
            </w:pP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198</w:t>
            </w:r>
          </w:p>
        </w:tc>
        <w:tc>
          <w:tcPr>
            <w:tcW w:w="920" w:type="dxa"/>
            <w:vAlign w:val="bottom"/>
          </w:tcPr>
          <w:p>
            <w:pPr>
              <w:spacing w:after="0"/>
              <w:rPr>
                <w:sz w:val="21"/>
                <w:szCs w:val="21"/>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477</w:t>
            </w:r>
          </w:p>
        </w:tc>
        <w:tc>
          <w:tcPr>
            <w:tcW w:w="5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371</w:t>
            </w:r>
          </w:p>
        </w:tc>
        <w:tc>
          <w:tcPr>
            <w:tcW w:w="6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946</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2018, the Company had $11.9 million of unrecognized share based compensation expense expected to be charged to earnings over a weighted-average period of 2.1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July 31, 2018, the Board of Directors declared a cash dividend of $0.30 per common share. The dividend is payable on September 28, 2018 to shareholders of record on September 10,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or “Quarterly Report”, and Part I, Item 1A “Risk Factors” in our Annual Report on Form 10-K for the year ended December 31, 2017. The results of operations for the three and six months ended June 30, 2018 are not necessarily indicative of the results that may be expected for the full year ending December 31, 2018,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2017.</w:t>
      </w:r>
    </w:p>
    <w:p>
      <w:pPr>
        <w:spacing w:after="0" w:line="59" w:lineRule="exact"/>
        <w:rPr>
          <w:sz w:val="20"/>
          <w:szCs w:val="20"/>
          <w:color w:val="auto"/>
        </w:rPr>
      </w:pPr>
    </w:p>
    <w:p>
      <w:pPr>
        <w:jc w:val="both"/>
        <w:ind w:firstLine="396"/>
        <w:spacing w:after="0" w:line="312"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underwriting profit for the three and six months ended June 30, 2018 was $5.5 million and $12.8 million, respectively. In the prior year, for the same periods, we had an underwriting profit of $4.2 million and $8.4 million,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right="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and infrastructure. This segment has admitted licenses in 49 states and the District of Columbia;</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Casualty Reinsurance segment primarily provides proportional and working layer casualty reinsurance to third parties (primarily through reinsurance intermediaries) and to our U.S.-based insurance subsidiaries (primarily through quota share reinsurance), through JRG Reinsurance Company Ltd. (“JRG Re”), a Bermuda-based reinsurance company. In addition, Carolina Re Ltd (“Carolina Re”) was formed in 2018 to provide reinsurance to the Company's U.S. based insurance subsidiaries; and</w:t>
      </w:r>
    </w:p>
    <w:p>
      <w:pPr>
        <w:spacing w:after="0" w:line="78"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right="2020" w:firstLine="324"/>
        <w:spacing w:after="0" w:line="375"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most critical accounting policies involve significant estimates and include those used in determining the reserve for losses and loss adjustment expenses, investment valuation and impairment, goodwill and intangible assets, and assumed reinsurance premiums. For a detailed discussion of each of these policies, refer to our Annual Report on Form 10-K for the year ended December 31, 2017. There have been no significant changes to any of these policies during the current year.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for the three and six months ended June 30,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220" w:type="dxa"/>
            <w:vAlign w:val="bottom"/>
            <w:gridSpan w:val="2"/>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3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293,378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281,475</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4.2 %</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591,494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505,654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17.0 %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3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188,606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207,824</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(9.2)%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399,584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365,734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9.3 %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208,210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184,077</w:t>
            </w:r>
          </w:p>
        </w:tc>
        <w:tc>
          <w:tcPr>
            <w:tcW w:w="1300" w:type="dxa"/>
            <w:vAlign w:val="bottom"/>
          </w:tcPr>
          <w:p>
            <w:pPr>
              <w:jc w:val="right"/>
              <w:ind w:right="53"/>
              <w:spacing w:after="0"/>
              <w:rPr>
                <w:sz w:val="20"/>
                <w:szCs w:val="20"/>
                <w:color w:val="auto"/>
              </w:rPr>
            </w:pPr>
            <w:r>
              <w:rPr>
                <w:rFonts w:ascii="Arial" w:cs="Arial" w:eastAsia="Arial" w:hAnsi="Arial"/>
                <w:sz w:val="18"/>
                <w:szCs w:val="18"/>
                <w:i w:val="1"/>
                <w:iCs w:val="1"/>
                <w:color w:val="auto"/>
              </w:rPr>
              <w:t>13.1 %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409,152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338,764</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20.8 %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Losses and loss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(131,084)</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17.9 %</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(298,367)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(236,453)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26.2 %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(48,088)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(48,829)</w:t>
            </w:r>
          </w:p>
        </w:tc>
        <w:tc>
          <w:tcPr>
            <w:tcW w:w="1300" w:type="dxa"/>
            <w:vAlign w:val="bottom"/>
          </w:tcPr>
          <w:p>
            <w:pPr>
              <w:jc w:val="right"/>
              <w:ind w:right="53"/>
              <w:spacing w:after="0"/>
              <w:rPr>
                <w:sz w:val="20"/>
                <w:szCs w:val="20"/>
                <w:color w:val="auto"/>
              </w:rPr>
            </w:pPr>
            <w:r>
              <w:rPr>
                <w:rFonts w:ascii="Arial" w:cs="Arial" w:eastAsia="Arial" w:hAnsi="Arial"/>
                <w:sz w:val="18"/>
                <w:szCs w:val="18"/>
                <w:i w:val="1"/>
                <w:iCs w:val="1"/>
                <w:color w:val="auto"/>
              </w:rPr>
              <w:t>(1.5)%</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(98,023)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(93,873)</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4.4 %</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(2), (3)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4,164</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32.7 %</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12,762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8,438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51.2 %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13,714</w:t>
            </w:r>
          </w:p>
        </w:tc>
        <w:tc>
          <w:tcPr>
            <w:tcW w:w="1300" w:type="dxa"/>
            <w:vAlign w:val="bottom"/>
          </w:tcPr>
          <w:p>
            <w:pPr>
              <w:jc w:val="right"/>
              <w:ind w:right="53"/>
              <w:spacing w:after="0"/>
              <w:rPr>
                <w:sz w:val="20"/>
                <w:szCs w:val="20"/>
                <w:color w:val="auto"/>
              </w:rPr>
            </w:pPr>
            <w:r>
              <w:rPr>
                <w:rFonts w:ascii="Arial" w:cs="Arial" w:eastAsia="Arial" w:hAnsi="Arial"/>
                <w:sz w:val="18"/>
                <w:szCs w:val="18"/>
                <w:i w:val="1"/>
                <w:iCs w:val="1"/>
                <w:color w:val="auto"/>
              </w:rPr>
              <w:t>17.7 %</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29,391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30,447</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(3.5)%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Net realized and unrealized (losses) gains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investments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307</w:t>
            </w:r>
          </w:p>
        </w:tc>
        <w:tc>
          <w:tcPr>
            <w:tcW w:w="1300" w:type="dxa"/>
            <w:vAlign w:val="bottom"/>
            <w:vMerge w:val="continue"/>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34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(257)</w:t>
            </w:r>
          </w:p>
        </w:tc>
        <w:tc>
          <w:tcPr>
            <w:tcW w:w="1300" w:type="dxa"/>
            <w:vAlign w:val="bottom"/>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(2,224)</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32.5 %</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25.8 %</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(149)</w:t>
            </w:r>
          </w:p>
        </w:tc>
        <w:tc>
          <w:tcPr>
            <w:tcW w:w="1300" w:type="dxa"/>
            <w:vAlign w:val="bottom"/>
            <w:tcBorders>
              <w:bottom w:val="single" w:sz="8" w:color="CCEEFF"/>
            </w:tcBorders>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15,555</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19.0 %</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35,621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35,537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1,014</w:t>
            </w:r>
          </w:p>
        </w:tc>
        <w:tc>
          <w:tcPr>
            <w:tcW w:w="1300" w:type="dxa"/>
            <w:vAlign w:val="bottom"/>
          </w:tcPr>
          <w:p>
            <w:pPr>
              <w:jc w:val="right"/>
              <w:ind w:right="53"/>
              <w:spacing w:after="0"/>
              <w:rPr>
                <w:sz w:val="20"/>
                <w:szCs w:val="20"/>
                <w:color w:val="auto"/>
              </w:rPr>
            </w:pPr>
            <w:r>
              <w:rPr>
                <w:rFonts w:ascii="Arial" w:cs="Arial" w:eastAsia="Arial" w:hAnsi="Arial"/>
                <w:sz w:val="18"/>
                <w:szCs w:val="18"/>
                <w:i w:val="1"/>
                <w:iCs w:val="1"/>
                <w:color w:val="auto"/>
              </w:rPr>
              <w:t>50.2 %</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2,546</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18.0 %</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16,984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14,541</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16.8 %</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32,617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32,991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17,569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14,864</w:t>
            </w:r>
          </w:p>
        </w:tc>
        <w:tc>
          <w:tcPr>
            <w:tcW w:w="1300" w:type="dxa"/>
            <w:vAlign w:val="bottom"/>
            <w:tcBorders>
              <w:bottom w:val="single" w:sz="8" w:color="CCEEFF"/>
            </w:tcBorders>
          </w:tcPr>
          <w:p>
            <w:pPr>
              <w:jc w:val="right"/>
              <w:ind w:right="53"/>
              <w:spacing w:after="0"/>
              <w:rPr>
                <w:sz w:val="20"/>
                <w:szCs w:val="20"/>
                <w:color w:val="auto"/>
              </w:rPr>
            </w:pPr>
            <w:r>
              <w:rPr>
                <w:rFonts w:ascii="Arial" w:cs="Arial" w:eastAsia="Arial" w:hAnsi="Arial"/>
                <w:sz w:val="18"/>
                <w:szCs w:val="18"/>
                <w:i w:val="1"/>
                <w:iCs w:val="1"/>
                <w:color w:val="auto"/>
              </w:rPr>
              <w:t>18.2 %</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34,138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32,583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4.8 %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62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8"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six months ended June 30, 2018 is gross fee income of $7.4 million and $15.6 million, respectively ($6.9 million and $12.8 million for the same periods in the prior year).</w:t>
      </w:r>
    </w:p>
    <w:p>
      <w:pPr>
        <w:spacing w:after="0" w:line="8" w:lineRule="exact"/>
        <w:rPr>
          <w:rFonts w:ascii="Arial" w:cs="Arial" w:eastAsia="Arial" w:hAnsi="Arial"/>
          <w:sz w:val="18"/>
          <w:szCs w:val="18"/>
          <w:i w:val="1"/>
          <w:iCs w:val="1"/>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and 2017</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had an underwriting profit of $5.5 million for the three months ended June 30, 2018. This compares to an underwriting profit of $4.2 million for the same period in the prior year.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results for the three months ended June 30, 2018 and 2017 include certain non-operating items that are significant to the Company. These items (on a pre-tax basis) include:</w:t>
      </w:r>
    </w:p>
    <w:p>
      <w:pPr>
        <w:spacing w:after="0" w:line="6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realized and unrealized investment losses of $64,000 and net realized investment gains of $307,000 for the three months ended June 30, 2018 and 2017, respectively. See “— Investing Results" for more information on these realized investment losses and gains.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of $457,000 and $313,000 for the three months ended June 30, 2018 and 2017, respectively, relating to finance expenses in connection with a minority interest in a real estate partnership pursuant to which we are deemed an owner for accounting purposes. The debt is nonrecourse to us and was not arranged by us.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define adjusted net operating income as net income excluding certain non-operating expenses such as net realized and unrealized gains and losses on investments, expenses related to due diligence costs for various merger and acquisition activities, professional service fees related to the filing of registration statements for the offering of securities, severance costs associated</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terminated employees, and interest and other income and expenses on a leased building that we are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income before taxes and net income for the three months ended June 30, 2018 and 2017 reconcile to our adjusted net operating income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16,984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losses (gains)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8"/>
              </w:rPr>
              <w:t>Interest expense on leased building the Company is deemed to own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17,569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combined ratio for the three months ended June 30, 2018 was 97.3%. The combined ratio is a measure of underwriting performance and represents the relationship of incurred losses, loss adjustment expenses and other operating expenses to net earned premiums. A combined ratio of less than 100% indicates an underwriting profit, while a combined ratio greater than 100% reflects an underwriting loss. The combined ratio for the three months ended June 30, 2018 includes $2.2 million, or 1.1 percentage points, of net adverse reserve development on prior accident years, including $58,000 of net favorable reserve development from the Excess and Surplus Lines segment, $167,000 of net favorable reserve development from the Specialty Admitted Insurance segment, and $2.4 million of net adverse reserve development from the Casualty Reinsurance segment.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three months ended June 30, 2017 was 97.7%. The combined ratio included $1.7 million, or 0.9 percentage points, of net adverse reserve development on prior accident years, including $1.4 million of net favorable reserve development from the Excess and Surplus Lines segment, $949,000 of net adverse reserve development from the Specialty Admitted Insurance segment, and $2.2 million of net adverse reserve development from the Casualty Reinsurance segment.</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expense ratio improved from 26.5% for the three months ended June 30, 2017 to 23.1% for the three months ended June 30, 2018. The improvement is due to a 18.6% increase in the net earned premiums of the Excess and Surplus Lines segment and an increase in gross fee income for the Company as a whole. Our Excess and Surplus Lines segment has significant scale and produces a lower expense ratio than our other operating segments. The Excess and Surplus Lines segment is our largest segment and makes up 66.8% of consolidated net earned premiums for the three months ended June 30, 2018. Gross fee income for the Company increased from $6.9 million for the three months ended June 30, 2017 to $7.4 million for the three months ended June 30, 2018.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and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had an underwriting profit of $12.8 million for the six months ended June 30, 2018. This compares to an underwriting profit of $8.4 million for the same period in the prior year.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six months ended June 30, 2018 and 2017 include certain non-operating items that are significant to the Company. These items (on a pre-tax basis) include:</w:t>
      </w:r>
    </w:p>
    <w:p>
      <w:pPr>
        <w:spacing w:after="0" w:line="62"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realized and unrealized investment losses of $874,000 and net realized investment gains of $1.4 million for the six months ended June 30, 2018 and 2017, respectively. See “— Investing Results" for more information on these realized investment losses and gains.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expense of $775,000 and $625,000 for the six months ended June 30, 2018 and 2017, respectively, relating to finance expenses in connection with a minority interest in a real estate partnership pursuant to which we are deemed an owner for accounting purposes. The debt is nonrecourse to us and was not arranged by us.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income before taxes and net income for the six months ended June 30, 2018 and 2017 reconcile to our adjusted net operating income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640"/>
              <w:spacing w:after="0"/>
              <w:rPr>
                <w:sz w:val="20"/>
                <w:szCs w:val="20"/>
                <w:color w:val="auto"/>
              </w:rPr>
            </w:pPr>
            <w:r>
              <w:rPr>
                <w:rFonts w:ascii="Arial" w:cs="Arial" w:eastAsia="Arial" w:hAnsi="Arial"/>
                <w:sz w:val="14"/>
                <w:szCs w:val="14"/>
                <w:b w:val="1"/>
                <w:bCs w:val="1"/>
                <w:i w:val="1"/>
                <w:iCs w:val="1"/>
                <w:color w:val="auto"/>
                <w:w w:val="88"/>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32,617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losses (gains)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8"/>
              </w:rPr>
              <w:t>Interest expense on leased building the Company is deemed to own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37,367</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34,138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32,583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combined ratio for the six months ended June 30, 2018 was 96.9%. The combined ratio for the six months ended June 30, 2018 includes $386,000, or 0.1 percentage points, of net favorable reserve development on prior accident years, including $1.2 million of net favorable reserve development from the Excess and Surplus Lines segment, $1.5 million of net favorable reserve development from the Specialty Admitted Insurance segment, and $2.3 million of net adverse reserve development from the Casualty Reinsurance segment.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six months ended June 30, 2017 was 97.5%. The combined ratio included $1.7 million, or 0.5 percentage points, of net favorable reserve development on prior accident years, including $4.7 million of net favorable reserve development from the Excess and Surplus Lines segment, $907,000 of net adverse reserve development from the Specialty Admitted Insurance segment, and $2.1 million of net adverse reserve development from the Casualty Reinsurance segment.</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expense ratio improved from 27.7% for the six months ended June 30, 2017 to 24.0% for the six months ended June 30, 2018. The improvement is due to a 27.5% increase in the net earned premiums of the Excess and Surplus Lines segment and an increase in gross fee income for the Company as a whole. Our Excess and Surplus Lines segment has significant scale and produces a lower expense ratio than our other operating segments. The Excess and Surplus Lines segment is our largest segment and makes up 65.8% of consolidated net earned premiums for the six months ended June 30, 2018. Gross fee income for the Company increased from $12.8 million for the six months ended June 30, 2017 to $15.6 million for the six months ended June 30, 2018.</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prior periods ceded 70% of their premiums and losses to JRG Re, and starting January 1, 2018, ceded 70% of their premiums and losses to Carolina Re, an Internal Revenue Code of 1986, as amended (the “Code”), Section 953(d) U.S. tax paying entity domiciled in Bermuda.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Insurance premiums are earned ratably over the terms of our insurance policies, generally twelve months. Reinsurance premiums assumed are earned over the terms of the underlying policies or reinsurance contracts. Contracts and policies written on a “losses occurring” basis cover claims that may occur during the term of the contract or policy, which is typically twelve months.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jc w:val="center"/>
              <w:ind w:left="34"/>
              <w:spacing w:after="0"/>
              <w:rPr>
                <w:sz w:val="20"/>
                <w:szCs w:val="20"/>
                <w:color w:val="auto"/>
              </w:rPr>
            </w:pPr>
            <w:r>
              <w:rPr>
                <w:rFonts w:ascii="Arial" w:cs="Arial" w:eastAsia="Arial" w:hAnsi="Arial"/>
                <w:sz w:val="14"/>
                <w:szCs w:val="14"/>
                <w:b w:val="1"/>
                <w:bCs w:val="1"/>
                <w:i w:val="1"/>
                <w:iCs w:val="1"/>
                <w:color w:val="auto"/>
                <w:w w:val="88"/>
              </w:rPr>
              <w:t>($ in thousands)</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165,398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138,004</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19.9 %</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332,884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246,999</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34.8 %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76,771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26.5 %</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149,235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23.6 %</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66,700</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(53.7)%</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74,109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109,420</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(32.3)%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293,378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281,475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4.2 %</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591,494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505,654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17.0 %</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8"/>
                <w:szCs w:val="18"/>
                <w:color w:val="auto"/>
              </w:rPr>
              <w:t>Net written premiums: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124,197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15.3 %</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221,168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34.4 %</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14,487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16,900</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(14.3)%</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34,959</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(19.0)%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66,727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(53.7)%</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74,113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109,607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(32.4)%</w:t>
            </w:r>
          </w:p>
        </w:tc>
        <w:tc>
          <w:tcPr>
            <w:tcW w:w="0" w:type="dxa"/>
            <w:vAlign w:val="bottom"/>
          </w:tcPr>
          <w:p>
            <w:pPr>
              <w:spacing w:after="0"/>
              <w:rPr>
                <w:sz w:val="1"/>
                <w:szCs w:val="1"/>
                <w:color w:val="auto"/>
              </w:rPr>
            </w:pPr>
          </w:p>
        </w:tc>
      </w:tr>
      <w:tr>
        <w:trPr>
          <w:trHeight w:val="297"/>
        </w:trPr>
        <w:tc>
          <w:tcPr>
            <w:tcW w:w="40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188,606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207,824</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(9.2)%</w:t>
            </w:r>
          </w:p>
        </w:tc>
        <w:tc>
          <w:tcPr>
            <w:tcW w:w="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399,584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365,734</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9.3 %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139,127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117,268</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18.6 %</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269,098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211,117</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27.5 %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(19.7)%</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34,013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(18.8)%</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54,817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49,049</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11.8 %</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112,448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93,634</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20.1 %</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208,210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184,077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13.1 %</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409,152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338,764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20.8 %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written premiums for the Excess and Surplus Lines segment (which represents 56.3% of our consolidated gross written premiums in the first six months of 2018) increased 19.9% and 34.8% over the corresponding three and six month periods in the prior year. Excluding commercial auto policies, gross written premiums increased 15.3% and 24.6% over the corresponding three and six month periods in the prior year. Policy submissions excluding commercial auto policies were 9.0% higher and 9.5% more policies were bound in the six months ended June 30, 2018 than in the six months ended June 30, 2017. Rates for the Excess and Surplus Lines segment were up compared to the six months ended June 30, 2017. The change in gross written premiums compared to the same period in 2017 was most notable in our Commercial Auto, Manufacturers and Contractors, General Casualty, Excess Casualty, Allied Health, and Energy divisions as shown below:</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0" w:type="dxa"/>
            <w:vAlign w:val="bottom"/>
            <w:gridSpan w:val="5"/>
          </w:tcPr>
          <w:p>
            <w:pPr>
              <w:ind w:left="8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64,915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25.0 %</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158,339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106,965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Manufacturers &amp; Contractors</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22,034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22,896</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39,634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44,955</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Casualty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64.6 %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Excess Casualty</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14,870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10,406</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42.9 %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24,666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19,920</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23.8 %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Allied Health</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110.6 %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7,017</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18,127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12,872</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40.8 %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divisions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20.0 %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32,110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16.2 %</w:t>
            </w:r>
          </w:p>
        </w:tc>
        <w:tc>
          <w:tcPr>
            <w:tcW w:w="0" w:type="dxa"/>
            <w:vAlign w:val="bottom"/>
          </w:tcPr>
          <w:p>
            <w:pPr>
              <w:spacing w:after="0"/>
              <w:rPr>
                <w:sz w:val="1"/>
                <w:szCs w:val="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Excess and Surplus Lines gross written premium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165,398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138,004</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19.9 %</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332,884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246,999</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34.8 %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532"/>
              <w:spacing w:after="0"/>
              <w:rPr>
                <w:sz w:val="20"/>
                <w:szCs w:val="20"/>
                <w:color w:val="auto"/>
              </w:rPr>
            </w:pPr>
            <w:r>
              <w:rPr>
                <w:rFonts w:ascii="Arial" w:cs="Arial" w:eastAsia="Arial" w:hAnsi="Arial"/>
                <w:sz w:val="18"/>
                <w:szCs w:val="18"/>
                <w:color w:val="auto"/>
                <w:w w:val="99"/>
              </w:rPr>
              <w:t>34</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Commercial Auto division is focused on underwriting the hired and non-owned auto liability exposures for a variety of industry segments with a particular niche for insuring organizations that operate networks connecting independent contractors with customers.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31.2% of our consolidated gross written premiums for the six months ended June 30, 2018)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Individual risk workers’ compensation premium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12,808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9,774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25,395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21,573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Fronting and program premium</w:t>
            </w:r>
          </w:p>
        </w:tc>
        <w:tc>
          <w:tcPr>
            <w:tcW w:w="260" w:type="dxa"/>
            <w:vAlign w:val="bottom"/>
          </w:tcPr>
          <w:p>
            <w:pPr>
              <w:spacing w:after="0"/>
              <w:rPr>
                <w:sz w:val="21"/>
                <w:szCs w:val="21"/>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rPr>
              <w:t>84,292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66,997</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159,106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127,662</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24.6%</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gross written premium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97,100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76,771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184,501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149,235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Individual risk workers’ compensation premium growth was driven by exposure growth from higher payrolls of our insureds in a strong economy and increased submission flow.</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premium growth in our fronting and program business was driven by growth in the gross written premium from our largest agency relationship, which produced $106.7 million of gross written premium for the six months ended June 30, 2018, up from $76.7 million for the six months ended June 30, 2017.</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significant portion of the fronting business is ceded to third party reinsurers. As a result, our fronting net written premium for this segment increased by less than our gross written premiums, increasing 2.7% and 4.9% for the three and six months ended June 30, 2018, respectively.</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written premiums for the Casualty Reinsurance segment (which represents 12.5% of our consolidated gross written premiums in the first six months of 2018) decreased 53.7% and 32.3% from the corresponding three and six month periods in the prior year. The reduction in gross written premium in this segment was in line with our expectations and consistent with our planned reductions for the Casualty Reinsurance segment as we redeploy our capital to where we believe we can make the highest operating returns on tangible equity.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2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w:t>
            </w:r>
          </w:p>
        </w:tc>
      </w:tr>
    </w:tbl>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net premium retention for the Specialty Admitted Insurance segment decreased from 2017 to 2018 as a result of growth in the segment's fronting business, which generally has much lower net premium retention than our workers’ compensation business. Fronting gross written premium grew 25.8% and 24.6% for the three and six months ended June 30, 2018 compared to the corresponding period in the prior year. For the three and six months ended June 30, 2018, the net retention on the segment’s fronting business was 9.9% and 10.2%, respectively (12.1% in both the three and six months ended June 30, 2017, respectively), while the net retention on the workers’ compensation business was 48.0% and 47.4%, respectively (89.9% and 90.2% in the three and six months ended June 30, 2017, respectively). The significant decline in the net retention from the prior year on the workers' compensation business is due to the 50% third-party quota share reinsurance coverage purchased in this business effective October 1, 2017.</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060" w:type="dxa"/>
            <w:vAlign w:val="bottom"/>
            <w:gridSpan w:val="3"/>
          </w:tcPr>
          <w:p>
            <w:pPr>
              <w:ind w:left="920"/>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92"/>
        </w:trPr>
        <w:tc>
          <w:tcPr>
            <w:tcW w:w="5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1420" w:type="dxa"/>
            <w:vAlign w:val="bottom"/>
          </w:tcPr>
          <w:p>
            <w:pPr>
              <w:ind w:left="920"/>
              <w:spacing w:after="0"/>
              <w:rPr>
                <w:sz w:val="20"/>
                <w:szCs w:val="20"/>
                <w:color w:val="auto"/>
              </w:rPr>
            </w:pPr>
            <w:r>
              <w:rPr>
                <w:rFonts w:ascii="Arial" w:cs="Arial" w:eastAsia="Arial" w:hAnsi="Arial"/>
                <w:sz w:val="18"/>
                <w:szCs w:val="18"/>
                <w:color w:val="auto"/>
                <w:w w:val="93"/>
              </w:rPr>
              <w:t>90.5%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1420" w:type="dxa"/>
            <w:vAlign w:val="bottom"/>
          </w:tcPr>
          <w:p>
            <w:pPr>
              <w:ind w:left="920"/>
              <w:spacing w:after="0"/>
              <w:rPr>
                <w:sz w:val="20"/>
                <w:szCs w:val="20"/>
                <w:color w:val="auto"/>
              </w:rPr>
            </w:pPr>
            <w:r>
              <w:rPr>
                <w:rFonts w:ascii="Arial" w:cs="Arial" w:eastAsia="Arial" w:hAnsi="Arial"/>
                <w:sz w:val="18"/>
                <w:szCs w:val="18"/>
                <w:color w:val="auto"/>
                <w:w w:val="93"/>
              </w:rPr>
              <w:t>96.9%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20" w:type="dxa"/>
            <w:vAlign w:val="bottom"/>
            <w:gridSpan w:val="4"/>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165,398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138,004</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i w:val="1"/>
                <w:iCs w:val="1"/>
                <w:color w:val="auto"/>
              </w:rPr>
              <w:t>19.9 %</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332,884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246,999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34.8 %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143,235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124,197</w:t>
            </w:r>
          </w:p>
        </w:tc>
        <w:tc>
          <w:tcPr>
            <w:tcW w:w="1440" w:type="dxa"/>
            <w:vAlign w:val="bottom"/>
            <w:tcBorders>
              <w:bottom w:val="single" w:sz="8" w:color="CCEEFF"/>
            </w:tcBorders>
          </w:tcPr>
          <w:p>
            <w:pPr>
              <w:jc w:val="right"/>
              <w:ind w:right="76"/>
              <w:spacing w:after="0"/>
              <w:rPr>
                <w:sz w:val="20"/>
                <w:szCs w:val="20"/>
                <w:color w:val="auto"/>
              </w:rPr>
            </w:pPr>
            <w:r>
              <w:rPr>
                <w:rFonts w:ascii="Arial" w:cs="Arial" w:eastAsia="Arial" w:hAnsi="Arial"/>
                <w:sz w:val="18"/>
                <w:szCs w:val="18"/>
                <w:i w:val="1"/>
                <w:iCs w:val="1"/>
                <w:color w:val="auto"/>
              </w:rPr>
              <w:t>15.3 %</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297,166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221,168</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34.4 %</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139,127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117,268</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i w:val="1"/>
                <w:iCs w:val="1"/>
                <w:color w:val="auto"/>
              </w:rPr>
              <w:t>18.6 %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269,098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211,117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27.5 %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(109,607)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(86,521)</w:t>
            </w:r>
          </w:p>
        </w:tc>
        <w:tc>
          <w:tcPr>
            <w:tcW w:w="1440" w:type="dxa"/>
            <w:vAlign w:val="bottom"/>
          </w:tcPr>
          <w:p>
            <w:pPr>
              <w:jc w:val="right"/>
              <w:ind w:right="76"/>
              <w:spacing w:after="0"/>
              <w:rPr>
                <w:sz w:val="20"/>
                <w:szCs w:val="20"/>
                <w:color w:val="auto"/>
              </w:rPr>
            </w:pPr>
            <w:r>
              <w:rPr>
                <w:rFonts w:ascii="Arial" w:cs="Arial" w:eastAsia="Arial" w:hAnsi="Arial"/>
                <w:sz w:val="18"/>
                <w:szCs w:val="18"/>
                <w:i w:val="1"/>
                <w:iCs w:val="1"/>
                <w:color w:val="auto"/>
              </w:rPr>
              <w:t>26.7 %</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(210,226)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w w:val="95"/>
              </w:rPr>
              <w:t>(153,089)</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37.3 %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(19,018)</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i w:val="1"/>
                <w:iCs w:val="1"/>
                <w:color w:val="auto"/>
              </w:rPr>
              <w:t>2.0 %</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(37,499)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10,117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11,729</w:t>
            </w:r>
          </w:p>
        </w:tc>
        <w:tc>
          <w:tcPr>
            <w:tcW w:w="144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(13.7)%</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21,416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20,529</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4.3 %</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w:t>
            </w: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160" w:hanging="328"/>
        <w:spacing w:after="0" w:line="261"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$3.7 million and $8.5 million for the three and six months ended June 30, 2018, respectively ($4.2 million and $8.1 million for the same periods in the prior year).</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78.8% and 78.1% for the three and six months ended June 30, 2018 includes $58,000 and $1.2 million (0.0 and 0.4 percentage points), respectively, of net favorable development in our loss estimates for prior accident years. The loss ratio of 73.8% and 72.5% for the three and six months ended June 30, 2017 includes $1.4 million and $4.7 million (1.2 and 2.2 percentage points), respectively, in net favorable reserve development in our loss estimates for prior accident years.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expense ratio for this segment declined from 16.2% and 17.8% for the three and six months ended June 30, 2017 to 13.9% for both the three and six months ended June 30, 2018. The decrease in the expense ratio is attributable to the increase in net earned premium of 18.6% and 27.5% for the three and six months ended June 30, 2018, respectively, without a proportional increase in the total amount of operating expenses. Gross fee income contributed to a reduction in the expense ratio of 2.6 and 3.2 percentage points for the three and six months ended June 30, 2018, respectively (3.6 and 3.8 percentage points for the same periods in the prior year).</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reduced expense ratio and higher loss ratio in this segment is due to the increase in commercial auto premium as a percentage of the Excess and Surplus Lines segment’s total premium. Our commercial auto business has a lower expense ratio and higher loss ratio than the other underwriting divisions in the segment. Commercial auto made up 57.3% and 57.0% of the segment’s net earned premiums for the three and six months ended June 30, 2018, respectively (53.6% and 50.2% for the same periods in the prior year).</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decreased 13.7% and increased 4.3% from $11.7 million and $20.5 million for the three and six months ended June 30, 2017, respectively, to $10.1 million and $21.4 million for the three and six months ended June 30,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2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20" w:type="dxa"/>
            <w:vAlign w:val="bottom"/>
            <w:gridSpan w:val="4"/>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97,100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76,771</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i w:val="1"/>
                <w:iCs w:val="1"/>
                <w:color w:val="auto"/>
              </w:rPr>
              <w:t>26.5 %</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184,501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149,235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14,487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16,900</w:t>
            </w:r>
          </w:p>
        </w:tc>
        <w:tc>
          <w:tcPr>
            <w:tcW w:w="144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(14.3)%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28,305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34,959</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(19.0)%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14,266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17,760</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(19.7)%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27,606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34,013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(11,867)</w:t>
            </w:r>
          </w:p>
        </w:tc>
        <w:tc>
          <w:tcPr>
            <w:tcW w:w="1440" w:type="dxa"/>
            <w:vAlign w:val="bottom"/>
          </w:tcPr>
          <w:p>
            <w:pPr>
              <w:jc w:val="right"/>
              <w:ind w:right="56"/>
              <w:spacing w:after="0"/>
              <w:rPr>
                <w:sz w:val="20"/>
                <w:szCs w:val="20"/>
                <w:color w:val="auto"/>
              </w:rPr>
            </w:pPr>
            <w:r>
              <w:rPr>
                <w:rFonts w:ascii="Arial" w:cs="Arial" w:eastAsia="Arial" w:hAnsi="Arial"/>
                <w:sz w:val="18"/>
                <w:szCs w:val="18"/>
                <w:i w:val="1"/>
                <w:iCs w:val="1"/>
                <w:color w:val="auto"/>
              </w:rPr>
              <w:t>(20.6)%</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(17,037)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(21,848)</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(5,340)</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(27.9)%</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(10,770)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(26.1)%</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553</w:t>
            </w:r>
          </w:p>
        </w:tc>
        <w:tc>
          <w:tcPr>
            <w:tcW w:w="1440" w:type="dxa"/>
            <w:vAlign w:val="bottom"/>
            <w:tcBorders>
              <w:bottom w:val="single" w:sz="8" w:color="CCEEFF"/>
            </w:tcBorders>
          </w:tcPr>
          <w:p>
            <w:pPr>
              <w:jc w:val="right"/>
              <w:ind w:right="76"/>
              <w:spacing w:after="0"/>
              <w:rPr>
                <w:sz w:val="20"/>
                <w:szCs w:val="20"/>
                <w:color w:val="auto"/>
              </w:rPr>
            </w:pPr>
            <w:r>
              <w:rPr>
                <w:rFonts w:ascii="Arial" w:cs="Arial" w:eastAsia="Arial" w:hAnsi="Arial"/>
                <w:sz w:val="18"/>
                <w:szCs w:val="18"/>
                <w:i w:val="1"/>
                <w:iCs w:val="1"/>
                <w:color w:val="auto"/>
              </w:rPr>
              <w:t>78.7 %</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1,395</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87.2 %</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w:t>
            </w: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w:t>
            </w: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160" w:hanging="328"/>
        <w:spacing w:after="0" w:line="261"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$3.7 million and $7.1 million for the three and six months ended June 30, 2018, respectively ($2.7 million and $4.7 million for the same periods in the prior year).</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ratio of 66.1% and 61.7% for the three and six months ended June 30, 2018 includes $167,000 and $1.5 million (1.2 and 5.4 percentage points), respectively, of net favorable development in our loss estimates for prior accident years. The favorable reserve development in 2018 reflects the fact that actual loss emergence of the workers’ compensation book has been better than expected. The loss ratio of 66.8% and 64.2% for the three and six months ended June 30, 2017 includes $949,000 and $907,000 (5.3 and 2.7 percentage points), respectively, in net adverse reserve development in our loss estimates for prior accident years.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expense ratio of the Specialty Admitted Insurance segment was 27.0% and 28.8% for the three and six months ended June 30, 2018 compared to the prior year ratios of 30.1% and 31.7%, respectively. The expense ratio declined in 2018 for this segment due to gross fee income from the fronting business which increased 39.7% and 49.5% for the three and six months ended June 30, 2018 compared to the same periods in the prior year and to ceding commissions received on the 50% third-party quota share reinsurance coverage purchased on individual risk workers' compensation business effective October 1, 2017.</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items discussed above, the underwriting profit of the Specialty Admitted Insurance segment increased 78.7% and 87.2% from $553,000 and $1.4 million for the three and six months ended June 30, 2017, respectively, to $988,000 and $2.6 million for the three and six months ended June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2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20" w:type="dxa"/>
            <w:vAlign w:val="bottom"/>
            <w:gridSpan w:val="4"/>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30,880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66,700</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(53.7)%</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74,109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109,420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30,884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66,727</w:t>
            </w:r>
          </w:p>
        </w:tc>
        <w:tc>
          <w:tcPr>
            <w:tcW w:w="144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(53.7)%</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74,113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109,607</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(32.4)%</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54,817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49,049</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i w:val="1"/>
                <w:iCs w:val="1"/>
                <w:color w:val="auto"/>
              </w:rPr>
              <w:t>11.8 %</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112,448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93,634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20.1 %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(35,562)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(32,696)</w:t>
            </w:r>
          </w:p>
        </w:tc>
        <w:tc>
          <w:tcPr>
            <w:tcW w:w="1440" w:type="dxa"/>
            <w:vAlign w:val="bottom"/>
          </w:tcPr>
          <w:p>
            <w:pPr>
              <w:jc w:val="right"/>
              <w:ind w:right="76"/>
              <w:spacing w:after="0"/>
              <w:rPr>
                <w:sz w:val="20"/>
                <w:szCs w:val="20"/>
                <w:color w:val="auto"/>
              </w:rPr>
            </w:pPr>
            <w:r>
              <w:rPr>
                <w:rFonts w:ascii="Arial" w:cs="Arial" w:eastAsia="Arial" w:hAnsi="Arial"/>
                <w:sz w:val="18"/>
                <w:szCs w:val="18"/>
                <w:i w:val="1"/>
                <w:iCs w:val="1"/>
                <w:color w:val="auto"/>
              </w:rPr>
              <w:t>8.8 %</w:t>
            </w:r>
          </w:p>
        </w:tc>
        <w:tc>
          <w:tcPr>
            <w:tcW w:w="26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(71,104)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(61,516)</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15.6 %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(18,376)</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(4.6)%</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(37,871)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(33,048)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0" w:type="dxa"/>
            <w:vAlign w:val="bottom"/>
          </w:tcPr>
          <w:p>
            <w:pPr>
              <w:spacing w:after="0"/>
              <w:rPr>
                <w:sz w:val="1"/>
                <w:szCs w:val="1"/>
                <w:color w:val="auto"/>
              </w:rPr>
            </w:pPr>
          </w:p>
        </w:tc>
      </w:tr>
      <w:tr>
        <w:trPr>
          <w:trHeight w:val="264"/>
        </w:trPr>
        <w:tc>
          <w:tcPr>
            <w:tcW w:w="3700" w:type="dxa"/>
            <w:vAlign w:val="bottom"/>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(2,023)</w:t>
            </w:r>
          </w:p>
        </w:tc>
        <w:tc>
          <w:tcPr>
            <w:tcW w:w="1440" w:type="dxa"/>
            <w:vAlign w:val="bottom"/>
          </w:tcPr>
          <w:p>
            <w:pPr>
              <w:jc w:val="right"/>
              <w:ind w:right="276"/>
              <w:spacing w:after="0"/>
              <w:rPr>
                <w:sz w:val="20"/>
                <w:szCs w:val="20"/>
                <w:color w:val="auto"/>
              </w:rPr>
            </w:pPr>
            <w:r>
              <w:rPr>
                <w:rFonts w:ascii="Arial" w:cs="Arial" w:eastAsia="Arial" w:hAnsi="Arial"/>
                <w:sz w:val="18"/>
                <w:szCs w:val="18"/>
                <w:i w:val="1"/>
                <w:iCs w:val="1"/>
                <w:color w:val="auto"/>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(930)</w:t>
            </w:r>
          </w:p>
        </w:tc>
        <w:tc>
          <w:tcPr>
            <w:tcW w:w="1320" w:type="dxa"/>
            <w:vAlign w:val="bottom"/>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2460" w:type="dxa"/>
            <w:vAlign w:val="bottom"/>
          </w:tcPr>
          <w:p>
            <w:pPr>
              <w:jc w:val="right"/>
              <w:ind w:right="290"/>
              <w:spacing w:after="0"/>
              <w:rPr>
                <w:sz w:val="20"/>
                <w:szCs w:val="20"/>
                <w:color w:val="auto"/>
              </w:rPr>
            </w:pPr>
            <w:r>
              <w:rPr>
                <w:rFonts w:ascii="Arial" w:cs="Arial" w:eastAsia="Arial" w:hAnsi="Arial"/>
                <w:sz w:val="18"/>
                <w:szCs w:val="18"/>
                <w:color w:val="auto"/>
              </w:rPr>
              <w:t>64.9%</w:t>
            </w:r>
          </w:p>
        </w:tc>
        <w:tc>
          <w:tcPr>
            <w:tcW w:w="2000" w:type="dxa"/>
            <w:vAlign w:val="bottom"/>
          </w:tcPr>
          <w:p>
            <w:pPr>
              <w:jc w:val="right"/>
              <w:ind w:right="990"/>
              <w:spacing w:after="0"/>
              <w:rPr>
                <w:sz w:val="20"/>
                <w:szCs w:val="20"/>
                <w:color w:val="auto"/>
              </w:rPr>
            </w:pPr>
            <w:r>
              <w:rPr>
                <w:rFonts w:ascii="Arial" w:cs="Arial" w:eastAsia="Arial" w:hAnsi="Arial"/>
                <w:sz w:val="18"/>
                <w:szCs w:val="18"/>
                <w:color w:val="auto"/>
              </w:rPr>
              <w:t>66.7%</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63.2%</w:t>
            </w:r>
          </w:p>
        </w:tc>
        <w:tc>
          <w:tcPr>
            <w:tcW w:w="2280" w:type="dxa"/>
            <w:vAlign w:val="bottom"/>
          </w:tcPr>
          <w:p>
            <w:pPr>
              <w:jc w:val="right"/>
              <w:ind w:right="1270"/>
              <w:spacing w:after="0"/>
              <w:rPr>
                <w:sz w:val="20"/>
                <w:szCs w:val="20"/>
                <w:color w:val="auto"/>
              </w:rPr>
            </w:pPr>
            <w:r>
              <w:rPr>
                <w:rFonts w:ascii="Arial" w:cs="Arial" w:eastAsia="Arial" w:hAnsi="Arial"/>
                <w:sz w:val="18"/>
                <w:szCs w:val="18"/>
                <w:color w:val="auto"/>
              </w:rPr>
              <w:t>65.7%</w:t>
            </w:r>
          </w:p>
        </w:tc>
      </w:tr>
      <w:tr>
        <w:trPr>
          <w:trHeight w:val="27"/>
        </w:trPr>
        <w:tc>
          <w:tcPr>
            <w:tcW w:w="27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2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31.9%</w:t>
            </w:r>
          </w:p>
        </w:tc>
        <w:tc>
          <w:tcPr>
            <w:tcW w:w="20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37.4%</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33.7%</w:t>
            </w:r>
          </w:p>
        </w:tc>
        <w:tc>
          <w:tcPr>
            <w:tcW w:w="22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rPr>
              <w:t>35.3%</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2460" w:type="dxa"/>
            <w:vAlign w:val="bottom"/>
          </w:tcPr>
          <w:p>
            <w:pPr>
              <w:jc w:val="right"/>
              <w:ind w:right="290"/>
              <w:spacing w:after="0"/>
              <w:rPr>
                <w:sz w:val="20"/>
                <w:szCs w:val="20"/>
                <w:color w:val="auto"/>
              </w:rPr>
            </w:pPr>
            <w:r>
              <w:rPr>
                <w:rFonts w:ascii="Arial" w:cs="Arial" w:eastAsia="Arial" w:hAnsi="Arial"/>
                <w:sz w:val="18"/>
                <w:szCs w:val="18"/>
                <w:color w:val="auto"/>
              </w:rPr>
              <w:t>96.8%</w:t>
            </w:r>
          </w:p>
        </w:tc>
        <w:tc>
          <w:tcPr>
            <w:tcW w:w="2000" w:type="dxa"/>
            <w:vAlign w:val="bottom"/>
          </w:tcPr>
          <w:p>
            <w:pPr>
              <w:jc w:val="right"/>
              <w:ind w:right="990"/>
              <w:spacing w:after="0"/>
              <w:rPr>
                <w:sz w:val="20"/>
                <w:szCs w:val="20"/>
                <w:color w:val="auto"/>
              </w:rPr>
            </w:pPr>
            <w:r>
              <w:rPr>
                <w:rFonts w:ascii="Arial" w:cs="Arial" w:eastAsia="Arial" w:hAnsi="Arial"/>
                <w:sz w:val="18"/>
                <w:szCs w:val="18"/>
                <w:color w:val="auto"/>
              </w:rPr>
              <w:t>104.1%</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96.9%</w:t>
            </w:r>
          </w:p>
        </w:tc>
        <w:tc>
          <w:tcPr>
            <w:tcW w:w="2280" w:type="dxa"/>
            <w:vAlign w:val="bottom"/>
          </w:tcPr>
          <w:p>
            <w:pPr>
              <w:jc w:val="right"/>
              <w:ind w:right="1270"/>
              <w:spacing w:after="0"/>
              <w:rPr>
                <w:sz w:val="20"/>
                <w:szCs w:val="20"/>
                <w:color w:val="auto"/>
              </w:rPr>
            </w:pPr>
            <w:r>
              <w:rPr>
                <w:rFonts w:ascii="Arial" w:cs="Arial" w:eastAsia="Arial" w:hAnsi="Arial"/>
                <w:sz w:val="18"/>
                <w:szCs w:val="18"/>
                <w:color w:val="auto"/>
              </w:rPr>
              <w:t>101.0%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8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ratio of 64.9% and 63.2% for the three and six months ended June 30, 2018 includes $2.4 million and $2.3 million (4.5 and 2.0 percentage points), respectively, of net adverse development in our loss estimates for prior accident years. The adverse reserve development was primarily related to losses from risk profiles and treaty structures that we no longer underwrite. The loss ratio of 66.7% and 65.7% for the three and six months ended June 30, 2017 includes $2.2 million and $2.1 million (4.5 and 2.2 percentage points), respectively, in net adverse reserve development in our loss estimates for prior accident years, primarily resulting from the 2010 and 2012 contracts with one reinsured.</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expense ratio of the Casualty Reinsurance segment was 31.9% and 33.7% for the three and six months ended June 30, 2018, respectively, compared to the prior year ratios of 37.4% and 35.3%, respectively. The decrease in the expense ratio is attributable to the increase in net earned premium of 11.8% and 20.1% for the three and six months ended June 30, 2018, respectively, without a proportional increase in the total amount of operating expenses. In addition, the expense ratio for the three and six months ended June 30, 2017 was impacted by the correction of a contingent commission accrual and related commission expense, which increased underwriting expenses by $2.0 million in the three and six months ended June 30, 2017.</w:t>
      </w:r>
    </w:p>
    <w:p>
      <w:pPr>
        <w:spacing w:after="0" w:line="5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a result of the items discussed above, underwriting profit for the Casualty Reinsurance segment was $1.7 million and $3.5 million for the three and six months ended June 30, 2018, respectively, compared to underwriting losses of $2.0 million and $930,000 for the three and six months ended June 30, 2017,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gross reserve for losses and loss adjustment expenses at June 30, 2018 was $1,468.4 million. Of this amount, 63.2% relates to amounts that are IBNR. This amount was 64.6% at December 31, 2017. The Company’s gross reserves for losses and loss adjustment expenses by segment 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89"/>
              </w:rPr>
              <w:t>Gross Reserves at June 30, 2018</w:t>
            </w:r>
          </w:p>
        </w:tc>
        <w:tc>
          <w:tcPr>
            <w:tcW w:w="10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284,951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571,193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856,144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147,371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195,623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342,994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107,746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161,469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269,215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540,068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928,285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1,468,353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June 30, 2018, the amount of net reserves of $1,092.8 million that related to IBNR was 63.5%. This amount was 65.0% at December 31, 2017. The Company’s net reserves for losses and loss adjustment expenses by segment are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Net Reserves at June 30, 2018</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IBNR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259,789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485,287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745,076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35,541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84,541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103,542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159,659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263,201</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398,872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693,946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1,092,818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the underwriting, acquisition, and insurance expenses of the Excess and Surplus Lines segment, the Specialty Admitted Insurance segment, and the Casualty Reinsurance segment discussed previously, other operating expenses also includes the expenses of the Corporate and Other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For the three months ended June 30, 2018 and 2017, the total operating expenses of the Corporate and Other segment were $7.3 million and $6.1 million, respectively, representing a 19.9% increase over the prior year. For the six months ended June 30, 2018 and 2017, the total operating expenses of the Corporate and Other segment were $14.7 million and $12.6 million, respectively, representing a 17.4% increase over the prior year. The increases were driven by compensation costs, including stock compensation expenses, associated with increases in headcount and costs associated with the formation and operations of Carolina Re (a new Class 3A reinsurer that has made an irrevocable election to be taxed as a U.S. domestic corporation under Section 953(d) of the Code. See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for additional discussions regarding this newly formed 953(d) reinsurer).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investment income was $16.1 million and $29.4 million for the three and six months ended June 30, 2018, respectively, compared to $13.7 million and $30.4 million for the same periods in the prior year. The change in our net investment income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90"/>
              </w:rPr>
              <w:t>($ in thousands)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Renewable energy LLCs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(75.5)%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 private investments</w:t>
            </w: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79.7 %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1,306</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62.0 %</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(54.2)%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 net investment income</w:t>
            </w: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14,099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11,355</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24.2 %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25,534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22,026</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15.9 %</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16,135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13,714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17.7 %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30,447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investment income from renewable energy LLCs declined from $1.5 million and $7.1 million in three and six months ended June 30, 2017, respectively, to $530,000 and $1.7 million in the three and six months ended June 30, 2018, respectively. These investments are interests in certain limited liability companies that are managed by an affiliate of the Company, and together, the carrying value of these investments was $32.2 million at June 30, 2018. Our interests in these companies are classified as “other invested assets” and the equity method is being used to account for the investments. Excluding private investments, our net investment income increased by 24.2% and 15.9% for the three and six months ending June 30, 2018, respectively, over the same periods in the prior year. This increase in net investment income was due to a 13.8% and 13.4% increase in our average cash and invested assets for the three and six months ended June 30, 2018 compared to the same periods in the prior year, as well as increases in average investment yields. The average duration of our fixed maturity portfolio was 3.4 years at June 30, 2018.</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8,251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8,421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short-term investments,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Trading (losses) gains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32,438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Investment expense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16,135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29,391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30,447</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54"/>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investment returns: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center"/>
              <w:ind w:left="901"/>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Annualized gross investment yield on:</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Average cash and invested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fixed maturity securities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9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 our total cash and invested assets of $1,728.4 million at June 30, 2018, $267.4 million represents the cash and cash equivalents portion of the portfolio. The majority of the portfolio, or $1,021.4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$253.7 million of bank loan participations, $84.0 million of equity securities, $25.1 million of short-term investments, and $76.8 million of other invested assets.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$253.7 million of bank loan participations in our investment portfolio are classified as held-for-investment and reported at amortized cost, net of an allowance for credit losses of </w:t>
      </w:r>
      <w:r>
        <w:rPr>
          <w:rFonts w:ascii="Arial" w:cs="Arial" w:eastAsia="Arial" w:hAnsi="Arial"/>
          <w:sz w:val="17"/>
          <w:szCs w:val="17"/>
          <w:color w:val="231F20"/>
        </w:rPr>
        <w:t>$1.2 million</w:t>
      </w:r>
      <w:r>
        <w:rPr>
          <w:rFonts w:ascii="Arial" w:cs="Arial" w:eastAsia="Arial" w:hAnsi="Arial"/>
          <w:sz w:val="17"/>
          <w:szCs w:val="17"/>
          <w:color w:val="auto"/>
        </w:rPr>
        <w:t>. Changes in this credit allowance are included in realized gains or losses. These bank loan participations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June 30, 2018 and December 31, 2017, the fair market value of these securities was $252.8 million and $236.5 million, respectively.</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six months ended June 30, 2018, the Company recognized net realized and unrealized investment losses of $874,000 ($64,000 for the three months ended June 30, 2018), including $1.2 million for the change in the fair value of equity securities, $1.4 million of net realized investment gains on the sale of bank loan securities (including an $807,000 realized gain on the repayment of the loan to the producer and supplier of power in Puerto Rico described below), and $893,000 of net realized investment losses from an increase in our bank loan credit allowance.</w:t>
      </w:r>
    </w:p>
    <w:p>
      <w:pPr>
        <w:spacing w:after="0" w:line="6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six months ended June 30, 2017, the Company recognized net realized investment gains of $1.4 million ($307,000 for the three months ended June 30, 2017), including $783,000 of net realized investment gains recognized on the sale of bank loan securities, $409,000 of net realized investment gains recognized on the sale of equity securities, and $135,000 of net realized investment gains from a reduction in our bank loan credit allowance.</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At December 31, 2017, the Company held a participation in a loan with unpaid principal of $807,000 issued by a company that produces and supplies power to Puerto Rico through a power purchase agreement with Puerto Rico Electric Power Authority (“PREPA”), a public corporation and governmental agency of the Commonwealth of Puerto Rico. PREPA’s credit strength and ability to make timely payments had been impacted by the economic conditions in Puerto Rico. The loan was scheduled to mature in November 2017, but the issuer deferred payment until March 2018. Based on this deferral request and the uncertainty regarding repayment, management had concluded that an allowance for credit losses should be established on the loan to reduce its carrying value to $0 at December 31, 2017. In the first quarter of 2018, the remaining principal balance on the loan was repaid, and the Company recognized an $807,000 realized investment gain associated with the repayment.</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Management concluded that certain loans in the Company's bank loan portfolio were impaired as of June 30, 2018. The aggregate allowance for credit losses was $1.2 million at June 30, 2018 on impaired loans from three issuers with a total carrying value of $2.2 million and unpaid principal of $3.5 million.</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2018, 100.0%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Management concluded that none of the fixed maturity securities with an unrealized loss at June 30, 2018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investments in available-for-sale securities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Cost or</w:t>
            </w:r>
          </w:p>
        </w:tc>
        <w:tc>
          <w:tcPr>
            <w:tcW w:w="28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137,055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138,373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139,382</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144,366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13.1%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184,751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14.4%</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439,993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430,345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408,857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413,721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37.7%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174,442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182,611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16.6%</w:t>
            </w: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rPr>
              <w:t>Obligations of U.S. government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corporations and agencies</w:t>
            </w: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35,948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35,847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U.S. Treasury securities and obligations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87,143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85,797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78,874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1,039,778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1,021,387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1,016,098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92.5%</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64,866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66,281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19,143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16,241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77,995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84,009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82,522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w:t>
            </w: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1,117,773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1,105,396</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1,083,980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1,098,620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composition of the Company’s portfolio of fixed maturity securities (both available-for-sale and trading) by rating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June 30, 2018</w:t>
      </w:r>
      <w:r>
        <w:rPr>
          <w:rFonts w:ascii="Arial" w:cs="Arial" w:eastAsia="Arial" w:hAnsi="Arial"/>
          <w:sz w:val="18"/>
          <w:szCs w:val="18"/>
          <w:color w:val="000000"/>
        </w:rPr>
        <w: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173,971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411,653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328,563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107,200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1,021,387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At June 30, 2018, our portfolio of fixed maturity securities contained corporate fixed maturity securities (available-for-sale) with a fair value of $430.3 million. A summary of these securities by industry segment is shown below as of </w:t>
      </w:r>
      <w:r>
        <w:rPr>
          <w:rFonts w:ascii="Arial" w:cs="Arial" w:eastAsia="Arial" w:hAnsi="Arial"/>
          <w:sz w:val="18"/>
          <w:szCs w:val="18"/>
          <w:color w:val="231F20"/>
        </w:rPr>
        <w:t>June 30, 2018</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w:t>
            </w:r>
          </w:p>
        </w:tc>
        <w:tc>
          <w:tcPr>
            <w:tcW w:w="5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2"/>
              <w:spacing w:after="0"/>
              <w:rPr>
                <w:sz w:val="20"/>
                <w:szCs w:val="20"/>
                <w:color w:val="auto"/>
              </w:rPr>
            </w:pPr>
            <w:r>
              <w:rPr>
                <w:rFonts w:ascii="Arial" w:cs="Arial" w:eastAsia="Arial" w:hAnsi="Arial"/>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 and Other</w:t>
            </w:r>
          </w:p>
        </w:tc>
        <w:tc>
          <w:tcPr>
            <w:tcW w:w="5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116,581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Financial</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71,756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Discretionary</w:t>
            </w:r>
          </w:p>
        </w:tc>
        <w:tc>
          <w:tcPr>
            <w:tcW w:w="5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67,785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Health Care</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63,750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Staples</w:t>
            </w:r>
          </w:p>
        </w:tc>
        <w:tc>
          <w:tcPr>
            <w:tcW w:w="5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55,980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Utilities</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54,493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430,345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jc w:val="right"/>
              <w:ind w:right="285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Corporate fixed maturity securities (both available-for-sale and trading) include publicly traded securities and privately placed bonds as shown below as of </w:t>
      </w:r>
      <w:r>
        <w:rPr>
          <w:rFonts w:ascii="Arial" w:cs="Arial" w:eastAsia="Arial" w:hAnsi="Arial"/>
          <w:sz w:val="18"/>
          <w:szCs w:val="18"/>
          <w:color w:val="231F20"/>
        </w:rPr>
        <w:t>June 30, 2018</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Publicly traded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399,681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Privately placed</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30,664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430,345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June 30, 2018</w:t>
            </w:r>
          </w:p>
        </w:tc>
        <w:tc>
          <w:tcPr>
            <w:tcW w:w="1320" w:type="dxa"/>
            <w:vAlign w:val="bottom"/>
            <w:tcBorders>
              <w:bottom w:val="single" w:sz="8" w:color="auto"/>
            </w:tcBorders>
          </w:tcPr>
          <w:p>
            <w:pPr>
              <w:spacing w:after="0"/>
              <w:rPr>
                <w:sz w:val="16"/>
                <w:szCs w:val="16"/>
                <w:color w:val="auto"/>
              </w:rPr>
            </w:pPr>
          </w:p>
        </w:tc>
      </w:tr>
      <w:tr>
        <w:trPr>
          <w:trHeight w:val="152"/>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3"/>
                <w:szCs w:val="13"/>
                <w:color w:val="auto"/>
              </w:rPr>
            </w:pPr>
          </w:p>
        </w:tc>
        <w:tc>
          <w:tcPr>
            <w:tcW w:w="10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 Value</w:t>
            </w:r>
          </w:p>
        </w:tc>
      </w:tr>
      <w:tr>
        <w:trPr>
          <w:trHeight w:val="196"/>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40,895</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40,760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312,999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30.6%</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193,545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187,368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18.3%</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11.7%</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190,574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184,751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18.1%</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177,286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174,442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17.1%</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r>
      <w:tr>
        <w:trPr>
          <w:trHeight w:val="27"/>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1,039,778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1,021,387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80" w:firstLine="351"/>
        <w:spacing w:after="0" w:line="375" w:lineRule="auto"/>
        <w:rPr>
          <w:sz w:val="20"/>
          <w:szCs w:val="20"/>
          <w:color w:val="auto"/>
        </w:rPr>
      </w:pPr>
      <w:r>
        <w:rPr>
          <w:rFonts w:ascii="Arial" w:cs="Arial" w:eastAsia="Arial" w:hAnsi="Arial"/>
          <w:sz w:val="18"/>
          <w:szCs w:val="18"/>
          <w:color w:val="auto"/>
        </w:rPr>
        <w:t xml:space="preserve">At June 30, 2018,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$2.9 million and $2.2 million for the three months ended June 30, 2018 and 2017, respectively ($5.5 million and $4.3 million for the respective six month periods). The increase in interest expense over the prior year reflects higher LIBOR rates and a $10.0 million increase in Senior Debt outstanding. See “—Liquidity and Capital Resources—Sources and Uses of Funds” for more information regarding our senior bank debt facility and trust preferred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$149,000 and $298,000 of amortization of intangible assets for each of the three and six months ended June 30, 2018 and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effective tax rate fluctuates from period to period based on the relative mix of income reported by country and the respective tax rates imposed by each tax jurisdiction. For the three months ended June 30, 2018 and 2017, our U.S. federal income tax expense was 8.2% and 6.5% of income before taxes, respectively (8.4% and 7.2% for the six months ended June 30, 2018 and 2017, respectively). For U.S.-sourced income, the Company’s U.S. federal income tax expense differs from the amounts computed by applying the federal statutory income tax rate to income before taxes due primarily to interest income on tax-advantaged state and municipal securities (state and municipal securities represent 12.5% and 12.3% of our available-for-sale securities at June 30, 2018 and 2017, respectively), dividends received income, and excess tax benefits on share based compensation. Income tax expense for the three and six months ended June 30, 2018 reflects both the reduction in the enacted U.S. Federal tax rate from 35% in 2017 to 21% in 2018 as a result of Public Law No. 115-97, informally titled the Tax Cuts and Jobs Act (the “Tax Act”), and the changes in our organizational structure in response to the Tax Act.</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response to the Tax Act, we made changes to our structure in 2018 to minimize the impact of the base erosion and anti-abuse tax (“BEAT”) that included the formation of Carolina Re, a Bermuda-domiciled, wholly-owned subsidiary of James River Group, Inc. Carolina Re is a Class 3A reinsurer and made an irrevocable election to be taxed as a U.S. domestic corporation under Section 953(d) of the Code. Effective January 1, 2018, we generally discontinued ceding 70% of our U.S.-written premiums to JRG Re and instead ceded 70% of our U.S.-written premiums to Carolina Re. Carolina Re also entered into a stop loss reinsurance agreement with JRG Re. While Carolina Re is subject to U.S. corporate income tax, we will not be subject to BEAT in 2018 if we have sufficient regular U.S. income tax liability compared to the BEAT liability. The applicability of BEAT depends on a number of factors, and it is uncertain whether we will be subject to BEAT in future periods.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Financial results reflect provisional amounts related to the December 2017 enactment of the Tax Act. These provisional estimates are based on the Company’s initial analysis and current interpretation of the legislation. Given the complexity of the legislation, anticipated guidance from the U.S. Treasury, and the potential for additional guidance from the SEC or the Financial Accounting Standards Board, these estimates may be adjusted during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and return of capital available to us from JRG Re in 2018 is calculated to be approximately $102.3 million. However, any dividend payment is contingent upon continued compliance with Bermuda regulatory requirements, including but not limited to the enhanced solvency requirement calculations. The maximum amount of dividends available to the U.S. holding company from our U.S. insurance subsidiaries during 2018 without regulatory approval is $37.0 million. In the three months ended June 30, 2018, a $15.0 million dividend was paid to the U.S. holding company by James River Insurance Company.</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2018, the Bermuda holding company had $1.7 million of cash and cash equivalents. The U.S. holding company had $55.8 million of cash and invested assets, comprised of cash and cash equivalents of $5.9 million, short-term investments of $1.2 million, and other invested assets of $48.7 million, which are not subject to regulatory restrictions. Additionally, our U.K. intermediate holding company had no invested assets and cash of less than ten thousand dollars at June 30, 2018.</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net written premium to surplus ratio (defined as the ratio of net written premiums to regulatory capital and surplus) is reviewed by management as well as our rating agency as a component of leverage and efficiency of deployed capital. For the six months ended June 30, 2018 and 2017, our annualized net written premium to surplus ratio was 1.1 to 1.0.</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$215.0 million senior revolving credit facility (the “Facility”). The Facility is comprised of the following at June 30, 2018:</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June 30, 2018, the Company had $100.2 million of letters of credit issued under the secured facility.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June 30, 2018, the Company had a drawn balance of $73.3 million outstanding on the unsecured revolver.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facility has been amended from time to time since its inception in 2013. On December 7, 2016, the Company entered into an Amended and Restated Credit Agreement for the Facility which, among other things, extended the maturity date of the Facility until December 7, 2021 and modified other terms including reducing the rate of interest and reducing the number of financial covenants. On June 8, 2017, the Company entered into a First Amendment to the Facility, which among other things, modified the financial covenants and increased the amount of additional debt the Company may incur under new financings, subject to compliance with certain conditions.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senior revolving credit facility contains certain financial and other covenants (including risk-based capital, minimum shareholders’ equity levels, maximum ratios of total debt outstanding to total capitalization and minimum fixed charge coverage ratios) with which the Company is in compliance at June 30, 2018.</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August 2, 2017, the Company, and its wholly-owned subsidiary, JRG Re, together as borrowers, entered into a credit agreement that provides the Company with a revolving line of credit of up to $100 million, which may be used for loans and letters of credit made or issued, at the borrowers' option, on a secured or unsecured basis. Obligations under the credit agreement will carry a variable rate of interest subject to terms in the credit agreement and will mature 30 days after notice of termination from the lender. The credit agreement contains certain financial and other covenants with which we are in compliance at June 30, 2018. The loans and letters of credit made or issued under the revolving line of credit may be used to finance the borrowers' general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corporate purposes. At June 30, 2018, unsecured loans of $10.0 million and secured letters of credit totaling $6.9 million were outstanding on the facility.</w:t>
      </w:r>
    </w:p>
    <w:p>
      <w:pPr>
        <w:spacing w:after="0" w:line="14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2004, we issued $15.0 million of senior debt due April 29, 2034, with net proceeds to us of $14.5 million.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June 30, 2018, and which, among other things, restrict our ability to assume senior indebtedness secured by our U.S. holding company’s common stock or its subsidiaries’ capital stock or to issue shares of its subsidiaries’ capital stock.</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June 30, 2018 (including the Company’s repurchases of a portion of these trust preferred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(Bermuda)</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jc w:val="right"/>
              <w:ind w:right="275"/>
              <w:spacing w:after="0"/>
              <w:rPr>
                <w:sz w:val="20"/>
                <w:szCs w:val="20"/>
                <w:color w:val="auto"/>
              </w:rPr>
            </w:pPr>
            <w:r>
              <w:rPr>
                <w:rFonts w:ascii="Arial" w:cs="Arial" w:eastAsia="Arial" w:hAnsi="Arial"/>
                <w:sz w:val="14"/>
                <w:szCs w:val="14"/>
                <w:b w:val="1"/>
                <w:bCs w:val="1"/>
                <w:i w:val="1"/>
                <w:iCs w:val="1"/>
                <w:color w:val="auto"/>
              </w:rPr>
              <w:t>($ in thousands)</w:t>
            </w: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26,</w:t>
            </w:r>
          </w:p>
        </w:tc>
        <w:tc>
          <w:tcPr>
            <w:tcW w:w="168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15, 2004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8"/>
              </w:rPr>
              <w:t>Principal amount of trust preferred securities</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$7,000</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$15,000</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$20,000</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$54,000</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Principal amount of junior subordinated debt</w:t>
            </w:r>
          </w:p>
        </w:tc>
        <w:tc>
          <w:tcPr>
            <w:tcW w:w="15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$7,217</w:t>
            </w:r>
          </w:p>
        </w:tc>
        <w:tc>
          <w:tcPr>
            <w:tcW w:w="1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$15,464</w:t>
            </w:r>
          </w:p>
        </w:tc>
        <w:tc>
          <w:tcPr>
            <w:tcW w:w="1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$20,619</w:t>
            </w: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$55,670</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$30,928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Carrying amount of junior subordinated debt</w:t>
            </w:r>
          </w:p>
        </w:tc>
        <w:tc>
          <w:tcPr>
            <w:tcW w:w="1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net of repurchases</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$7,217</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$15,464</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$20,619</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$44,827</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 of junior subordinated debt,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unless accelerated earlier</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rPr>
              <w:t>2034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Trust common stock</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$217</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$464</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$619</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$1,670</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per annum</w:t>
            </w:r>
          </w:p>
        </w:tc>
        <w:tc>
          <w:tcPr>
            <w:tcW w:w="15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3.4%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June 30, 2018.</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June 30, 2018 and December 31, 2017, the ratio of total debt outstanding, including both senior debt and junior subordinated debt, to total capitalization (defined as total debt plus total stockholders’ equity) was 22.7% and 22.6%, respectively. Having debt as part of our capital structure allows us to generate a higher return on equity and greater book value per share results than we could by using equity capital alone.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June 30, 2018 and 2017, our net premium retention was 64.3% and 73.8%, respectively (67.6% and 72.3% for the six month periods,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ceded reinsurance in place as of June 30,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72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Company Retention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spacing w:after="0"/>
              <w:rPr>
                <w:sz w:val="21"/>
                <w:szCs w:val="21"/>
                <w:color w:val="auto"/>
              </w:rPr>
            </w:pPr>
          </w:p>
        </w:tc>
      </w:tr>
      <w:tr>
        <w:trPr>
          <w:trHeight w:val="256"/>
        </w:trPr>
        <w:tc>
          <w:tcPr>
            <w:tcW w:w="2320" w:type="dxa"/>
            <w:vAlign w:val="bottom"/>
          </w:tcPr>
          <w:p>
            <w:pPr>
              <w:ind w:left="280"/>
              <w:spacing w:after="0"/>
              <w:rPr>
                <w:sz w:val="20"/>
                <w:szCs w:val="20"/>
                <w:color w:val="auto"/>
              </w:rPr>
            </w:pPr>
            <w:r>
              <w:rPr>
                <w:rFonts w:ascii="Arial" w:cs="Arial" w:eastAsia="Arial" w:hAnsi="Arial"/>
                <w:sz w:val="18"/>
                <w:szCs w:val="18"/>
                <w:color w:val="auto"/>
                <w:w w:val="91"/>
              </w:rPr>
              <w:t>Primary Specialty Casualty,</w:t>
            </w:r>
          </w:p>
        </w:tc>
        <w:tc>
          <w:tcPr>
            <w:tcW w:w="9100" w:type="dxa"/>
            <w:vAlign w:val="bottom"/>
            <w:gridSpan w:val="3"/>
          </w:tcPr>
          <w:p>
            <w:pPr>
              <w:ind w:left="60"/>
              <w:spacing w:after="0"/>
              <w:rPr>
                <w:sz w:val="20"/>
                <w:szCs w:val="20"/>
                <w:color w:val="auto"/>
              </w:rPr>
            </w:pPr>
            <w:r>
              <w:rPr>
                <w:rFonts w:ascii="Arial" w:cs="Arial" w:eastAsia="Arial" w:hAnsi="Arial"/>
                <w:sz w:val="18"/>
                <w:szCs w:val="18"/>
                <w:color w:val="auto"/>
              </w:rPr>
              <w:t>including Professional</w:t>
            </w:r>
          </w:p>
        </w:tc>
      </w:tr>
      <w:tr>
        <w:trPr>
          <w:trHeight w:val="230"/>
        </w:trPr>
        <w:tc>
          <w:tcPr>
            <w:tcW w:w="232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Up to $1.0 million per occurrence, subject to a $1.0 million aggregate deductible.</w:t>
            </w:r>
          </w:p>
        </w:tc>
      </w:tr>
      <w:tr>
        <w:trPr>
          <w:trHeight w:val="27"/>
        </w:trPr>
        <w:tc>
          <w:tcPr>
            <w:tcW w:w="2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Primary Casualty</w:t>
            </w: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8"/>
                <w:szCs w:val="18"/>
                <w:i w:val="1"/>
                <w:iCs w:val="1"/>
                <w:color w:val="auto"/>
              </w:rPr>
              <w:t>(1)</w:t>
            </w:r>
          </w:p>
        </w:tc>
      </w:tr>
      <w:tr>
        <w:trPr>
          <w:trHeight w:val="243"/>
        </w:trPr>
        <w:tc>
          <w:tcPr>
            <w:tcW w:w="2320" w:type="dxa"/>
            <w:vAlign w:val="bottom"/>
          </w:tcPr>
          <w:p>
            <w:pPr>
              <w:ind w:left="280"/>
              <w:spacing w:after="0"/>
              <w:rPr>
                <w:sz w:val="20"/>
                <w:szCs w:val="20"/>
                <w:color w:val="auto"/>
              </w:rPr>
            </w:pPr>
            <w:r>
              <w:rPr>
                <w:rFonts w:ascii="Arial" w:cs="Arial" w:eastAsia="Arial" w:hAnsi="Arial"/>
                <w:sz w:val="18"/>
                <w:szCs w:val="18"/>
                <w:color w:val="auto"/>
              </w:rPr>
              <w:t>Excess 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8"/>
                <w:szCs w:val="18"/>
                <w:i w:val="1"/>
                <w:iCs w:val="1"/>
                <w:color w:val="auto"/>
              </w:rPr>
              <w:t>(2)</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Property</w:t>
            </w: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8"/>
                <w:szCs w:val="18"/>
                <w:i w:val="1"/>
                <w:iCs w:val="1"/>
                <w:color w:val="auto"/>
              </w:rPr>
              <w:t>(3)</w:t>
            </w:r>
          </w:p>
        </w:tc>
      </w:tr>
    </w:tbl>
    <w:p>
      <w:pPr>
        <w:spacing w:after="0" w:line="121" w:lineRule="exact"/>
        <w:rPr>
          <w:sz w:val="20"/>
          <w:szCs w:val="20"/>
          <w:color w:val="auto"/>
        </w:rPr>
      </w:pPr>
    </w:p>
    <w:p>
      <w:pPr>
        <w:ind w:left="580" w:hanging="329"/>
        <w:spacing w:after="0"/>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jc w:val="both"/>
        <w:ind w:left="580" w:hanging="329"/>
        <w:spacing w:after="0" w:line="264" w:lineRule="auto"/>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For policies with an occurrence limit of $1.0 million or higher, the excess casualty treaty is set such that our retention is $1.0 million or less. For policies where we also write an underlying primary casualty policy, the net excess casualty limit is added to the primary limit and the retention remains the same at $1.0 million.</w:t>
      </w:r>
    </w:p>
    <w:p>
      <w:pPr>
        <w:spacing w:after="0" w:line="19" w:lineRule="exact"/>
        <w:rPr>
          <w:rFonts w:ascii="Arial" w:cs="Arial" w:eastAsia="Arial" w:hAnsi="Arial"/>
          <w:sz w:val="18"/>
          <w:szCs w:val="18"/>
          <w:i w:val="1"/>
          <w:iCs w:val="1"/>
          <w:color w:val="auto"/>
        </w:rPr>
      </w:pPr>
    </w:p>
    <w:p>
      <w:pPr>
        <w:ind w:left="580" w:hanging="329"/>
        <w:spacing w:after="0"/>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 Based upon the modeling of our Excess and Surplus Lines segment, a $45.0 million gross catastrophe loss would exceed our 1 in 1,000 year PML. In the event of a $45.0 million gross property catastrophe loss to the Excess and Surplus Lines segment, we estimate our pre-tax cost at approximately $7.1 million, including reinstatement premiums and net retentions. In addition to this retention, we would retain any losses in excess of our reinsurance coverage limits.</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June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Line of Business</w:t>
            </w:r>
          </w:p>
        </w:tc>
        <w:tc>
          <w:tcPr>
            <w:tcW w:w="460" w:type="dxa"/>
            <w:vAlign w:val="bottom"/>
          </w:tcPr>
          <w:p>
            <w:pPr>
              <w:spacing w:after="0"/>
              <w:rPr>
                <w:sz w:val="16"/>
                <w:szCs w:val="16"/>
                <w:color w:val="auto"/>
              </w:rPr>
            </w:pPr>
          </w:p>
        </w:tc>
        <w:tc>
          <w:tcPr>
            <w:tcW w:w="752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520" w:type="dxa"/>
            <w:vAlign w:val="bottom"/>
          </w:tcPr>
          <w:p>
            <w:pPr>
              <w:spacing w:after="0"/>
              <w:rPr>
                <w:sz w:val="21"/>
                <w:szCs w:val="21"/>
                <w:color w:val="auto"/>
              </w:rPr>
            </w:pPr>
          </w:p>
        </w:tc>
      </w:tr>
      <w:tr>
        <w:trPr>
          <w:trHeight w:val="270"/>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Workers’ Compensation</w:t>
            </w:r>
          </w:p>
        </w:tc>
        <w:tc>
          <w:tcPr>
            <w:tcW w:w="7520" w:type="dxa"/>
            <w:vAlign w:val="bottom"/>
          </w:tcPr>
          <w:p>
            <w:pPr>
              <w:ind w:left="20"/>
              <w:spacing w:after="0"/>
              <w:rPr>
                <w:sz w:val="20"/>
                <w:szCs w:val="20"/>
                <w:color w:val="auto"/>
              </w:rPr>
            </w:pPr>
            <w:r>
              <w:rPr>
                <w:rFonts w:ascii="Arial" w:cs="Arial" w:eastAsia="Arial" w:hAnsi="Arial"/>
                <w:sz w:val="18"/>
                <w:szCs w:val="18"/>
                <w:color w:val="auto"/>
              </w:rPr>
              <w:t xml:space="preserve">Excess of loss coverage for $29.4 million in excess of $600,000. </w:t>
            </w:r>
            <w:r>
              <w:rPr>
                <w:rFonts w:ascii="Arial" w:cs="Arial" w:eastAsia="Arial" w:hAnsi="Arial"/>
                <w:sz w:val="18"/>
                <w:szCs w:val="18"/>
                <w:i w:val="1"/>
                <w:iCs w:val="1"/>
                <w:color w:val="auto"/>
              </w:rPr>
              <w:t>(1)</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Workers’ Compensation – Program</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Quota share coverage for 50% of the first $600,000 per occurrence. </w:t>
            </w:r>
            <w:r>
              <w:rPr>
                <w:rFonts w:ascii="Arial" w:cs="Arial" w:eastAsia="Arial" w:hAnsi="Arial"/>
                <w:sz w:val="18"/>
                <w:szCs w:val="18"/>
                <w:i w:val="1"/>
                <w:iCs w:val="1"/>
                <w:color w:val="auto"/>
              </w:rPr>
              <w:t>(1)(2)</w:t>
            </w: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Commercial Auto – Program</w:t>
            </w:r>
          </w:p>
        </w:tc>
        <w:tc>
          <w:tcPr>
            <w:tcW w:w="7520" w:type="dxa"/>
            <w:vAlign w:val="bottom"/>
          </w:tcPr>
          <w:p>
            <w:pPr>
              <w:ind w:left="20"/>
              <w:spacing w:after="0"/>
              <w:rPr>
                <w:sz w:val="20"/>
                <w:szCs w:val="20"/>
                <w:color w:val="auto"/>
              </w:rPr>
            </w:pPr>
            <w:r>
              <w:rPr>
                <w:rFonts w:ascii="Arial" w:cs="Arial" w:eastAsia="Arial" w:hAnsi="Arial"/>
                <w:sz w:val="18"/>
                <w:szCs w:val="18"/>
                <w:color w:val="auto"/>
              </w:rPr>
              <w:t>Quota share coverage for 75% of $1.0 million 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Commercial Auto – 3 Programs</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Quota share coverage for 90% of $1.0 million per occurrence.</w:t>
            </w:r>
          </w:p>
        </w:tc>
      </w:tr>
      <w:tr>
        <w:trPr>
          <w:trHeight w:val="229"/>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General Liability – Program</w:t>
            </w:r>
          </w:p>
        </w:tc>
        <w:tc>
          <w:tcPr>
            <w:tcW w:w="7520" w:type="dxa"/>
            <w:vAlign w:val="bottom"/>
          </w:tcPr>
          <w:p>
            <w:pPr>
              <w:ind w:left="20"/>
              <w:spacing w:after="0"/>
              <w:rPr>
                <w:sz w:val="20"/>
                <w:szCs w:val="20"/>
                <w:color w:val="auto"/>
              </w:rPr>
            </w:pPr>
            <w:r>
              <w:rPr>
                <w:rFonts w:ascii="Arial" w:cs="Arial" w:eastAsia="Arial" w:hAnsi="Arial"/>
                <w:sz w:val="18"/>
                <w:szCs w:val="18"/>
                <w:color w:val="auto"/>
                <w:w w:val="92"/>
              </w:rPr>
              <w:t>Quota share coverage for 90% of the first $1.0 million per occurrence and excess of loss coverage for</w:t>
            </w: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$1.0 million in excess of $1.0 million per occurrence.</w:t>
            </w: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Property</w:t>
            </w:r>
          </w:p>
        </w:tc>
        <w:tc>
          <w:tcPr>
            <w:tcW w:w="75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w:t>
            </w:r>
          </w:p>
        </w:tc>
      </w:tr>
    </w:tbl>
    <w:p>
      <w:pPr>
        <w:spacing w:after="0" w:line="13" w:lineRule="exact"/>
        <w:rPr>
          <w:sz w:val="20"/>
          <w:szCs w:val="20"/>
          <w:color w:val="auto"/>
        </w:rPr>
      </w:pPr>
    </w:p>
    <w:p>
      <w:pPr>
        <w:ind w:firstLine="8"/>
        <w:spacing w:after="0" w:line="277" w:lineRule="auto"/>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90% of the first $1.0 million per occurrence and excess of loss coverage for $49.0 million in excess of $1.0 million.</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individual risk expansion states and any residual market pools.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our Casualty Reinsurance segment, we also have limited property catastrophe exposure, primarily through auto physical damage coverage.</w:t>
      </w: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aggregate, we believe our pre-tax group-wide PML from a 1 in 1,000 year property catastrophe event would not exceed $10.0 million, inclusive of reinstatement premiums payable.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$6.0 million in excess of a $2.0 million retention for loss occurrences within the treaty term. This coverage has two reinstatements in the event we exhaust any of the coverage.</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June 30, 2018,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June 30, 2018, we had reinsurance recoverables on unpaid losses of $375.5 million and reinsurance recoverables on paid losses of $13.4 million, and all material recoverable amounts were from companies with A.M. Best ratings of “A-” or better or collateral had been posted by the reinsurer for our benefit.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on Amounts Recoverable from an Indemnifying Party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is also exposed to credit risk relating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June 30, 2018, the cash equivalent collateral held in the collateral trust arrangement was approximately $944.8 million, which exceeds the amount of claims receivable and unpaid reported losses and loss adjustment expenses outstanding. This is a rapidly growing relationship, and as such, there is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sources of funds consist primarily of premiums written, investment income, reinsurance recoveries and proceeds from offerings of debt and equity securities and from sales and redemptions of investments. We use operating cash flows primarily to pay operating expenses, losses and loss adjustment expenses, reinsurance premiums, and income taxes. The following table summarizes our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ind w:left="540"/>
              <w:spacing w:after="0"/>
              <w:rPr>
                <w:sz w:val="20"/>
                <w:szCs w:val="20"/>
                <w:color w:val="auto"/>
              </w:rPr>
            </w:pPr>
            <w:r>
              <w:rPr>
                <w:rFonts w:ascii="Arial" w:cs="Arial" w:eastAsia="Arial" w:hAnsi="Arial"/>
                <w:sz w:val="14"/>
                <w:szCs w:val="14"/>
                <w:b w:val="1"/>
                <w:bCs w:val="1"/>
                <w:i w:val="1"/>
                <w:iCs w:val="1"/>
                <w:color w:val="auto"/>
                <w:w w:val="88"/>
              </w:rPr>
              <w:t>($ in thousands)</w:t>
            </w:r>
          </w:p>
        </w:tc>
        <w:tc>
          <w:tcPr>
            <w:tcW w:w="80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164,086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65,326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(66,058)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(21,281)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103,872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growth in cash provided by operating activities (from $65.3 million for the six months ended June 30, 2017 to $164.1 million for the six months ended June 30, 2018) reflects a $33.9 million increase in net written premium for the six months ended June 30, 2018 compared to the same period in 2017. In addition, the growth in reserves for losses and loss adjustment exceeded the growth in premiums receivable by $187.0 million for the six months ended June 30, 2018 compared to $53.0 million in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six months ended June 30, 2017. The fact that we are collecting premiums receivable at a quicker rate than we are paying loss and loss adjustment expenses has a favorable impact on our cash provided by operating activities for the six months ended June 30, 2018 compared to the six months ended June 30, 2017.</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financing activities for the six months ended June 30, 2018 and 2017 included $18.0 million and $17.7 million of dividends paid to shareholders,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221,139 common shares in the six months ended June 30, 2018 with 177,835 new shares related to stock option exercises and 43,304 new shares related to vesting of RSUs. The total common shares outstanding increased from 29,696,682 at December 31, 2017 to 29,917,821 at June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June 30, 2018 and 2017, the Company recognized $1.7 million and $1.8 million, respectively, of share based compensation expense ($3.1 million and $3.6 million for the respective six month periods). As of June 30, 2018, the Company had $11.9 million of unrecognized share based compensation expense expected to be charged to earnings over a weighted-average period of 2.1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option activity for the six months ended June 30,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1,479,236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2,234,699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205,244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(255,609)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(443,114)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1,194,181</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1,946,767</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876,816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992,395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two or four years and have a contractual life of seven years from the original date of grant.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RSU activity for the six months ended June 30, 2018 and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196,800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214,907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119,312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(63,191)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(39,113)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326,144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257,256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underwriting profit by individual segment and for the entire Company to consolidated income before U.S. Federal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of the insurance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11,729</w:t>
            </w:r>
          </w:p>
        </w:tc>
        <w:tc>
          <w:tcPr>
            <w:tcW w:w="100" w:type="dxa"/>
            <w:vAlign w:val="bottom"/>
          </w:tcPr>
          <w:p>
            <w:pPr>
              <w:spacing w:after="0"/>
              <w:rPr>
                <w:sz w:val="21"/>
                <w:szCs w:val="21"/>
                <w:color w:val="auto"/>
              </w:rPr>
            </w:pPr>
          </w:p>
        </w:tc>
        <w:tc>
          <w:tcPr>
            <w:tcW w:w="28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20,529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(12,556)</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29,391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30,447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35,621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35,537</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8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six months ended June 30, 2018 is gross fee income of $7.4 million and $15.6 million, respectively ($6.9 million and $12.8 million for the same periods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investment gains and losses, expenses related to due diligence costs for various merger and acquisition activities, severance costs associated with terminated employees and interest and other expenses on a leased building that we are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income before taxes and net income for the three and six months ended June 30, 2018 and 2017 reconcile to our adjusted net operating income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2018</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9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Income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637"/>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16,984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realized investment losses (gains)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0"/>
              </w:rPr>
              <w:t>Interest expense on leased building the Company is deemed to own for accounting</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purposes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17,569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2018</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2017</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9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657"/>
              <w:spacing w:after="0"/>
              <w:rPr>
                <w:sz w:val="20"/>
                <w:szCs w:val="20"/>
                <w:color w:val="auto"/>
              </w:rPr>
            </w:pPr>
            <w:r>
              <w:rPr>
                <w:rFonts w:ascii="Arial" w:cs="Arial" w:eastAsia="Arial" w:hAnsi="Arial"/>
                <w:sz w:val="14"/>
                <w:szCs w:val="14"/>
                <w:b w:val="1"/>
                <w:bCs w:val="1"/>
                <w:i w:val="1"/>
                <w:iCs w:val="1"/>
                <w:color w:val="auto"/>
              </w:rPr>
              <w:t>($ in 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35,621</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32,617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32,991</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Net realized investment losses (gains)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w w:val="90"/>
              </w:rPr>
              <w:t>Interest expense on leased building the Company is deemed to own for accounting</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purposes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37,367</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34,138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35,040</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32,583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six months ended June 30, 2018, our tangible equity per share decreased by 1.8%. Absent the $18.1 million in dividends to shareholders in the six months ended June 30, 2018, our tangible equity per share increased by 1.9% for the six months ended June 30, 2018. Our operating return on tangible shareholders’ equity was 14.5% for the six months ended June 30, 2018.</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June 30, 2018 and December 31, 2017 and reconciles tangible equity to tangible equity before dividends as of June 30,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260" w:type="dxa"/>
            <w:vAlign w:val="bottom"/>
            <w:gridSpan w:val="2"/>
          </w:tcPr>
          <w:p>
            <w:pPr>
              <w:jc w:val="right"/>
              <w:ind w:right="213"/>
              <w:spacing w:after="0" w:line="153" w:lineRule="exact"/>
              <w:rPr>
                <w:sz w:val="20"/>
                <w:szCs w:val="20"/>
                <w:color w:val="auto"/>
              </w:rPr>
            </w:pPr>
            <w:r>
              <w:rPr>
                <w:rFonts w:ascii="Arial" w:cs="Arial" w:eastAsia="Arial" w:hAnsi="Arial"/>
                <w:sz w:val="14"/>
                <w:szCs w:val="14"/>
                <w:b w:val="1"/>
                <w:bCs w:val="1"/>
                <w:color w:val="auto"/>
              </w:rPr>
              <w:t>Equity per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10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7"/>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ind w:left="140"/>
              <w:spacing w:after="0"/>
              <w:rPr>
                <w:sz w:val="20"/>
                <w:szCs w:val="20"/>
                <w:color w:val="auto"/>
              </w:rPr>
            </w:pPr>
            <w:r>
              <w:rPr>
                <w:rFonts w:ascii="Arial" w:cs="Arial" w:eastAsia="Arial" w:hAnsi="Arial"/>
                <w:sz w:val="14"/>
                <w:szCs w:val="14"/>
                <w:b w:val="1"/>
                <w:bCs w:val="1"/>
                <w:i w:val="1"/>
                <w:iCs w:val="1"/>
                <w:color w:val="auto"/>
                <w:w w:val="97"/>
              </w:rPr>
              <w:t>($ in thousands, except share amounts)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689,243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694,699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38,036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38,334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equity</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469,376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15.69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474,534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7"/>
              </w:rPr>
              <w:t>Dividends to shareholders for the six months ended June 30, 2018</w:t>
            </w: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18,109</w:t>
            </w: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3"/>
              <w:spacing w:after="0"/>
              <w:rPr>
                <w:sz w:val="20"/>
                <w:szCs w:val="20"/>
                <w:color w:val="auto"/>
              </w:rPr>
            </w:pPr>
            <w:r>
              <w:rPr>
                <w:rFonts w:ascii="Arial" w:cs="Arial" w:eastAsia="Arial" w:hAnsi="Arial"/>
                <w:sz w:val="18"/>
                <w:szCs w:val="18"/>
                <w:color w:val="auto"/>
              </w:rPr>
              <w:t>0.60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Pre-dividend tangible equity</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487,485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June 30, 2018,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June 30, 2018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June 30, 2018 from those disclosed in our Annual Report on Form 10-K for the year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160" w:type="dxa"/>
            <w:vAlign w:val="bottom"/>
            <w:gridSpan w:val="13"/>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6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740" w:type="dxa"/>
            <w:vAlign w:val="bottom"/>
            <w:tcBorders>
              <w:top w:val="single" w:sz="8" w:color="auto"/>
              <w:bottom w:val="single" w:sz="8" w:color="0000FF"/>
            </w:tcBorders>
            <w:gridSpan w:val="16"/>
          </w:tcPr>
          <w:p>
            <w:pPr>
              <w:spacing w:after="0" w:line="202" w:lineRule="exact"/>
              <w:rPr>
                <w:rFonts w:ascii="Arial" w:cs="Arial" w:eastAsia="Arial" w:hAnsi="Arial"/>
                <w:sz w:val="18"/>
                <w:szCs w:val="18"/>
                <w:color w:val="0000FF"/>
                <w:w w:val="98"/>
              </w:rPr>
            </w:pPr>
            <w:hyperlink r:id="rId17">
              <w:r>
                <w:rPr>
                  <w:rFonts w:ascii="Arial" w:cs="Arial" w:eastAsia="Arial" w:hAnsi="Arial"/>
                  <w:sz w:val="18"/>
                  <w:szCs w:val="18"/>
                  <w:color w:val="0000FF"/>
                  <w:w w:val="98"/>
                </w:rPr>
                <w:t>Certificate of Incorporation of James River Group Holdings, Ltd. (incorporated by reference to Exhibit 3.1 of the</w:t>
              </w:r>
            </w:hyperlink>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Registration Statement on Form S-1, Registration No. 333-199958, filed with the Commission on November 7, 2014)</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7"/>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on Form S-1, Registration No. 333-199958, filed with the Commission on November 7, 2014)</w:t>
              </w:r>
            </w:hyperlink>
          </w:p>
        </w:tc>
        <w:tc>
          <w:tcPr>
            <w:tcW w:w="19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Registration Statement on Form S-1, Registration No. 333-199958, filed with the Commission on November 7, 2014)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8"/>
              </w:rPr>
            </w:pPr>
            <w:hyperlink r:id="rId20">
              <w:r>
                <w:rPr>
                  <w:rFonts w:ascii="Arial" w:cs="Arial" w:eastAsia="Arial" w:hAnsi="Arial"/>
                  <w:sz w:val="18"/>
                  <w:szCs w:val="18"/>
                  <w:color w:val="0000FF"/>
                  <w:w w:val="98"/>
                </w:rPr>
                <w:t>Certificate of Deposit of Memorandum of Increase of Share Capital, dated December 24, 2007 (incorporated by</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7"/>
          </w:tcPr>
          <w:p>
            <w:pPr>
              <w:spacing w:after="0" w:line="196" w:lineRule="exact"/>
              <w:rPr>
                <w:rFonts w:ascii="Arial" w:cs="Arial" w:eastAsia="Arial" w:hAnsi="Arial"/>
                <w:sz w:val="18"/>
                <w:szCs w:val="18"/>
                <w:color w:val="0000FF"/>
                <w:w w:val="99"/>
              </w:rPr>
            </w:pPr>
            <w:hyperlink r:id="rId20">
              <w:r>
                <w:rPr>
                  <w:rFonts w:ascii="Arial" w:cs="Arial" w:eastAsia="Arial" w:hAnsi="Arial"/>
                  <w:sz w:val="18"/>
                  <w:szCs w:val="18"/>
                  <w:color w:val="0000FF"/>
                  <w:w w:val="99"/>
                </w:rPr>
                <w:t>reference to Exhibit 3.4 of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Commission on November 7, 2014)</w:t>
              </w:r>
            </w:hyperlink>
          </w:p>
        </w:tc>
        <w:tc>
          <w:tcPr>
            <w:tcW w:w="61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Exhibit 3.5 of the Registration Statement on Form S-1, Registration No. 333-199958, filed with the Commission on</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November 7, 2014)</w:t>
              </w:r>
            </w:hyperlink>
          </w:p>
        </w:tc>
        <w:tc>
          <w:tcPr>
            <w:tcW w:w="730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7"/>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to the Annual Report on Form 10-K filed on March 12, 2015, Commission File No. 001-36777)</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7"/>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Employment Agreement, dated April 2, 2018, between Steven Hartman and James River Group, Inc. (incorporated by</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FF"/>
                <w:w w:val="98"/>
              </w:rPr>
            </w:pPr>
            <w:hyperlink r:id="rId23">
              <w:r>
                <w:rPr>
                  <w:rFonts w:ascii="Arial" w:cs="Arial" w:eastAsia="Arial" w:hAnsi="Arial"/>
                  <w:sz w:val="18"/>
                  <w:szCs w:val="18"/>
                  <w:color w:val="0000FF"/>
                  <w:w w:val="98"/>
                </w:rPr>
                <w:t>reference to Exhibit 10.1 to the Quarterly Report on Form 10-Q filed on May 4, 2018, Commission File No. 001-</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36777)</w:t>
              </w:r>
              <w:r>
                <w:rPr>
                  <w:rFonts w:ascii="Arial" w:cs="Arial" w:eastAsia="Arial" w:hAnsi="Arial"/>
                  <w:sz w:val="18"/>
                  <w:szCs w:val="18"/>
                  <w:u w:val="single" w:color="auto"/>
                  <w:color w:val="0000FF"/>
                  <w:w w:val="91"/>
                </w:rPr>
                <w:t>*</w:t>
              </w:r>
            </w:hyperlink>
          </w:p>
        </w:tc>
        <w:tc>
          <w:tcPr>
            <w:tcW w:w="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Employment Agreement, dated April 13, 2018, between Dennis Johnson and James River Group, Inc. (incorporated by</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reference to Exhibit 10.1 to the Current Report on Form 8-K filed on April 16, 2018, Commission File No. 001-36777)*</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Termination of Employment Agreement, dated April 13, 2018, between Dennis Johnson and JRG Reinsurance Company</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Ltd. (incorporated by reference to Exhibit 10.2 to the Current Report on Form 8-K filed on April 16, 2018, Commission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File No. 001-36777)*</w:t>
              </w:r>
            </w:hyperlink>
          </w:p>
        </w:tc>
        <w:tc>
          <w:tcPr>
            <w:tcW w:w="7060" w:type="dxa"/>
            <w:vAlign w:val="bottom"/>
            <w:tcBorders>
              <w:top w:val="single" w:sz="8" w:color="0000FF"/>
            </w:tcBorders>
            <w:gridSpan w:val="10"/>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Chief Executive Officer Certification pursuant to Rule 13a-14(a)/15d-14(a)</w:t>
              </w:r>
            </w:hyperlink>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Chief Financial Officer Certification pursuant to Rule 13a-14(a)/15d-14(a)</w:t>
              </w:r>
            </w:hyperlink>
          </w:p>
        </w:tc>
        <w:tc>
          <w:tcPr>
            <w:tcW w:w="40" w:type="dxa"/>
            <w:vAlign w:val="bottom"/>
            <w:tcBorders>
              <w:top w:val="single" w:sz="8" w:color="0000FF"/>
            </w:tcBorders>
          </w:tcPr>
          <w:p>
            <w:pPr>
              <w:spacing w:after="0"/>
              <w:rPr>
                <w:sz w:val="24"/>
                <w:szCs w:val="24"/>
                <w:color w:val="auto"/>
              </w:rPr>
            </w:pPr>
          </w:p>
        </w:tc>
        <w:tc>
          <w:tcPr>
            <w:tcW w:w="3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6"/>
          </w:tcPr>
          <w:p>
            <w:pPr>
              <w:spacing w:after="0"/>
              <w:rPr>
                <w:rFonts w:ascii="Arial" w:cs="Arial" w:eastAsia="Arial" w:hAnsi="Arial"/>
                <w:sz w:val="18"/>
                <w:szCs w:val="18"/>
                <w:color w:val="0000FF"/>
                <w:w w:val="98"/>
              </w:rPr>
            </w:pPr>
            <w:hyperlink w:anchor="page56">
              <w:r>
                <w:rPr>
                  <w:rFonts w:ascii="Arial" w:cs="Arial" w:eastAsia="Arial" w:hAnsi="Arial"/>
                  <w:sz w:val="18"/>
                  <w:szCs w:val="18"/>
                  <w:color w:val="0000FF"/>
                  <w:w w:val="98"/>
                </w:rPr>
                <w:t>Chief Executive Officer and Chief Financial Officer Certification pursuant to 18 U.S.C. Section 1350, as adopted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pursuant to Section 906 of the Sarbanes-Oxley Act of 2002</w:t>
              </w:r>
            </w:hyperlink>
          </w:p>
        </w:tc>
        <w:tc>
          <w:tcPr>
            <w:tcW w:w="4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Denotes a management contract or compensatory plan or arrangement.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700" w:type="dxa"/>
            <w:vAlign w:val="bottom"/>
            <w:gridSpan w:val="2"/>
          </w:tcPr>
          <w:p>
            <w:pPr>
              <w:ind w:left="1740"/>
              <w:spacing w:after="0"/>
              <w:rPr>
                <w:sz w:val="20"/>
                <w:szCs w:val="20"/>
                <w:color w:val="auto"/>
              </w:rPr>
            </w:pPr>
            <w:r>
              <w:rPr>
                <w:rFonts w:ascii="Arial" w:cs="Arial" w:eastAsia="Arial" w:hAnsi="Arial"/>
                <w:sz w:val="18"/>
                <w:szCs w:val="18"/>
                <w:color w:val="auto"/>
              </w:rPr>
              <w:t>James River Group Holdings, Ltd.</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120"/>
              <w:spacing w:after="0"/>
              <w:rPr>
                <w:sz w:val="20"/>
                <w:szCs w:val="20"/>
                <w:color w:val="auto"/>
              </w:rPr>
            </w:pPr>
            <w:r>
              <w:rPr>
                <w:rFonts w:ascii="Arial" w:cs="Arial" w:eastAsia="Arial" w:hAnsi="Arial"/>
                <w:sz w:val="18"/>
                <w:szCs w:val="18"/>
                <w:color w:val="auto"/>
              </w:rPr>
              <w:t>August 3, 2018</w:t>
            </w:r>
          </w:p>
        </w:tc>
        <w:tc>
          <w:tcPr>
            <w:tcW w:w="2420" w:type="dxa"/>
            <w:vAlign w:val="bottom"/>
          </w:tcPr>
          <w:p>
            <w:pPr>
              <w:ind w:left="1740"/>
              <w:spacing w:after="0"/>
              <w:rPr>
                <w:sz w:val="20"/>
                <w:szCs w:val="20"/>
                <w:color w:val="auto"/>
              </w:rPr>
            </w:pPr>
            <w:r>
              <w:rPr>
                <w:rFonts w:ascii="Arial" w:cs="Arial" w:eastAsia="Arial" w:hAnsi="Arial"/>
                <w:sz w:val="18"/>
                <w:szCs w:val="18"/>
                <w:color w:val="auto"/>
              </w:rPr>
              <w:t>By:</w:t>
            </w:r>
          </w:p>
        </w:tc>
        <w:tc>
          <w:tcPr>
            <w:tcW w:w="4280" w:type="dxa"/>
            <w:vAlign w:val="bottom"/>
          </w:tcPr>
          <w:p>
            <w:pPr>
              <w:ind w:left="40"/>
              <w:spacing w:after="0"/>
              <w:rPr>
                <w:sz w:val="20"/>
                <w:szCs w:val="20"/>
                <w:color w:val="auto"/>
              </w:rPr>
            </w:pPr>
            <w:r>
              <w:rPr>
                <w:rFonts w:ascii="Arial" w:cs="Arial" w:eastAsia="Arial" w:hAnsi="Arial"/>
                <w:sz w:val="18"/>
                <w:szCs w:val="18"/>
                <w:color w:val="auto"/>
              </w:rPr>
              <w:t>/s/ Robert P. Myron</w:t>
            </w:r>
          </w:p>
        </w:tc>
      </w:tr>
      <w:tr>
        <w:trPr>
          <w:trHeight w:val="27"/>
        </w:trPr>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Robert P. Myron</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120"/>
              <w:spacing w:after="0"/>
              <w:rPr>
                <w:sz w:val="20"/>
                <w:szCs w:val="20"/>
                <w:color w:val="auto"/>
              </w:rPr>
            </w:pPr>
            <w:r>
              <w:rPr>
                <w:rFonts w:ascii="Arial" w:cs="Arial" w:eastAsia="Arial" w:hAnsi="Arial"/>
                <w:sz w:val="18"/>
                <w:szCs w:val="18"/>
                <w:color w:val="auto"/>
              </w:rPr>
              <w:t>August 3, 2018</w:t>
            </w:r>
          </w:p>
        </w:tc>
        <w:tc>
          <w:tcPr>
            <w:tcW w:w="2420" w:type="dxa"/>
            <w:vAlign w:val="bottom"/>
          </w:tcPr>
          <w:p>
            <w:pPr>
              <w:ind w:left="1740"/>
              <w:spacing w:after="0"/>
              <w:rPr>
                <w:sz w:val="20"/>
                <w:szCs w:val="20"/>
                <w:color w:val="auto"/>
              </w:rPr>
            </w:pPr>
            <w:r>
              <w:rPr>
                <w:rFonts w:ascii="Arial" w:cs="Arial" w:eastAsia="Arial" w:hAnsi="Arial"/>
                <w:sz w:val="18"/>
                <w:szCs w:val="18"/>
                <w:color w:val="auto"/>
              </w:rPr>
              <w:t>By:</w:t>
            </w:r>
          </w:p>
        </w:tc>
        <w:tc>
          <w:tcPr>
            <w:tcW w:w="4280" w:type="dxa"/>
            <w:vAlign w:val="bottom"/>
          </w:tcPr>
          <w:p>
            <w:pPr>
              <w:ind w:left="40"/>
              <w:spacing w:after="0"/>
              <w:rPr>
                <w:sz w:val="20"/>
                <w:szCs w:val="20"/>
                <w:color w:val="auto"/>
              </w:rPr>
            </w:pPr>
            <w:r>
              <w:rPr>
                <w:rFonts w:ascii="Arial" w:cs="Arial" w:eastAsia="Arial" w:hAnsi="Arial"/>
                <w:sz w:val="18"/>
                <w:szCs w:val="18"/>
                <w:color w:val="auto"/>
              </w:rPr>
              <w:t>/s/ Sarah C. Doran</w:t>
            </w:r>
          </w:p>
        </w:tc>
      </w:tr>
      <w:tr>
        <w:trPr>
          <w:trHeight w:val="27"/>
        </w:trPr>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Sarah C. Doran</w:t>
            </w:r>
          </w:p>
        </w:tc>
      </w:tr>
    </w:tbl>
    <w:p>
      <w:pPr>
        <w:spacing w:after="0" w:line="4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125"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Robert P. Myron,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June 30, 2018 as filed with the Securities and Exchange Commission on the date hereof (the “Report”), we, Robert P. Myron, President and Chief Executive Officer of the Company, and Sarah C. Doran, Chief Financial Officer of the Company, certify, to the best of our knowledge, pursuant to 18 U.S.C. §1350, as adopted pursuant to §906 of the Sarbanes-Oxley Act of 2002, that:</w:t>
      </w:r>
    </w:p>
    <w:p>
      <w:pPr>
        <w:spacing w:after="0" w:line="214" w:lineRule="exact"/>
        <w:rPr>
          <w:sz w:val="20"/>
          <w:szCs w:val="20"/>
          <w:color w:val="auto"/>
        </w:rPr>
      </w:pPr>
    </w:p>
    <w:p>
      <w:pPr>
        <w:ind w:left="860" w:hanging="852"/>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August 3,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August 3,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17" Type="http://schemas.openxmlformats.org/officeDocument/2006/relationships/hyperlink" Target="http://www.sec.gov/Archives/edgar/data/1620459/000157104914005924/t1401933_ex3-1.htm" TargetMode="External"/><Relationship Id="rId18" Type="http://schemas.openxmlformats.org/officeDocument/2006/relationships/hyperlink" Target="http://www.sec.gov/Archives/edgar/data/1620459/000157104914005924/t1401933_ex3-2.htm" TargetMode="External"/><Relationship Id="rId19" Type="http://schemas.openxmlformats.org/officeDocument/2006/relationships/hyperlink" Target="http://www.sec.gov/Archives/edgar/data/1620459/000157104914005924/t1401933_ex3-3.htm" TargetMode="External"/><Relationship Id="rId20" Type="http://schemas.openxmlformats.org/officeDocument/2006/relationships/hyperlink" Target="http://www.sec.gov/Archives/edgar/data/1620459/000157104914005924/t1401933_ex3-4.htm" TargetMode="External"/><Relationship Id="rId21" Type="http://schemas.openxmlformats.org/officeDocument/2006/relationships/hyperlink" Target="http://www.sec.gov/Archives/edgar/data/1620459/000157104914005924/t1401933_ex3-5.htm" TargetMode="External"/><Relationship Id="rId22" Type="http://schemas.openxmlformats.org/officeDocument/2006/relationships/hyperlink" Target="http://www.sec.gov/Archives/edgar/data/1620459/000157104915001874/t1500493_ex3-6.htm" TargetMode="External"/><Relationship Id="rId23" Type="http://schemas.openxmlformats.org/officeDocument/2006/relationships/hyperlink" Target="http://www.sec.gov/Archives/edgar/data/1620459/000162828018005982/jrvrex10103312018.htm" TargetMode="External"/><Relationship Id="rId24" Type="http://schemas.openxmlformats.org/officeDocument/2006/relationships/hyperlink" Target="http://www.sec.gov/Archives/edgar/data/1620459/000114420418020749/tv491092_ex10-1.htm" TargetMode="External"/><Relationship Id="rId25" Type="http://schemas.openxmlformats.org/officeDocument/2006/relationships/hyperlink" Target="http://www.sec.gov/Archives/edgar/data/1620459/000114420418020749/tv49109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2019-12-28T20:37:41Z</dcterms:created>
  <dcterms:modified xsi:type="dcterms:W3CDTF">2019-12-28T20:37:41Z</dcterms:modified>
</cp:coreProperties>
</file>