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36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120"/>
        <w:jc w:val="center"/>
        <w:rPr>
          <w:rFonts w:ascii="Times New Roman;serif" w:hAnsi="Times New Roman;serif"/>
          <w:b/>
          <w:color w:val="000000"/>
          <w:sz w:val="26"/>
        </w:rPr>
      </w:pPr>
      <w:r>
        <w:rPr>
          <w:rFonts w:ascii="Times New Roman;serif" w:hAnsi="Times New Roman;serif"/>
          <w:b/>
          <w:color w:val="000000"/>
          <w:sz w:val="26"/>
        </w:rPr>
        <w:t>Washington, DC 20549</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10-K/A</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Amendment No. 1</w:t>
      </w:r>
    </w:p>
    <w:p>
      <w:pPr>
        <w:pStyle w:val="TextBody"/>
        <w:bidi w:val="0"/>
        <w:spacing w:lineRule="auto" w:line="288" w:before="0" w:after="60"/>
        <w:jc w:val="left"/>
        <w:rPr>
          <w:rFonts w:ascii="Times New Roman;serif" w:hAnsi="Times New Roman;serif"/>
          <w:b/>
          <w:color w:val="000000"/>
          <w:sz w:val="18"/>
        </w:rPr>
      </w:pPr>
      <w:r>
        <w:rPr>
          <w:rFonts w:ascii="Times New Roman;serif" w:hAnsi="Times New Roman;serif"/>
          <w:b/>
          <w:color w:val="000000"/>
          <w:sz w:val="18"/>
        </w:rPr>
        <w:t>(Mark One)</w:t>
      </w:r>
    </w:p>
    <w:tbl>
      <w:tblPr>
        <w:tblW w:w="8682" w:type="dxa"/>
        <w:jc w:val="center"/>
        <w:tblInd w:w="0" w:type="dxa"/>
        <w:tblLayout w:type="fixed"/>
        <w:tblCellMar>
          <w:top w:w="28" w:type="dxa"/>
          <w:left w:w="28" w:type="dxa"/>
          <w:bottom w:w="28" w:type="dxa"/>
          <w:right w:w="28" w:type="dxa"/>
        </w:tblCellMar>
      </w:tblPr>
      <w:tblGrid>
        <w:gridCol w:w="124"/>
        <w:gridCol w:w="109"/>
        <w:gridCol w:w="109"/>
        <w:gridCol w:w="2437"/>
        <w:gridCol w:w="2437"/>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c>
          <w:tcPr>
            <w:tcW w:w="834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6"/>
              </w:rPr>
            </w:pPr>
            <w:r>
              <w:rPr>
                <w:rFonts w:ascii="Times New Roman;serif" w:hAnsi="Times New Roman;serif"/>
                <w:b/>
                <w:color w:val="000000"/>
                <w:sz w:val="16"/>
              </w:rPr>
              <w:t>ANNUAL REPORT PURSUANT TO SECTION 13 OR 15(d) OF THE SECURITIES EXCHANGE ACT OF 1934</w:t>
            </w:r>
          </w:p>
        </w:tc>
      </w:tr>
    </w:tbl>
    <w:p>
      <w:pPr>
        <w:pStyle w:val="TextBody"/>
        <w:bidi w:val="0"/>
        <w:spacing w:lineRule="auto" w:line="288" w:before="0" w:after="60"/>
        <w:ind w:left="0" w:right="0" w:firstLine="360"/>
        <w:jc w:val="center"/>
        <w:rPr>
          <w:rFonts w:ascii="Times New Roman;serif" w:hAnsi="Times New Roman;serif"/>
          <w:b/>
          <w:color w:val="000000"/>
          <w:sz w:val="16"/>
        </w:rPr>
      </w:pPr>
      <w:r>
        <w:rPr>
          <w:rFonts w:ascii="Times New Roman;serif" w:hAnsi="Times New Roman;serif"/>
          <w:b/>
          <w:color w:val="000000"/>
          <w:sz w:val="16"/>
        </w:rPr>
        <w:t>For the Fiscal Year Ended December 31, 2025</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or</w:t>
      </w:r>
    </w:p>
    <w:tbl>
      <w:tblPr>
        <w:tblW w:w="9011" w:type="dxa"/>
        <w:jc w:val="center"/>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left"/>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60"/>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0" w:after="60"/>
        <w:ind w:left="0" w:right="0" w:firstLine="360"/>
        <w:jc w:val="center"/>
        <w:rPr>
          <w:rFonts w:ascii="Times New Roman;serif" w:hAnsi="Times New Roman;serif"/>
          <w:b/>
          <w:color w:val="000000"/>
          <w:sz w:val="16"/>
        </w:rPr>
      </w:pPr>
      <w:r>
        <w:rPr>
          <w:rFonts w:ascii="Times New Roman;serif" w:hAnsi="Times New Roman;serif"/>
          <w:b/>
          <w:color w:val="000000"/>
          <w:sz w:val="16"/>
        </w:rPr>
        <w:t>Commission file number 001-36777</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JAMES RIVER GROUP HOLDINGS, INC.</w:t>
      </w:r>
    </w:p>
    <w:p>
      <w:pPr>
        <w:pStyle w:val="TextBody"/>
        <w:bidi w:val="0"/>
        <w:spacing w:lineRule="auto" w:line="288" w:before="0" w:after="120"/>
        <w:jc w:val="center"/>
        <w:rPr>
          <w:rFonts w:ascii="Times New Roman;serif" w:hAnsi="Times New Roman;serif"/>
          <w:b w:val="false"/>
          <w:color w:val="000000"/>
          <w:sz w:val="14"/>
        </w:rPr>
      </w:pPr>
      <w:r>
        <w:rPr>
          <w:rFonts w:ascii="Times New Roman;serif" w:hAnsi="Times New Roman;serif"/>
          <w:b w:val="false"/>
          <w:color w:val="000000"/>
          <w:sz w:val="14"/>
        </w:rPr>
        <w:t>(Exact name of registrant as specified in its charter)</w:t>
      </w:r>
    </w:p>
    <w:tbl>
      <w:tblPr>
        <w:tblW w:w="5669" w:type="dxa"/>
        <w:jc w:val="center"/>
        <w:tblInd w:w="0" w:type="dxa"/>
        <w:tblLayout w:type="fixed"/>
        <w:tblCellMar>
          <w:top w:w="28" w:type="dxa"/>
          <w:left w:w="28" w:type="dxa"/>
          <w:bottom w:w="28" w:type="dxa"/>
          <w:right w:w="28" w:type="dxa"/>
        </w:tblCellMar>
      </w:tblPr>
      <w:tblGrid>
        <w:gridCol w:w="1295"/>
        <w:gridCol w:w="1139"/>
        <w:gridCol w:w="1150"/>
        <w:gridCol w:w="609"/>
        <w:gridCol w:w="609"/>
        <w:gridCol w:w="867"/>
      </w:tblGrid>
      <w:tr>
        <w:trPr/>
        <w:tc>
          <w:tcPr>
            <w:tcW w:w="129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98-0585280</w:t>
            </w:r>
          </w:p>
        </w:tc>
      </w:tr>
      <w:tr>
        <w:trPr/>
        <w:tc>
          <w:tcPr>
            <w:tcW w:w="35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4"/>
              </w:rPr>
            </w:pPr>
            <w:r>
              <w:rPr>
                <w:rFonts w:ascii="Times New Roman;serif" w:hAnsi="Times New Roman;serif"/>
                <w:b w:val="false"/>
                <w:color w:val="000000"/>
                <w:sz w:val="14"/>
              </w:rPr>
              <w:t>(State or other jurisdiction of incorporation or organization)</w:t>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(IRS Employer Identification No.)</w:t>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360"/>
        <w:jc w:val="center"/>
        <w:rPr>
          <w:rFonts w:ascii="Times New Roman;serif" w:hAnsi="Times New Roman;serif"/>
          <w:b/>
          <w:color w:val="000000"/>
          <w:sz w:val="18"/>
        </w:rPr>
      </w:pPr>
      <w:r>
        <w:rPr>
          <w:rFonts w:ascii="Times New Roman;serif" w:hAnsi="Times New Roman;serif"/>
          <w:b/>
          <w:color w:val="000000"/>
          <w:sz w:val="18"/>
        </w:rPr>
        <w:t>1414 Raleigh Road, Suite 405, Chapel Hill, North Carolina, 27517</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p>
      <w:pPr>
        <w:pStyle w:val="TextBody"/>
        <w:bidi w:val="0"/>
        <w:spacing w:lineRule="auto" w:line="288" w:before="0" w:after="60"/>
        <w:jc w:val="center"/>
        <w:rPr/>
      </w:pPr>
      <w:r>
        <w:rPr>
          <w:rFonts w:ascii="Times New Roman;serif" w:hAnsi="Times New Roman;serif"/>
          <w:b w:val="false"/>
          <w:color w:val="000000"/>
          <w:sz w:val="18"/>
        </w:rPr>
        <w:t xml:space="preserve">Registrant’s telephone number, including area code: </w:t>
      </w:r>
      <w:r>
        <w:rPr>
          <w:rFonts w:ascii="Times New Roman;serif" w:hAnsi="Times New Roman;serif"/>
          <w:b/>
          <w:color w:val="000000"/>
          <w:sz w:val="18"/>
        </w:rPr>
        <w:t>(919) 900-1200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955" w:type="dxa"/>
        <w:jc w:val="center"/>
        <w:tblInd w:w="0" w:type="dxa"/>
        <w:tblLayout w:type="fixed"/>
        <w:tblCellMar>
          <w:top w:w="28" w:type="dxa"/>
          <w:left w:w="28" w:type="dxa"/>
          <w:bottom w:w="28" w:type="dxa"/>
          <w:right w:w="28" w:type="dxa"/>
        </w:tblCellMar>
      </w:tblPr>
      <w:tblGrid>
        <w:gridCol w:w="1184"/>
        <w:gridCol w:w="1043"/>
        <w:gridCol w:w="1058"/>
        <w:gridCol w:w="484"/>
        <w:gridCol w:w="484"/>
        <w:gridCol w:w="486"/>
        <w:gridCol w:w="269"/>
        <w:gridCol w:w="269"/>
        <w:gridCol w:w="269"/>
        <w:gridCol w:w="295"/>
        <w:gridCol w:w="295"/>
        <w:gridCol w:w="296"/>
        <w:gridCol w:w="535"/>
        <w:gridCol w:w="535"/>
        <w:gridCol w:w="535"/>
        <w:gridCol w:w="269"/>
        <w:gridCol w:w="269"/>
        <w:gridCol w:w="380"/>
      </w:tblGrid>
      <w:tr>
        <w:trPr/>
        <w:tc>
          <w:tcPr>
            <w:tcW w:w="118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Symbol(s)</w:t>
            </w:r>
          </w:p>
        </w:tc>
        <w:tc>
          <w:tcPr>
            <w:tcW w:w="42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Names of each exchange on which registered</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$0.0002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JRVR</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Global Select Market</w:t>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firstLine="360"/>
        <w:jc w:val="center"/>
        <w:rPr/>
      </w:pPr>
      <w:r>
        <w:rPr>
          <w:rFonts w:ascii="Times New Roman;serif" w:hAnsi="Times New Roman;serif"/>
          <w:b w:val="false"/>
          <w:color w:val="000000"/>
          <w:sz w:val="16"/>
        </w:rPr>
        <w:t xml:space="preserve">Securities registered pursuant to Section 12(g) of the Act: </w:t>
      </w:r>
      <w:r>
        <w:rPr>
          <w:rFonts w:ascii="Times New Roman;serif" w:hAnsi="Times New Roman;serif"/>
          <w:b/>
          <w:color w:val="000000"/>
          <w:sz w:val="16"/>
        </w:rPr>
        <w:t>None</w:t>
      </w:r>
    </w:p>
    <w:p>
      <w:pPr>
        <w:pStyle w:val="TextBody"/>
        <w:bidi w:val="0"/>
        <w:spacing w:lineRule="auto" w:line="288" w:before="0" w:after="120"/>
        <w:jc w:val="both"/>
        <w:rPr/>
      </w:pPr>
      <w:r>
        <w:rPr>
          <w:rFonts w:ascii="Times New Roman;serif" w:hAnsi="Times New Roman;serif"/>
          <w:b w:val="false"/>
          <w:color w:val="000000"/>
          <w:sz w:val="16"/>
        </w:rPr>
        <w:t xml:space="preserve">Indicate by check mark if the registrant is a well-known seasoned issuer, as defined in Rule 405 of the Securities Act.  Yes </w:t>
      </w:r>
      <w:r>
        <w:rPr>
          <w:color w:val="000000"/>
        </w:rPr>
        <w:t>☐ 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0" w:after="120"/>
        <w:jc w:val="both"/>
        <w:rPr/>
      </w:pPr>
      <w:r>
        <w:rPr>
          <w:rFonts w:ascii="Times New Roman;serif" w:hAnsi="Times New Roman;serif"/>
          <w:b w:val="false"/>
          <w:color w:val="000000"/>
          <w:sz w:val="16"/>
        </w:rPr>
        <w:t xml:space="preserve">Indicate by check mark if the registrant is not required to file reports pursuant to Section 13 or 15(d) of the Securities Act.  Yes </w:t>
      </w:r>
      <w:r>
        <w:rPr>
          <w:color w:val="000000"/>
        </w:rPr>
        <w:t>☐ 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0" w:after="120"/>
        <w:jc w:val="both"/>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xml:space="preserve">  </w:t>
      </w:r>
      <w:r>
        <w:rPr>
          <w:rFonts w:ascii="Times New Roman;serif" w:hAnsi="Times New Roman;serif"/>
          <w:b w:val="false"/>
          <w:color w:val="000000"/>
          <w:sz w:val="16"/>
        </w:rPr>
        <w:t xml:space="preserve">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 xml:space="preserve">No </w:t>
      </w:r>
      <w:r>
        <w:rPr>
          <w:color w:val="000000"/>
        </w:rPr>
        <w:t>☐</w:t>
      </w:r>
    </w:p>
    <w:p>
      <w:pPr>
        <w:pStyle w:val="TextBody"/>
        <w:bidi w:val="0"/>
        <w:spacing w:lineRule="auto" w:line="288" w:before="0" w:after="120"/>
        <w:jc w:val="both"/>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 xml:space="preserve">No </w:t>
      </w:r>
      <w:r>
        <w:rPr>
          <w:color w:val="000000"/>
        </w:rPr>
        <w:t>☐</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10205" w:type="dxa"/>
        <w:jc w:val="left"/>
        <w:tblInd w:w="0" w:type="dxa"/>
        <w:tblLayout w:type="fixed"/>
        <w:tblCellMar>
          <w:top w:w="28" w:type="dxa"/>
          <w:left w:w="28" w:type="dxa"/>
          <w:bottom w:w="28" w:type="dxa"/>
          <w:right w:w="28" w:type="dxa"/>
        </w:tblCellMar>
      </w:tblPr>
      <w:tblGrid>
        <w:gridCol w:w="581"/>
        <w:gridCol w:w="511"/>
        <w:gridCol w:w="515"/>
        <w:gridCol w:w="109"/>
        <w:gridCol w:w="109"/>
        <w:gridCol w:w="109"/>
        <w:gridCol w:w="411"/>
        <w:gridCol w:w="411"/>
        <w:gridCol w:w="413"/>
        <w:gridCol w:w="109"/>
        <w:gridCol w:w="109"/>
        <w:gridCol w:w="109"/>
        <w:gridCol w:w="545"/>
        <w:gridCol w:w="545"/>
        <w:gridCol w:w="546"/>
        <w:gridCol w:w="109"/>
        <w:gridCol w:w="109"/>
        <w:gridCol w:w="109"/>
        <w:gridCol w:w="720"/>
        <w:gridCol w:w="720"/>
        <w:gridCol w:w="721"/>
        <w:gridCol w:w="109"/>
        <w:gridCol w:w="109"/>
        <w:gridCol w:w="109"/>
        <w:gridCol w:w="626"/>
        <w:gridCol w:w="626"/>
        <w:gridCol w:w="629"/>
        <w:gridCol w:w="109"/>
        <w:gridCol w:w="109"/>
        <w:gridCol w:w="159"/>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1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Smaller reporting company</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88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color w:val="000000"/>
                <w:sz w:val="16"/>
              </w:rPr>
              <w:t>Emerging growth company</w:t>
            </w:r>
            <w:r>
              <w:rPr>
                <w:color w:val="000000"/>
              </w:rPr>
              <w:t xml:space="preserve"> </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2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20"/>
        <w:jc w:val="both"/>
        <w:rPr/>
      </w:pPr>
      <w:r>
        <w:rPr>
          <w:rFonts w:ascii="Times New Roman;serif" w:hAnsi="Times New Roman;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☒ </w:t>
      </w:r>
    </w:p>
    <w:p>
      <w:pPr>
        <w:pStyle w:val="TextBody"/>
        <w:bidi w:val="0"/>
        <w:spacing w:lineRule="auto" w:line="288" w:before="0" w:after="120"/>
        <w:jc w:val="both"/>
        <w:rPr/>
      </w:pPr>
      <w:r>
        <w:rPr>
          <w:rFonts w:ascii="Times New Roman;serif" w:hAnsi="Times New Roman;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0" w:after="120"/>
        <w:jc w:val="both"/>
        <w:rPr/>
      </w:pPr>
      <w:r>
        <w:rPr>
          <w:rFonts w:ascii="Times New Roman;serif" w:hAnsi="Times New Roman;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0" w:after="120"/>
        <w:jc w:val="both"/>
        <w:rPr/>
      </w:pPr>
      <w:r>
        <w:rPr>
          <w:rFonts w:ascii="Times New Roman;serif" w:hAnsi="Times New Roman;serif"/>
          <w:b w:val="false"/>
          <w:color w:val="000000"/>
          <w:sz w:val="16"/>
        </w:rPr>
        <w:t xml:space="preserve">Indicate by check mark whether the registrant is a shell company (as defined in Rule 12b-2 of the Exchange Act).  Yes </w:t>
      </w:r>
      <w:r>
        <w:rPr>
          <w:color w:val="000000"/>
        </w:rPr>
        <w:t>☐ 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The aggregate market value of the registrant’s common stock held by non-affiliates of the registrant as of June 30, 2025, computed by reference to the closing sales price on the NASDAQ Global Select Market on that date, was approximately $230,345,525.</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The number of shares of the registrant’s common stock outstanding was 45,968,584 as of February 27,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left"/>
                        <w:rPr/>
                      </w:pPr>
                      <w:r>
                        <w:rPr/>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240"/>
        <w:jc w:val="center"/>
        <w:rPr>
          <w:rFonts w:ascii="Arial;sans-serif" w:hAnsi="Arial;sans-serif"/>
          <w:b/>
          <w:color w:val="053273"/>
          <w:sz w:val="20"/>
        </w:rPr>
      </w:pPr>
      <w:r>
        <w:rPr>
          <w:rFonts w:ascii="Arial;sans-serif" w:hAnsi="Arial;sans-serif"/>
          <w:b/>
          <w:color w:val="053273"/>
          <w:sz w:val="20"/>
        </w:rPr>
        <w:t>EXPLANATORY NOTE</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James River Group Holdings, Inc. (the “Company”, “our”, “us” or “we”) is filing this Amendment No. 1 on Form 10-K/A (this “Form 10-K/A”) to its Annual Report on Form 10-K for the fiscal year ended December 31, 2025 (the “Original Form 10-K”) that was filed with the Securities and Exchange Commission (“SEC”) on March 3, 2026 for the sole purpose of including the information required by Part III of Form 10-K. This Part III information was previously omitted from the Original Form 10-K in reliance on General Instruction G(3) to Form 10-K, which permits the information in Part III to be incorporated in Form 10-K by reference to the Company’s definitive proxy statement if such statement is filed no later than 120 days after the end of our fiscal year. The Company does not intend to file its definitive proxy statement for its 2026 Annual Meeting of Shareholders within 120 days of December 31, 2025, as it intends to hold its 2026 Annual Meeting of Shareholders on a later date within the 2026 fiscal year.</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As required by Rule 12b-15, in connection with this Form 10-K/A, the Company’s Principal Executive Officer and Principal Financial Officer are providing Rule 13a-14(a) certifications included herein.</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Except as explicitly set forth herein, this Form 10-K/A does not purport to modify or update the disclosures in, or exhibits to, the Original Form 10-K or to update the Original Form 10-K to reflect events occurring after the date of such filing.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before="0" w:after="12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53273"/>
          <w:sz w:val="24"/>
        </w:rPr>
      </w:pPr>
      <w:r>
        <w:rPr>
          <w:rFonts w:ascii="Arial;sans-serif" w:hAnsi="Arial;sans-serif"/>
          <w:b/>
          <w:color w:val="053273"/>
          <w:sz w:val="24"/>
        </w:rPr>
        <w:t>TABLE OF CONTENTS</w:t>
      </w:r>
    </w:p>
    <w:tbl>
      <w:tblPr>
        <w:tblW w:w="10200" w:type="dxa"/>
        <w:jc w:val="center"/>
        <w:tblInd w:w="0" w:type="dxa"/>
        <w:tblLayout w:type="fixed"/>
        <w:tblCellMar>
          <w:top w:w="28" w:type="dxa"/>
          <w:left w:w="28" w:type="dxa"/>
          <w:bottom w:w="28" w:type="dxa"/>
          <w:right w:w="28" w:type="dxa"/>
        </w:tblCellMar>
      </w:tblPr>
      <w:tblGrid>
        <w:gridCol w:w="3476"/>
        <w:gridCol w:w="3041"/>
        <w:gridCol w:w="3082"/>
        <w:gridCol w:w="176"/>
        <w:gridCol w:w="176"/>
        <w:gridCol w:w="249"/>
      </w:tblGrid>
      <w:tr>
        <w:trPr/>
        <w:tc>
          <w:tcPr>
            <w:tcW w:w="3476" w:type="dxa"/>
            <w:tcBorders/>
            <w:vAlign w:val="center"/>
          </w:tcPr>
          <w:p>
            <w:pPr>
              <w:pStyle w:val="TableContents"/>
              <w:bidi w:val="0"/>
              <w:spacing w:before="0" w:after="283"/>
              <w:jc w:val="left"/>
              <w:rPr>
                <w:sz w:val="4"/>
                <w:szCs w:val="4"/>
              </w:rPr>
            </w:pPr>
            <w:r>
              <w:rPr>
                <w:sz w:val="4"/>
                <w:szCs w:val="4"/>
              </w:rPr>
            </w:r>
          </w:p>
        </w:tc>
        <w:tc>
          <w:tcPr>
            <w:tcW w:w="3041" w:type="dxa"/>
            <w:tcBorders/>
            <w:vAlign w:val="center"/>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9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u w:val="single"/>
              </w:rPr>
            </w:pPr>
            <w:r>
              <w:rPr>
                <w:rFonts w:ascii="Arial;sans-serif" w:hAnsi="Arial;sans-serif"/>
                <w:b w:val="false"/>
                <w:color w:val="000000"/>
                <w:sz w:val="19"/>
                <w:u w:val="single"/>
              </w:rPr>
              <w:t>Page</w:t>
            </w:r>
          </w:p>
        </w:tc>
      </w:tr>
      <w:tr>
        <w:trPr/>
        <w:tc>
          <w:tcPr>
            <w:tcW w:w="9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e739eda75848e98b25f068000aaa05_13">
              <w:r>
                <w:rPr>
                  <w:rStyle w:val="InternetLink"/>
                  <w:rFonts w:ascii="Arial;sans-serif" w:hAnsi="Arial;sans-serif"/>
                  <w:b/>
                  <w:color w:val="0000FF"/>
                  <w:sz w:val="19"/>
                  <w:u w:val="single"/>
                </w:rPr>
                <w:t>PART III</w:t>
              </w:r>
            </w:hyperlink>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e739eda75848e98b25f068000aaa05_13">
              <w:r>
                <w:rPr>
                  <w:rStyle w:val="InternetLink"/>
                  <w:rFonts w:ascii="Arial;sans-serif" w:hAnsi="Arial;sans-serif"/>
                  <w:b w:val="false"/>
                  <w:color w:val="0000FF"/>
                  <w:sz w:val="19"/>
                  <w:u w:val="single"/>
                </w:rPr>
                <w:t>4</w:t>
              </w:r>
            </w:hyperlink>
          </w:p>
        </w:tc>
      </w:tr>
      <w:tr>
        <w:trPr/>
        <w:tc>
          <w:tcPr>
            <w:tcW w:w="9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e739eda75848e98b25f068000aaa05_16">
              <w:r>
                <w:rPr>
                  <w:rStyle w:val="InternetLink"/>
                  <w:rFonts w:ascii="Arial;sans-serif" w:hAnsi="Arial;sans-serif"/>
                  <w:b w:val="false"/>
                  <w:color w:val="0000FF"/>
                  <w:sz w:val="19"/>
                  <w:u w:val="single"/>
                </w:rPr>
                <w:t>Item 10. Directors, Executive Officers and Corporate Governance</w:t>
              </w:r>
            </w:hyperlink>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e739eda75848e98b25f068000aaa05_16">
              <w:r>
                <w:rPr>
                  <w:rStyle w:val="InternetLink"/>
                  <w:rFonts w:ascii="Arial;sans-serif" w:hAnsi="Arial;sans-serif"/>
                  <w:b w:val="false"/>
                  <w:color w:val="0000FF"/>
                  <w:sz w:val="19"/>
                  <w:u w:val="single"/>
                </w:rPr>
                <w:t>4</w:t>
              </w:r>
            </w:hyperlink>
          </w:p>
        </w:tc>
      </w:tr>
      <w:tr>
        <w:trPr/>
        <w:tc>
          <w:tcPr>
            <w:tcW w:w="9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e739eda75848e98b25f068000aaa05_19">
              <w:r>
                <w:rPr>
                  <w:rStyle w:val="InternetLink"/>
                  <w:rFonts w:ascii="Arial;sans-serif" w:hAnsi="Arial;sans-serif"/>
                  <w:b w:val="false"/>
                  <w:color w:val="0000FF"/>
                  <w:sz w:val="19"/>
                  <w:u w:val="single"/>
                </w:rPr>
                <w:t>Item 11. Executive Compensation</w:t>
              </w:r>
            </w:hyperlink>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e739eda75848e98b25f068000aaa05_19">
              <w:r>
                <w:rPr>
                  <w:rStyle w:val="InternetLink"/>
                  <w:rFonts w:ascii="Arial;sans-serif" w:hAnsi="Arial;sans-serif"/>
                  <w:b w:val="false"/>
                  <w:color w:val="0000FF"/>
                  <w:sz w:val="19"/>
                  <w:u w:val="single"/>
                </w:rPr>
                <w:t>9</w:t>
              </w:r>
            </w:hyperlink>
          </w:p>
        </w:tc>
      </w:tr>
      <w:tr>
        <w:trPr/>
        <w:tc>
          <w:tcPr>
            <w:tcW w:w="9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e739eda75848e98b25f068000aaa05_22">
              <w:r>
                <w:rPr>
                  <w:rStyle w:val="InternetLink"/>
                  <w:rFonts w:ascii="Arial;sans-serif" w:hAnsi="Arial;sans-serif"/>
                  <w:b w:val="false"/>
                  <w:color w:val="0000FF"/>
                  <w:sz w:val="19"/>
                  <w:u w:val="single"/>
                </w:rPr>
                <w:t>Item 12. Security Ownership of Certain Beneficial Owners and Management and Related Stockholder Matters</w:t>
              </w:r>
            </w:hyperlink>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e739eda75848e98b25f068000aaa05_22">
              <w:r>
                <w:rPr>
                  <w:rStyle w:val="InternetLink"/>
                  <w:rFonts w:ascii="Arial;sans-serif" w:hAnsi="Arial;sans-serif"/>
                  <w:b w:val="false"/>
                  <w:color w:val="0000FF"/>
                  <w:sz w:val="19"/>
                  <w:u w:val="single"/>
                </w:rPr>
                <w:t>41</w:t>
              </w:r>
            </w:hyperlink>
          </w:p>
        </w:tc>
      </w:tr>
      <w:tr>
        <w:trPr/>
        <w:tc>
          <w:tcPr>
            <w:tcW w:w="9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e739eda75848e98b25f068000aaa05_25">
              <w:r>
                <w:rPr>
                  <w:rStyle w:val="InternetLink"/>
                  <w:rFonts w:ascii="Arial;sans-serif" w:hAnsi="Arial;sans-serif"/>
                  <w:b w:val="false"/>
                  <w:color w:val="0000FF"/>
                  <w:sz w:val="19"/>
                  <w:u w:val="single"/>
                </w:rPr>
                <w:t>Item 13. Certain Relationships and Related Transactions, and Director Independence</w:t>
              </w:r>
            </w:hyperlink>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e739eda75848e98b25f068000aaa05_25">
              <w:r>
                <w:rPr>
                  <w:rStyle w:val="InternetLink"/>
                  <w:rFonts w:ascii="Arial;sans-serif" w:hAnsi="Arial;sans-serif"/>
                  <w:b w:val="false"/>
                  <w:color w:val="0000FF"/>
                  <w:sz w:val="19"/>
                  <w:u w:val="single"/>
                </w:rPr>
                <w:t>45</w:t>
              </w:r>
            </w:hyperlink>
          </w:p>
        </w:tc>
      </w:tr>
      <w:tr>
        <w:trPr/>
        <w:tc>
          <w:tcPr>
            <w:tcW w:w="9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e739eda75848e98b25f068000aaa05_28">
              <w:r>
                <w:rPr>
                  <w:rStyle w:val="InternetLink"/>
                  <w:rFonts w:ascii="Arial;sans-serif" w:hAnsi="Arial;sans-serif"/>
                  <w:b w:val="false"/>
                  <w:color w:val="0000FF"/>
                  <w:sz w:val="19"/>
                  <w:u w:val="single"/>
                </w:rPr>
                <w:t>Item 14. Principal Accountant Fees and Services</w:t>
              </w:r>
            </w:hyperlink>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e739eda75848e98b25f068000aaa05_28">
              <w:r>
                <w:rPr>
                  <w:rStyle w:val="InternetLink"/>
                  <w:rFonts w:ascii="Arial;sans-serif" w:hAnsi="Arial;sans-serif"/>
                  <w:b w:val="false"/>
                  <w:color w:val="0000FF"/>
                  <w:sz w:val="19"/>
                  <w:u w:val="single"/>
                </w:rPr>
                <w:t>47</w:t>
              </w:r>
            </w:hyperlink>
          </w:p>
        </w:tc>
      </w:tr>
      <w:tr>
        <w:trPr/>
        <w:tc>
          <w:tcPr>
            <w:tcW w:w="9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e739eda75848e98b25f068000aaa05_31">
              <w:r>
                <w:rPr>
                  <w:rStyle w:val="InternetLink"/>
                  <w:rFonts w:ascii="Arial;sans-serif" w:hAnsi="Arial;sans-serif"/>
                  <w:b/>
                  <w:color w:val="0000FF"/>
                  <w:sz w:val="19"/>
                  <w:u w:val="single"/>
                </w:rPr>
                <w:t>PART IV</w:t>
              </w:r>
            </w:hyperlink>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e739eda75848e98b25f068000aaa05_31">
              <w:r>
                <w:rPr>
                  <w:rStyle w:val="InternetLink"/>
                  <w:rFonts w:ascii="Arial;sans-serif" w:hAnsi="Arial;sans-serif"/>
                  <w:b w:val="false"/>
                  <w:color w:val="0000FF"/>
                  <w:sz w:val="19"/>
                  <w:u w:val="single"/>
                </w:rPr>
                <w:t>47</w:t>
              </w:r>
            </w:hyperlink>
          </w:p>
        </w:tc>
      </w:tr>
      <w:tr>
        <w:trPr/>
        <w:tc>
          <w:tcPr>
            <w:tcW w:w="9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e739eda75848e98b25f068000aaa05_34">
              <w:r>
                <w:rPr>
                  <w:rStyle w:val="InternetLink"/>
                  <w:rFonts w:ascii="Arial;sans-serif" w:hAnsi="Arial;sans-serif"/>
                  <w:b w:val="false"/>
                  <w:color w:val="0000FF"/>
                  <w:sz w:val="19"/>
                  <w:u w:val="single"/>
                </w:rPr>
                <w:t>Item 15. Exhibits and Financial Statement Schedules</w:t>
              </w:r>
            </w:hyperlink>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e739eda75848e98b25f068000aaa05_34">
              <w:r>
                <w:rPr>
                  <w:rStyle w:val="InternetLink"/>
                  <w:rFonts w:ascii="Arial;sans-serif" w:hAnsi="Arial;sans-serif"/>
                  <w:b w:val="false"/>
                  <w:color w:val="0000FF"/>
                  <w:sz w:val="19"/>
                  <w:u w:val="single"/>
                </w:rPr>
                <w:t>47</w:t>
              </w:r>
            </w:hyperlink>
          </w:p>
        </w:tc>
      </w:tr>
      <w:tr>
        <w:trPr/>
        <w:tc>
          <w:tcPr>
            <w:tcW w:w="9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e739eda75848e98b25f068000aaa05_37">
              <w:r>
                <w:rPr>
                  <w:rStyle w:val="InternetLink"/>
                  <w:rFonts w:ascii="Arial;sans-serif" w:hAnsi="Arial;sans-serif"/>
                  <w:b w:val="false"/>
                  <w:color w:val="0000FF"/>
                  <w:sz w:val="19"/>
                  <w:u w:val="single"/>
                </w:rPr>
                <w:t>Signature</w:t>
              </w:r>
            </w:hyperlink>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5e739eda75848e98b25f068000aaa05_37">
              <w:r>
                <w:rPr>
                  <w:rStyle w:val="InternetLink"/>
                  <w:rFonts w:ascii="Arial;sans-serif" w:hAnsi="Arial;sans-serif"/>
                  <w:b w:val="false"/>
                  <w:color w:val="0000FF"/>
                  <w:sz w:val="19"/>
                  <w:u w:val="single"/>
                </w:rPr>
                <w:t>52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Arial;sans-serif" w:hAnsi="Arial;sans-serif"/>
          <w:b/>
          <w:color w:val="053273"/>
          <w:sz w:val="24"/>
        </w:rPr>
      </w:pPr>
      <w:r>
        <w:rPr>
          <w:rFonts w:ascii="Arial;sans-serif" w:hAnsi="Arial;sans-serif"/>
          <w:b/>
          <w:color w:val="053273"/>
          <w:sz w:val="24"/>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both"/>
        <w:rPr>
          <w:rFonts w:ascii="Arial;sans-serif" w:hAnsi="Arial;sans-serif"/>
          <w:b/>
          <w:color w:val="003273"/>
          <w:sz w:val="24"/>
        </w:rPr>
      </w:pPr>
      <w:r>
        <w:rPr>
          <w:rFonts w:ascii="Arial;sans-serif" w:hAnsi="Arial;sans-serif"/>
          <w:b/>
          <w:color w:val="003273"/>
          <w:sz w:val="24"/>
        </w:rPr>
        <w:t>Item 10.    DIRECTORS, EXECUTIVE OFFICERS AND CORPORATE GOVERNANCE</w:t>
      </w:r>
    </w:p>
    <w:p>
      <w:pPr>
        <w:pStyle w:val="TextBody"/>
        <w:bidi w:val="0"/>
        <w:spacing w:lineRule="auto" w:line="288" w:before="0" w:after="180"/>
        <w:jc w:val="both"/>
        <w:rPr>
          <w:rFonts w:ascii="Arial;sans-serif" w:hAnsi="Arial;sans-serif"/>
          <w:b/>
          <w:color w:val="939598"/>
          <w:sz w:val="24"/>
        </w:rPr>
      </w:pPr>
      <w:r>
        <w:rPr>
          <w:rFonts w:ascii="Arial;sans-serif" w:hAnsi="Arial;sans-serif"/>
          <w:b/>
          <w:color w:val="939598"/>
          <w:sz w:val="24"/>
        </w:rPr>
        <w:t>Our Board of Directors</w:t>
      </w:r>
    </w:p>
    <w:p>
      <w:pPr>
        <w:pStyle w:val="TextBody"/>
        <w:bidi w:val="0"/>
        <w:spacing w:lineRule="auto" w:line="288" w:before="0" w:after="180"/>
        <w:jc w:val="both"/>
        <w:rPr>
          <w:rFonts w:ascii="Arial;sans-serif" w:hAnsi="Arial;sans-serif"/>
          <w:b w:val="false"/>
          <w:color w:val="000000"/>
          <w:sz w:val="19"/>
        </w:rPr>
      </w:pPr>
      <w:r>
        <w:rPr>
          <w:rFonts w:ascii="Arial;sans-serif" w:hAnsi="Arial;sans-serif"/>
          <w:b w:val="false"/>
          <w:color w:val="000000"/>
          <w:sz w:val="19"/>
        </w:rPr>
        <w:t>The following table sets forth the names and ages of our directors as of April 1, 2026:</w:t>
      </w:r>
    </w:p>
    <w:tbl>
      <w:tblPr>
        <w:tblW w:w="10205" w:type="dxa"/>
        <w:jc w:val="center"/>
        <w:tblInd w:w="0" w:type="dxa"/>
        <w:tblLayout w:type="fixed"/>
        <w:tblCellMar>
          <w:top w:w="28" w:type="dxa"/>
          <w:left w:w="28" w:type="dxa"/>
          <w:bottom w:w="28" w:type="dxa"/>
          <w:right w:w="28" w:type="dxa"/>
        </w:tblCellMar>
      </w:tblPr>
      <w:tblGrid>
        <w:gridCol w:w="1083"/>
        <w:gridCol w:w="917"/>
        <w:gridCol w:w="928"/>
        <w:gridCol w:w="259"/>
        <w:gridCol w:w="259"/>
        <w:gridCol w:w="261"/>
        <w:gridCol w:w="1935"/>
        <w:gridCol w:w="1882"/>
        <w:gridCol w:w="2681"/>
      </w:tblGrid>
      <w:tr>
        <w:trPr/>
        <w:tc>
          <w:tcPr>
            <w:tcW w:w="108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r>
      <w:tr>
        <w:trPr/>
        <w:tc>
          <w:tcPr>
            <w:tcW w:w="2928" w:type="dxa"/>
            <w:gridSpan w:val="3"/>
            <w:tcBorders>
              <w:top w:val="single" w:sz="24" w:space="0" w:color="053273"/>
            </w:tcBorders>
            <w:shd w:fill="F3F3F4"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273"/>
                <w:sz w:val="17"/>
              </w:rPr>
            </w:pPr>
            <w:r>
              <w:rPr>
                <w:rFonts w:ascii="Arial;sans-serif" w:hAnsi="Arial;sans-serif"/>
                <w:b/>
                <w:color w:val="003273"/>
                <w:sz w:val="17"/>
              </w:rPr>
              <w:t>NAME</w:t>
            </w:r>
          </w:p>
        </w:tc>
        <w:tc>
          <w:tcPr>
            <w:tcW w:w="779"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3273"/>
                <w:sz w:val="17"/>
              </w:rPr>
            </w:pPr>
            <w:r>
              <w:rPr>
                <w:rFonts w:ascii="Arial;sans-serif" w:hAnsi="Arial;sans-serif"/>
                <w:b/>
                <w:color w:val="003273"/>
                <w:sz w:val="17"/>
              </w:rPr>
              <w:t>AGE</w:t>
            </w:r>
          </w:p>
        </w:tc>
        <w:tc>
          <w:tcPr>
            <w:tcW w:w="6498" w:type="dxa"/>
            <w:gridSpan w:val="3"/>
            <w:tcBorders>
              <w:top w:val="single" w:sz="24" w:space="0" w:color="053273"/>
              <w:left w:val="single" w:sz="4" w:space="0" w:color="C8C9CB"/>
            </w:tcBorders>
            <w:shd w:fill="F3F3F4"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003273"/>
                <w:sz w:val="17"/>
              </w:rPr>
            </w:pPr>
            <w:r>
              <w:rPr>
                <w:rFonts w:ascii="Arial;sans-serif" w:hAnsi="Arial;sans-serif"/>
                <w:b/>
                <w:color w:val="003273"/>
                <w:sz w:val="17"/>
              </w:rPr>
              <w:t>POSITION(S) WITH THE COMPANY</w:t>
            </w:r>
          </w:p>
        </w:tc>
      </w:tr>
      <w:tr>
        <w:trPr/>
        <w:tc>
          <w:tcPr>
            <w:tcW w:w="2928" w:type="dxa"/>
            <w:gridSpan w:val="3"/>
            <w:tcBorders>
              <w:top w:val="single" w:sz="12" w:space="0" w:color="636466"/>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Matthew B. Botein</w:t>
            </w:r>
          </w:p>
        </w:tc>
        <w:tc>
          <w:tcPr>
            <w:tcW w:w="779"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53</w:t>
            </w:r>
          </w:p>
        </w:tc>
        <w:tc>
          <w:tcPr>
            <w:tcW w:w="6498" w:type="dxa"/>
            <w:gridSpan w:val="3"/>
            <w:tcBorders>
              <w:top w:val="single" w:sz="12" w:space="0" w:color="636466"/>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Director</w:t>
            </w:r>
          </w:p>
        </w:tc>
      </w:tr>
      <w:tr>
        <w:trPr/>
        <w:tc>
          <w:tcPr>
            <w:tcW w:w="2928"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Thomas L. Brown</w:t>
            </w:r>
          </w:p>
        </w:tc>
        <w:tc>
          <w:tcPr>
            <w:tcW w:w="77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69</w:t>
            </w:r>
          </w:p>
        </w:tc>
        <w:tc>
          <w:tcPr>
            <w:tcW w:w="6498" w:type="dxa"/>
            <w:gridSpan w:val="3"/>
            <w:tcBorders>
              <w:top w:val="single" w:sz="4" w:space="0" w:color="C8C9CB"/>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Director</w:t>
            </w:r>
          </w:p>
        </w:tc>
      </w:tr>
      <w:tr>
        <w:trPr/>
        <w:tc>
          <w:tcPr>
            <w:tcW w:w="2928"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Joel D. Cavaness</w:t>
            </w:r>
          </w:p>
        </w:tc>
        <w:tc>
          <w:tcPr>
            <w:tcW w:w="77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65</w:t>
            </w:r>
          </w:p>
        </w:tc>
        <w:tc>
          <w:tcPr>
            <w:tcW w:w="6498" w:type="dxa"/>
            <w:gridSpan w:val="3"/>
            <w:tcBorders>
              <w:top w:val="single" w:sz="4" w:space="0" w:color="C8C9CB"/>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Director</w:t>
            </w:r>
          </w:p>
        </w:tc>
      </w:tr>
      <w:tr>
        <w:trPr/>
        <w:tc>
          <w:tcPr>
            <w:tcW w:w="2928"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Frank N. D’Orazio</w:t>
            </w:r>
          </w:p>
        </w:tc>
        <w:tc>
          <w:tcPr>
            <w:tcW w:w="77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57</w:t>
            </w:r>
          </w:p>
        </w:tc>
        <w:tc>
          <w:tcPr>
            <w:tcW w:w="6498" w:type="dxa"/>
            <w:gridSpan w:val="3"/>
            <w:tcBorders>
              <w:top w:val="single" w:sz="4" w:space="0" w:color="C8C9CB"/>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Chief Executive Officer and Director</w:t>
            </w:r>
          </w:p>
        </w:tc>
      </w:tr>
      <w:tr>
        <w:trPr/>
        <w:tc>
          <w:tcPr>
            <w:tcW w:w="2928"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Kirstin M. Gould</w:t>
            </w:r>
          </w:p>
        </w:tc>
        <w:tc>
          <w:tcPr>
            <w:tcW w:w="77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59</w:t>
            </w:r>
          </w:p>
        </w:tc>
        <w:tc>
          <w:tcPr>
            <w:tcW w:w="6498" w:type="dxa"/>
            <w:gridSpan w:val="3"/>
            <w:tcBorders>
              <w:top w:val="single" w:sz="4" w:space="0" w:color="C8C9CB"/>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Director</w:t>
            </w:r>
          </w:p>
        </w:tc>
      </w:tr>
      <w:tr>
        <w:trPr/>
        <w:tc>
          <w:tcPr>
            <w:tcW w:w="2928"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9"/>
              </w:rPr>
              <w:t>Dennis J. Langwell</w:t>
            </w:r>
            <w:r>
              <w:rPr>
                <w:rFonts w:ascii="Arial;sans-serif" w:hAnsi="Arial;sans-serif"/>
                <w:b w:val="false"/>
                <w:color w:val="000000"/>
                <w:sz w:val="12"/>
              </w:rPr>
              <w:t>(1)</w:t>
            </w:r>
          </w:p>
        </w:tc>
        <w:tc>
          <w:tcPr>
            <w:tcW w:w="77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67</w:t>
            </w:r>
          </w:p>
        </w:tc>
        <w:tc>
          <w:tcPr>
            <w:tcW w:w="6498" w:type="dxa"/>
            <w:gridSpan w:val="3"/>
            <w:tcBorders>
              <w:top w:val="single" w:sz="4" w:space="0" w:color="C8C9CB"/>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Director</w:t>
            </w:r>
          </w:p>
        </w:tc>
      </w:tr>
      <w:tr>
        <w:trPr/>
        <w:tc>
          <w:tcPr>
            <w:tcW w:w="2928"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Christine LaSala</w:t>
            </w:r>
          </w:p>
        </w:tc>
        <w:tc>
          <w:tcPr>
            <w:tcW w:w="77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75</w:t>
            </w:r>
          </w:p>
        </w:tc>
        <w:tc>
          <w:tcPr>
            <w:tcW w:w="6498" w:type="dxa"/>
            <w:gridSpan w:val="3"/>
            <w:tcBorders>
              <w:top w:val="single" w:sz="4" w:space="0" w:color="C8C9CB"/>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Director, Non-Executive Chairperson of the Board</w:t>
            </w:r>
          </w:p>
        </w:tc>
      </w:tr>
      <w:tr>
        <w:trPr/>
        <w:tc>
          <w:tcPr>
            <w:tcW w:w="2928"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Peter B. Migliorato</w:t>
            </w:r>
          </w:p>
        </w:tc>
        <w:tc>
          <w:tcPr>
            <w:tcW w:w="779"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66</w:t>
            </w:r>
          </w:p>
        </w:tc>
        <w:tc>
          <w:tcPr>
            <w:tcW w:w="6498" w:type="dxa"/>
            <w:gridSpan w:val="3"/>
            <w:tcBorders>
              <w:top w:val="single" w:sz="4" w:space="0" w:color="C8C9CB"/>
              <w:left w:val="single" w:sz="4" w:space="0" w:color="C8C9CB"/>
              <w:bottom w:val="single" w:sz="4" w:space="0" w:color="C8C9CB"/>
            </w:tcBorders>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Director</w:t>
            </w:r>
          </w:p>
        </w:tc>
      </w:tr>
      <w:tr>
        <w:trPr/>
        <w:tc>
          <w:tcPr>
            <w:tcW w:w="10205" w:type="dxa"/>
            <w:gridSpan w:val="9"/>
            <w:tcBorders>
              <w:top w:val="single" w:sz="4" w:space="0" w:color="C8C9C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9"/>
              </w:rPr>
            </w:pPr>
            <w:r>
              <w:rPr>
                <w:rFonts w:ascii="Arial;sans-serif" w:hAnsi="Arial;sans-serif"/>
                <w:b w:val="false"/>
                <w:color w:val="000000"/>
                <w:sz w:val="19"/>
              </w:rPr>
              <w:t>(1) On April 8, 2026, Mr. Langwell advised the Company that he does not intend to seek re-election as a director at the Company's 2026 annual meeting.</w:t>
            </w:r>
          </w:p>
        </w:tc>
      </w:tr>
    </w:tbl>
    <w:p>
      <w:pPr>
        <w:pStyle w:val="TextBody"/>
        <w:bidi w:val="0"/>
        <w:spacing w:lineRule="auto" w:line="288" w:before="120" w:after="120"/>
        <w:jc w:val="both"/>
        <w:rPr>
          <w:rFonts w:ascii="Arial;sans-serif" w:hAnsi="Arial;sans-serif"/>
          <w:b w:val="false"/>
          <w:color w:val="000000"/>
          <w:sz w:val="19"/>
        </w:rPr>
      </w:pPr>
      <w:r>
        <w:rPr>
          <w:rFonts w:ascii="Arial;sans-serif" w:hAnsi="Arial;sans-serif"/>
          <w:b w:val="false"/>
          <w:color w:val="000000"/>
          <w:sz w:val="19"/>
        </w:rPr>
        <w:t>The following biographical information is furnished as to each director, along with the primary qualifications that we have identified for each individual to serve on our Board.</w:t>
      </w:r>
    </w:p>
    <w:p>
      <w:pPr>
        <w:pStyle w:val="TextBody"/>
        <w:bidi w:val="0"/>
        <w:spacing w:lineRule="auto" w:line="288" w:before="0" w:after="180"/>
        <w:jc w:val="both"/>
        <w:rPr/>
      </w:pPr>
      <w:r>
        <w:rPr>
          <w:rFonts w:ascii="Arial;sans-serif" w:hAnsi="Arial;sans-serif"/>
          <w:b w:val="false"/>
          <w:i/>
          <w:color w:val="003273"/>
          <w:sz w:val="19"/>
        </w:rPr>
        <w:t>Matthew B. Botein</w:t>
      </w:r>
      <w:r>
        <w:rPr>
          <w:color w:val="000000"/>
        </w:rPr>
        <w:t xml:space="preserve"> </w:t>
      </w:r>
      <w:r>
        <w:rPr>
          <w:rFonts w:ascii="Arial;sans-serif" w:hAnsi="Arial;sans-serif"/>
          <w:b w:val="false"/>
          <w:color w:val="000000"/>
          <w:sz w:val="19"/>
        </w:rPr>
        <w:t>has served on our Board of Directors since January 2023. Mr. Botein is a co-founder of Gallatin Point Capital LLC (“Gallatin Point”), a private investment firm and has served as a Managing Partner of Gallatin Point since 2017. Prior to founding Gallatin Point, Mr. Botein served as co-head and Chief Investment Officer for Alternatives of BlackRock Alternative Investors (“BAI”) from 2009 through 2017 and as an advisor to BAI from 2017 through 2020. Prior to joining BAI, Mr. Botein served as a Managing Director and member of the Management Committee at Highfields Capital Management, a Boston-based private investment partnership. He also served as a member of the private equity departments at The Blackstone Group and Lazard Frères &amp; Co. LLC. Mr. Botein currently serves on the board of directors of Israel Discount Bank of New York, Fortuna Holdings Limited (parent of Lloyd’s insurer Canopius), Bowhead Specialty Holdings (NYSE: BOW), Tower Hill Risk Management, LLC, Trusted Resource Underwriters Exchange (TRUE), Insurance Supermarket, Inc., and Northeast Bancorp (Nasdaq: NBN). Mr. Botein previously served on the board of directors of PennyMac Financial Services (NYSE: PFSI), Aspen Insurance Holdings (NYSE: AHL), CoreLogic Inc. (NYSE: CLGX), First American Corporation (NYSE: FAF), PennyMac Mortgage Investment Trust (NYSE: PMT), F1 Holdings Corp, Pie Carrier Holdings, and Hunt Companies, Inc. Mr. Botein also serves on the board of managers of Beth Israel Lahey (formerly CareGroup/CJP). Mr. Botein received a B.A. (magna cum laude) from Harvard College and a M.B.A (with high distinction) from Harvard Business School, where he was awarded Baker and Loeb scholarships.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We believe Mr. Botein’s qualifications to serve on our Board of Directors include his extensive investment management and investment banking experience and knowledge of financial institutions and his experience as a public company board member.</w:t>
      </w:r>
    </w:p>
    <w:p>
      <w:pPr>
        <w:pStyle w:val="TextBody"/>
        <w:bidi w:val="0"/>
        <w:spacing w:lineRule="auto" w:line="288" w:before="0" w:after="180"/>
        <w:jc w:val="both"/>
        <w:rPr/>
      </w:pPr>
      <w:r>
        <w:rPr>
          <w:rFonts w:ascii="Arial;sans-serif" w:hAnsi="Arial;sans-serif"/>
          <w:b w:val="false"/>
          <w:i/>
          <w:color w:val="003273"/>
          <w:sz w:val="19"/>
        </w:rPr>
        <w:t>Thomas L. Brown</w:t>
      </w:r>
      <w:r>
        <w:rPr>
          <w:color w:val="000000"/>
        </w:rPr>
        <w:t xml:space="preserve"> </w:t>
      </w:r>
      <w:r>
        <w:rPr>
          <w:rFonts w:ascii="Arial;sans-serif" w:hAnsi="Arial;sans-serif"/>
          <w:b w:val="false"/>
          <w:color w:val="000000"/>
          <w:sz w:val="19"/>
        </w:rPr>
        <w:t>has served on our Board of Directors since October 2021. Mr. Brown retired in 2019 as the Senior Vice President and Chief Financial Officer of RLI Corp. (“RLI”), a NYSE-listed specialty insurer serving diverse niche property, casualty and surety markets. He previously served as Vice President and Chief Financial Officer at RLI from 2011 to 2017. Prior to that, Mr. Brown was a partner at PricewaterhouseCoopers LLP, where he served for ten years as its Central Region Financial Services Leader and led teams responsible for the banking, insurance, capital markets, real estate and investment management business sectors. Mr. Brown currently serves on the board of directors of the Chicago Shakespeare Theater and Old National Bancorp, a Nasdaq-listed company, and served on the board of First Midwest Bancorp, Inc. from 2017 until its acquisition by Old National Bancorp in February 2022. In 2020, Mr. Brown joined the board of directors of Easterseals DuPage &amp; Fox Valley, and he previously served on the board of Easterseals Central Illinois. From 2004 to 2017, Mr. Brown served on the board of trustees of Illinois Wesleyan University. Mr. Brown received a Bachelor of Science in Accounting from Illinois Wesleyan University in 1979.</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We believe Mr. Brown’s qualifications to serve on our Board of Directors include his management experience at RLI, his knowledge of the property and casualty insurance industry, his financial and accounting expertise and his experience as a public company board member.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240"/>
        <w:jc w:val="both"/>
        <w:rPr/>
      </w:pPr>
      <w:r>
        <w:rPr>
          <w:rFonts w:ascii="Arial;sans-serif" w:hAnsi="Arial;sans-serif"/>
          <w:b w:val="false"/>
          <w:i/>
          <w:color w:val="003273"/>
          <w:sz w:val="19"/>
        </w:rPr>
        <w:t>Joel D. Cavaness</w:t>
      </w:r>
      <w:r>
        <w:rPr>
          <w:color w:val="000000"/>
        </w:rPr>
        <w:t xml:space="preserve"> </w:t>
      </w:r>
      <w:r>
        <w:rPr>
          <w:rFonts w:ascii="Arial;sans-serif" w:hAnsi="Arial;sans-serif"/>
          <w:b w:val="false"/>
          <w:color w:val="000000"/>
          <w:sz w:val="19"/>
        </w:rPr>
        <w:t>has served on our Board of Directors since July 2025. He retired in June 2025 from Risk Placement Services, Inc. (“RPS”), a subsidiary of Arthur J. Gallagher &amp; Co. (“Gallagher”), a global insurance brokerage, risk management and consulting firm, where he most recently served as a divisional Chairman. Mr. Cavaness joined Gallagher in 1986 and served in various leadership roles during his tenure, including as President of International Special Risk Services, Inc. from 1996 to 1997, and as Chief Executive Officer, Americas Specialty at Gallagher and Co-Founder and President of RPS from 1997 to 2024. Mr. Cavaness previously worked in underwriting roles at Crum and Forster Insurance Company and other insurance companies. Mr. Cavaness served on the board of directors of the Wholesale &amp; Specialty Insurance Association (“WSIA”) from 2010 to 2022. In 2023, Mr. Cavaness received the prestigious Vincent Donahue/Charles McAlear Industry Award from WSIA for extraordinary contributions to the specialty and surplus lines industry. Mr. Cavaness received a Bachelor of Science in Business Administration from Southeast Missouri State University. He also holds Chartered Property Casualty Underwriter and Associate in Risk Management designations.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We believe Mr. Cavaness’s qualifications to serve on our Board of Directors include his executive leadership experience at Gallagher and his knowledge of the property and casualty insurance industry.</w:t>
      </w:r>
    </w:p>
    <w:p>
      <w:pPr>
        <w:pStyle w:val="TextBody"/>
        <w:bidi w:val="0"/>
        <w:spacing w:lineRule="auto" w:line="288" w:before="0" w:after="240"/>
        <w:jc w:val="both"/>
        <w:rPr/>
      </w:pPr>
      <w:r>
        <w:rPr>
          <w:rFonts w:ascii="Arial;sans-serif" w:hAnsi="Arial;sans-serif"/>
          <w:b w:val="false"/>
          <w:i/>
          <w:color w:val="003273"/>
          <w:sz w:val="19"/>
        </w:rPr>
        <w:t>Frank N. D’Orazio</w:t>
      </w:r>
      <w:r>
        <w:rPr>
          <w:color w:val="000000"/>
        </w:rPr>
        <w:t xml:space="preserve"> </w:t>
      </w:r>
      <w:r>
        <w:rPr>
          <w:rFonts w:ascii="Arial;sans-serif" w:hAnsi="Arial;sans-serif"/>
          <w:b w:val="false"/>
          <w:color w:val="000000"/>
          <w:sz w:val="19"/>
        </w:rPr>
        <w:t>has served as Chief Executive Officer of the Company and James River Group, Inc. since November 2020, and as a member of our Board of Directors. Mr. D’Orazio formerly served as Corporate Chief Operating Officer and Chief of Staff of Allied World Assurance Company Holdings, Ltd. (“Allied World”), a global provider of property, casualty and specialty insurance and reinsurance, from March 2019 through January 2020. Prior to that, Mr. D’Orazio served as President, Underwriting and Global Risk of Allied World from December 2014 through February 2019. From September 2009 to December 2014, Mr. D’Orazio served as the President — Bermuda and International Insurance of Allied World Ltd. From June 2003, when Mr. D’Orazio joined Allied World, through September 2009, Mr. D’Orazio held leadership roles with increasing responsibility in the company’s general casualty business and in underwriting. Before joining Allied World, Mr. D’Orazio worked for the insurance market arm of Munich-American Re-Insurance from August 1994 to May 2003, where he held a succession of underwriting and management positions. Prior to that Mr. D’Orazio held various underwriting positions in the excess casualty division of the Chubb Group of Insurance Companies from June 1990 to July 1994. Mr. D’Orazio received a B.A. from Fairfield University.</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We believe Mr. D’Orazio’s qualifications to serve on our Board of Directors include his extensive experience as an executive officer in the insurance industry and significant insurance, underwriting and enterprise risk management knowledge, as well as his extensive knowledge of the Company’s day-to-day operations based upon his service as our Chief Executive Officer.</w:t>
      </w:r>
    </w:p>
    <w:p>
      <w:pPr>
        <w:pStyle w:val="TextBody"/>
        <w:bidi w:val="0"/>
        <w:spacing w:lineRule="auto" w:line="288" w:before="0" w:after="240"/>
        <w:jc w:val="both"/>
        <w:rPr/>
      </w:pPr>
      <w:r>
        <w:rPr>
          <w:rFonts w:ascii="Arial;sans-serif" w:hAnsi="Arial;sans-serif"/>
          <w:b w:val="false"/>
          <w:i/>
          <w:color w:val="003273"/>
          <w:sz w:val="19"/>
        </w:rPr>
        <w:t>Kirstin M. Gould</w:t>
      </w:r>
      <w:r>
        <w:rPr>
          <w:color w:val="000000"/>
        </w:rPr>
        <w:t xml:space="preserve"> </w:t>
      </w:r>
      <w:r>
        <w:rPr>
          <w:rFonts w:ascii="Arial;sans-serif" w:hAnsi="Arial;sans-serif"/>
          <w:b w:val="false"/>
          <w:color w:val="000000"/>
          <w:sz w:val="19"/>
        </w:rPr>
        <w:t>has served on our Board of Directors since October 2021. Ms. Gould served as Executive Vice President, General Counsel and Corporate Secretary of XL Group Ltd (“XL”), a NYSE-listed global insurance and reinsurance company, until XL was acquired by AXA, S.A. in 2018. Ms. Gould joined XL in 2000 and served in various leadership roles during her tenure, including leading the marketing and communications function from 2007-2015 while concurrently serving as General Counsel from September 2007. From 2005-2011, Ms. Gould chaired the Policy Committee of the Association of Bermuda Insurers and Reinsurers (ABIR), which is a trade association of international property and casualty insurers and reinsurers. Ms. Gould currently serves on the boards of Pacific Life Re Global Limited and Pacific Life Re International Limited, where she is a member of the Risk, Audit and Remuneration Committees. She is also the founder of Harrington Advisors LLC, a consulting company focused on strategic advice including M&amp;A, corporate governance and insurance regulatory matters. Ms. Gould began her career in private practice with the law firms Dewey Ballantine LLP in New York (1991-1995) and Clifford Chance LLP in New York and London (1996-2000). Ms. Gould received a Bachelor of Arts (summa cum laude) from the State University of New York at Albany and a Juris Doctor (cum laude) from the State University of New York at Buffalo School of Law.</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We believe Ms. Gould’s qualifications to serve on our Board of Directors include her other board experience, her executive leadership at XL, as well as her extensive experience in corporate governance, risk management, insurance regulatory matters and insurance company mergers and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240"/>
        <w:jc w:val="both"/>
        <w:rPr/>
      </w:pPr>
      <w:r>
        <w:rPr>
          <w:rFonts w:ascii="Arial;sans-serif" w:hAnsi="Arial;sans-serif"/>
          <w:b w:val="false"/>
          <w:i/>
          <w:color w:val="003273"/>
          <w:sz w:val="19"/>
        </w:rPr>
        <w:t>Dennis J. Langwell</w:t>
      </w:r>
      <w:r>
        <w:rPr>
          <w:color w:val="000000"/>
        </w:rPr>
        <w:t xml:space="preserve"> </w:t>
      </w:r>
      <w:r>
        <w:rPr>
          <w:rFonts w:ascii="Arial;sans-serif" w:hAnsi="Arial;sans-serif"/>
          <w:b w:val="false"/>
          <w:color w:val="000000"/>
          <w:sz w:val="19"/>
        </w:rPr>
        <w:t>has served on our Board of Directors since April 2023. On April 8, 2026, Mr. Langwell advised the Company that he does not intend to seek re-election as a director at the Company’s 2026 annual meeting. Mr. Langwell retired in 2022 from Liberty Mutual Group Inc., a holding company of Liberty Mutual Insurance Operations (“Liberty Mutual”), a global provider of insurance products and services, where he most recently served as Vice Chairman of Insurance Operations. Mr. Langwell joined Liberty Mutual in 1993 and served in various leadership roles during his tenure, including as President — Global Risk Solutions from 2018 to 2021 and as Executive Vice President and Chief Financial Officer from 2003 to 2018. Mr. Langwell previously worked in finance and reporting roles for Liberty Mutual and other insurance companies and began his career at KPMG (Peat Marwick). Mr. Langwell currently serves on the boards of Safety Insurance Group, Inc. and Companion Protect, and as Vice Chairman of the board of trustees at Providence College. Mr. Langwell also serves as an advisory board member to Owl.co, a Canadian based insurance technology organization providing AI-guided claim insights, since January 2024. Mr. Langwell received a Bachelor of Science (magna cum laude) in Accounting from Providence College. He is a former (nonpracticing) certified public accountant. Mr. Langwell is also a private investor in real estate activities.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We believe Mr. Langwell’s qualifications to serve on our Board of Directors include his executive leadership experience at Liberty Mutual, his operating knowledge of the property and casualty industry and his financial and accounting expertise.</w:t>
      </w:r>
    </w:p>
    <w:p>
      <w:pPr>
        <w:pStyle w:val="TextBody"/>
        <w:bidi w:val="0"/>
        <w:spacing w:lineRule="auto" w:line="288" w:before="0" w:after="240"/>
        <w:jc w:val="both"/>
        <w:rPr/>
      </w:pPr>
      <w:r>
        <w:rPr>
          <w:rFonts w:ascii="Arial;sans-serif" w:hAnsi="Arial;sans-serif"/>
          <w:b w:val="false"/>
          <w:i/>
          <w:color w:val="003273"/>
          <w:sz w:val="19"/>
        </w:rPr>
        <w:t>Christine LaSala</w:t>
      </w:r>
      <w:r>
        <w:rPr>
          <w:color w:val="000000"/>
        </w:rPr>
        <w:t xml:space="preserve"> </w:t>
      </w:r>
      <w:r>
        <w:rPr>
          <w:rFonts w:ascii="Arial;sans-serif" w:hAnsi="Arial;sans-serif"/>
          <w:b w:val="false"/>
          <w:color w:val="000000"/>
          <w:sz w:val="19"/>
        </w:rPr>
        <w:t>has served on our Board of Directors since July 2024 and as Non-Executive Chairperson of the Board since February 2025. She retired as Chair of Willis Towers Watson North America Inc. (“WTW”) in 2016. Prior to joining Willis in early 2014, Ms. LaSala served for ten years as the President and Chief Executive Officer of the World Trade Center Captive Insurance Company (“WTC Captive”), a U.S. government-funded, not-for-profit corporation providing liability insurance to the City of New York and over 100 private contractors. Prior to her service at WTC Captive, Ms. LaSala served in various leadership roles during her twenty-five year tenure at Johnson &amp; Higgins (an insurance brokerage firm acquired by Marsh &amp; McLennan), including serving as the firm’s only woman partner and President of Johnson &amp; Higgins New York. Ms. LaSala has served on the board of Sedgwick, a leading provider of claims management, loss adjusting and technology-enabled risk, benefits and business solutions, since October 2021. She served on the board of directors of Beazley plc for eight years, including in a variety of board leadership roles such as Senior Independent Director and Interim Chair, prior to stepping down in April 2024. She also served on the board of directors of FCC Services Captive Insurance Company from January 2020 to July 2022. Ms. LaSala received a Bachelor of Arts in Philosophy from the College of New Rochelle.</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We believe Ms. LaSala’s qualifications to serve on our Board of Directors include her executive leadership experience at WTW and WTC Captive, her knowledge of the property and casualty insurance industry and her experience as a board member of large companies in the insurance industry.</w:t>
      </w:r>
    </w:p>
    <w:p>
      <w:pPr>
        <w:pStyle w:val="TextBody"/>
        <w:bidi w:val="0"/>
        <w:spacing w:lineRule="auto" w:line="288" w:before="0" w:after="240"/>
        <w:jc w:val="both"/>
        <w:rPr/>
      </w:pPr>
      <w:r>
        <w:rPr>
          <w:rFonts w:ascii="Arial;sans-serif" w:hAnsi="Arial;sans-serif"/>
          <w:b w:val="false"/>
          <w:i/>
          <w:color w:val="003273"/>
          <w:sz w:val="19"/>
        </w:rPr>
        <w:t>Peter B. Migliorato</w:t>
      </w:r>
      <w:r>
        <w:rPr>
          <w:color w:val="000000"/>
        </w:rPr>
        <w:t xml:space="preserve"> </w:t>
      </w:r>
      <w:r>
        <w:rPr>
          <w:rFonts w:ascii="Arial;sans-serif" w:hAnsi="Arial;sans-serif"/>
          <w:b w:val="false"/>
          <w:color w:val="000000"/>
          <w:sz w:val="19"/>
        </w:rPr>
        <w:t>has served on our Board of Directors since October 2022. He retired in 2021 as a partner of Deloitte Consulting (“Deloitte”), where he most recently served as Lead Client Service Partner to insurance clients. Mr. Migliorato also served as the North American Insurance Consulting practice leader with Deloitte in the property &amp; casualty, life &amp; retirement and employee benefits sectors. Mr. Migliorato joined Deloitte in 2001 and served in various leadership roles during his twenty-year tenure. Before joining Deloitte, Mr. Migliorato served as an equity partner at Emergence Consulting and C-Change Consulting, two start-up strategy consultancies, from 1998 to 2001 and as Senior Vice President, Marketing and Business Development at Marketing Technologies International, a data sciences firm, from 1997 to 1998. Prior to that, he led the Insurance Practice, served clients across multiple industries, and was Chief of Staff to the Chief Executive Officer of Gemini Consulting, a global management consulting firm, from 1985 to 1997. Mr. Migliorato serves as an advisory board member to three early stage, privately held AI technology companies: Machine Cover, Inc., an insurance technology company, since June 2021; Owl.co, a Canadian based insurance technology organization providing AI guided claim insights, since April 2023; and Aniline, a U.S. based AI data sciences company, since January 2024. He served on the board of directors of State Automobile Mutual Insurance Company, the mutual holding company parent of State Auto Financial Corporation (“State Auto”) from March 2021 until State Auto was acquired by Liberty Mutual Holding Company Inc. in March 2022; and as an advisory board member to Safekeep, Inc., an insurance technology company, from June 2021 until its acquisition by CCCIS in February 2022. Mr. Migliorato received a Bachelor of Arts with dual majors in History and Geology from Oberlin College, where he was also a member of the Phi Beta Kappa academic honor society.</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We believe Mr. Migliorato’s qualifications to serve on our Board of Directors include his extensive experience at Deloitte advising insurance companies on implementation of growth strategies, executing mergers and acquisitions and implementing technology and data platforms, his knowledge of the property and casualty insurance industry and his experience as an advisory board member to three insurance technology companies.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There are no family relationships among any of our directors or executive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240"/>
        <w:jc w:val="both"/>
        <w:rPr>
          <w:rFonts w:ascii="Arial;sans-serif" w:hAnsi="Arial;sans-serif"/>
          <w:b/>
          <w:color w:val="939598"/>
          <w:sz w:val="24"/>
        </w:rPr>
      </w:pPr>
      <w:r>
        <w:rPr>
          <w:rFonts w:ascii="Arial;sans-serif" w:hAnsi="Arial;sans-serif"/>
          <w:b/>
          <w:color w:val="939598"/>
          <w:sz w:val="24"/>
        </w:rPr>
        <w:t>Executive Officers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following table identifies each of our executive officers and their age as of April 1, 2026:</w:t>
      </w:r>
    </w:p>
    <w:tbl>
      <w:tblPr>
        <w:tblW w:w="7065" w:type="dxa"/>
        <w:jc w:val="center"/>
        <w:tblInd w:w="0" w:type="dxa"/>
        <w:tblLayout w:type="fixed"/>
        <w:tblCellMar>
          <w:top w:w="28" w:type="dxa"/>
          <w:left w:w="28" w:type="dxa"/>
          <w:bottom w:w="28" w:type="dxa"/>
          <w:right w:w="28" w:type="dxa"/>
        </w:tblCellMar>
      </w:tblPr>
      <w:tblGrid>
        <w:gridCol w:w="692"/>
        <w:gridCol w:w="608"/>
        <w:gridCol w:w="619"/>
        <w:gridCol w:w="155"/>
        <w:gridCol w:w="155"/>
        <w:gridCol w:w="156"/>
        <w:gridCol w:w="1367"/>
        <w:gridCol w:w="1367"/>
        <w:gridCol w:w="1946"/>
      </w:tblGrid>
      <w:tr>
        <w:trPr/>
        <w:tc>
          <w:tcPr>
            <w:tcW w:w="69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4" w:space="0" w:color="053273"/>
            </w:tcBorders>
            <w:shd w:fill="F3F3F4"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273"/>
                <w:sz w:val="17"/>
              </w:rPr>
            </w:pPr>
            <w:r>
              <w:rPr>
                <w:rFonts w:ascii="Arial;sans-serif" w:hAnsi="Arial;sans-serif"/>
                <w:b/>
                <w:color w:val="003273"/>
                <w:sz w:val="17"/>
              </w:rPr>
              <w:t>NAME</w:t>
            </w:r>
          </w:p>
        </w:tc>
        <w:tc>
          <w:tcPr>
            <w:tcW w:w="466"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3273"/>
                <w:sz w:val="17"/>
              </w:rPr>
            </w:pPr>
            <w:r>
              <w:rPr>
                <w:rFonts w:ascii="Arial;sans-serif" w:hAnsi="Arial;sans-serif"/>
                <w:b/>
                <w:color w:val="003273"/>
                <w:sz w:val="17"/>
              </w:rPr>
              <w:t>AGE</w:t>
            </w:r>
          </w:p>
        </w:tc>
        <w:tc>
          <w:tcPr>
            <w:tcW w:w="4680" w:type="dxa"/>
            <w:gridSpan w:val="3"/>
            <w:tcBorders>
              <w:top w:val="single" w:sz="24" w:space="0" w:color="053273"/>
              <w:left w:val="single" w:sz="4" w:space="0" w:color="C8C9CB"/>
            </w:tcBorders>
            <w:shd w:fill="F3F3F4"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003273"/>
                <w:sz w:val="17"/>
              </w:rPr>
            </w:pPr>
            <w:r>
              <w:rPr>
                <w:rFonts w:ascii="Arial;sans-serif" w:hAnsi="Arial;sans-serif"/>
                <w:b/>
                <w:color w:val="003273"/>
                <w:sz w:val="17"/>
              </w:rPr>
              <w:t>POSITION</w:t>
            </w:r>
          </w:p>
        </w:tc>
      </w:tr>
      <w:tr>
        <w:trPr/>
        <w:tc>
          <w:tcPr>
            <w:tcW w:w="1919" w:type="dxa"/>
            <w:gridSpan w:val="3"/>
            <w:tcBorders>
              <w:top w:val="single" w:sz="12" w:space="0" w:color="636466"/>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Frank N. D’Orazio</w:t>
            </w:r>
          </w:p>
        </w:tc>
        <w:tc>
          <w:tcPr>
            <w:tcW w:w="466"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57</w:t>
            </w:r>
          </w:p>
        </w:tc>
        <w:tc>
          <w:tcPr>
            <w:tcW w:w="4680" w:type="dxa"/>
            <w:gridSpan w:val="3"/>
            <w:tcBorders>
              <w:top w:val="single" w:sz="12" w:space="0" w:color="636466"/>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Chief Executive Officer</w:t>
            </w:r>
          </w:p>
        </w:tc>
      </w:tr>
      <w:tr>
        <w:trPr/>
        <w:tc>
          <w:tcPr>
            <w:tcW w:w="1919"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Sarah C. Doran</w:t>
            </w:r>
          </w:p>
        </w:tc>
        <w:tc>
          <w:tcPr>
            <w:tcW w:w="466"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52</w:t>
            </w:r>
          </w:p>
        </w:tc>
        <w:tc>
          <w:tcPr>
            <w:tcW w:w="4680" w:type="dxa"/>
            <w:gridSpan w:val="3"/>
            <w:tcBorders>
              <w:top w:val="single" w:sz="4" w:space="0" w:color="C8C9CB"/>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Chief Financial Officer</w:t>
            </w:r>
          </w:p>
        </w:tc>
      </w:tr>
      <w:tr>
        <w:trPr/>
        <w:tc>
          <w:tcPr>
            <w:tcW w:w="1919"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Michael J. Hoffmann</w:t>
            </w:r>
          </w:p>
        </w:tc>
        <w:tc>
          <w:tcPr>
            <w:tcW w:w="466"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60</w:t>
            </w:r>
          </w:p>
        </w:tc>
        <w:tc>
          <w:tcPr>
            <w:tcW w:w="4680" w:type="dxa"/>
            <w:gridSpan w:val="3"/>
            <w:tcBorders>
              <w:top w:val="single" w:sz="4" w:space="0" w:color="C8C9CB"/>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Group Chief Underwriting Officer</w:t>
            </w:r>
          </w:p>
        </w:tc>
      </w:tr>
      <w:tr>
        <w:trPr/>
        <w:tc>
          <w:tcPr>
            <w:tcW w:w="1919"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Jeanette L. Miller</w:t>
            </w:r>
          </w:p>
        </w:tc>
        <w:tc>
          <w:tcPr>
            <w:tcW w:w="466"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46</w:t>
            </w:r>
          </w:p>
        </w:tc>
        <w:tc>
          <w:tcPr>
            <w:tcW w:w="4680" w:type="dxa"/>
            <w:gridSpan w:val="3"/>
            <w:tcBorders>
              <w:top w:val="single" w:sz="4" w:space="0" w:color="C8C9CB"/>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Chief Legal Officer</w:t>
            </w:r>
          </w:p>
        </w:tc>
      </w:tr>
      <w:tr>
        <w:trPr/>
        <w:tc>
          <w:tcPr>
            <w:tcW w:w="1919" w:type="dxa"/>
            <w:gridSpan w:val="3"/>
            <w:tcBorders>
              <w:top w:val="single" w:sz="4" w:space="0" w:color="C8C9CB"/>
              <w:bottom w:val="single" w:sz="4" w:space="0" w:color="C8C9CB"/>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Todd R. Sutherland</w:t>
            </w:r>
          </w:p>
        </w:tc>
        <w:tc>
          <w:tcPr>
            <w:tcW w:w="466"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56</w:t>
            </w:r>
          </w:p>
        </w:tc>
        <w:tc>
          <w:tcPr>
            <w:tcW w:w="4680" w:type="dxa"/>
            <w:gridSpan w:val="3"/>
            <w:tcBorders>
              <w:top w:val="single" w:sz="4" w:space="0" w:color="C8C9CB"/>
              <w:left w:val="single" w:sz="4" w:space="0" w:color="C8C9CB"/>
              <w:bottom w:val="single" w:sz="4" w:space="0" w:color="C8C9CB"/>
            </w:tcBorders>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President of the Excess and Surplus Lines segment</w:t>
            </w:r>
          </w:p>
        </w:tc>
      </w:tr>
    </w:tbl>
    <w:p>
      <w:pPr>
        <w:pStyle w:val="TextBody"/>
        <w:bidi w:val="0"/>
        <w:spacing w:lineRule="auto" w:line="288" w:before="120" w:after="240"/>
        <w:jc w:val="both"/>
        <w:rPr>
          <w:rFonts w:ascii="Arial;sans-serif" w:hAnsi="Arial;sans-serif"/>
          <w:b w:val="false"/>
          <w:color w:val="000000"/>
          <w:sz w:val="19"/>
        </w:rPr>
      </w:pPr>
      <w:r>
        <w:rPr>
          <w:rFonts w:ascii="Arial;sans-serif" w:hAnsi="Arial;sans-serif"/>
          <w:b w:val="false"/>
          <w:color w:val="000000"/>
          <w:sz w:val="19"/>
        </w:rPr>
        <w:t>The following biographical information is furnished regarding each of our executive officers, excluding Mr. D’Orazio, whose biographical information is included above in the section “Our Board of Directors”.</w:t>
      </w:r>
    </w:p>
    <w:p>
      <w:pPr>
        <w:pStyle w:val="TextBody"/>
        <w:bidi w:val="0"/>
        <w:spacing w:lineRule="auto" w:line="288" w:before="0" w:after="240"/>
        <w:jc w:val="both"/>
        <w:rPr/>
      </w:pPr>
      <w:r>
        <w:rPr>
          <w:rFonts w:ascii="Arial;sans-serif" w:hAnsi="Arial;sans-serif"/>
          <w:b w:val="false"/>
          <w:i/>
          <w:color w:val="003273"/>
          <w:sz w:val="19"/>
        </w:rPr>
        <w:t>Sarah C. Doran</w:t>
      </w:r>
      <w:r>
        <w:rPr>
          <w:color w:val="000000"/>
        </w:rPr>
        <w:t xml:space="preserve"> </w:t>
      </w:r>
      <w:r>
        <w:rPr>
          <w:rFonts w:ascii="Arial;sans-serif" w:hAnsi="Arial;sans-serif"/>
          <w:b w:val="false"/>
          <w:color w:val="000000"/>
          <w:sz w:val="19"/>
        </w:rPr>
        <w:t>has served as the Company’s Chief Financial Officer since January 2017. Ms. Doran also serves as a director and officer of most of our U.S. subsidiaries. Before joining the Company, Ms. Doran served as Senior Vice President, Strategy, Investor Relations and Treasurer of Allied World Assurance Company Holdings, AG, a global provider of property, casualty and specialty insurance and reinsurance, since April 2013. Prior to that, Ms. Doran worked as an investment banker in the Financial Institutions Group of Barclays and Lehman Brothers, and in real estate private equity at LaSalle Investment Management. Ms. Doran received an M.B.A. from the University of Chicago and a B.A. in Government from the University of Notre Dame.</w:t>
      </w:r>
    </w:p>
    <w:p>
      <w:pPr>
        <w:pStyle w:val="TextBody"/>
        <w:bidi w:val="0"/>
        <w:spacing w:lineRule="auto" w:line="288" w:before="0" w:after="240"/>
        <w:jc w:val="both"/>
        <w:rPr/>
      </w:pPr>
      <w:r>
        <w:rPr>
          <w:rFonts w:ascii="Arial;sans-serif" w:hAnsi="Arial;sans-serif"/>
          <w:b w:val="false"/>
          <w:i/>
          <w:color w:val="003273"/>
          <w:sz w:val="19"/>
        </w:rPr>
        <w:t>Michael J. Hoffmann</w:t>
      </w:r>
      <w:r>
        <w:rPr>
          <w:color w:val="000000"/>
        </w:rPr>
        <w:t xml:space="preserve"> </w:t>
      </w:r>
      <w:r>
        <w:rPr>
          <w:rFonts w:ascii="Arial;sans-serif" w:hAnsi="Arial;sans-serif"/>
          <w:b w:val="false"/>
          <w:color w:val="000000"/>
          <w:sz w:val="19"/>
        </w:rPr>
        <w:t>has served as the Company’s Senior Vice President, Group Chief Underwriting Officer since November 2021. Before joining the Company, Mr. Hoffmann served as Head of Risk &amp; Ceded Reinsurance at Everest Insurance Company (“Everest”), a division of Bermuda-based insurer and reinsurer Everest Re Group, from August 2020 to November 2021. Prior to Everest, Mr. Hoffmann spent fifteen years at Allied World, a global provider of property, casualty and specialty insurance and reinsurance, where he most recently served as Global Insurance Chief Underwriting Officer. Prior to Allied World, Mr. Hoffmann spent fourteen years with Chubb in a variety of roles in the U.S. and Bermuda. Mr. Hoffmann received a B.A. in History from Swarthmore College.</w:t>
      </w:r>
    </w:p>
    <w:p>
      <w:pPr>
        <w:pStyle w:val="TextBody"/>
        <w:bidi w:val="0"/>
        <w:spacing w:lineRule="auto" w:line="288" w:before="0" w:after="240"/>
        <w:jc w:val="both"/>
        <w:rPr/>
      </w:pPr>
      <w:r>
        <w:rPr>
          <w:rFonts w:ascii="Arial;sans-serif" w:hAnsi="Arial;sans-serif"/>
          <w:b w:val="false"/>
          <w:i/>
          <w:color w:val="003273"/>
          <w:sz w:val="19"/>
        </w:rPr>
        <w:t xml:space="preserve">Jeanette L. Miller </w:t>
      </w:r>
      <w:r>
        <w:rPr>
          <w:rFonts w:ascii="Arial;sans-serif" w:hAnsi="Arial;sans-serif"/>
          <w:b w:val="false"/>
          <w:color w:val="000000"/>
          <w:sz w:val="19"/>
        </w:rPr>
        <w:t>has served as the Company’s Chief Legal Officer since April 2021, and prior to that served as the Company’s Assistant General Counsel since October 2018. Ms. Miller also serves as an officer of James River Group, Inc. Before joining the Company, Ms. Miller served as Corporate Counsel &amp; Deputy Compliance Officer at International Farming Corporation LLC, a privately owned institutional investment manager specializing in agriculture, from May 2017 to October 2018, and as Assistant General Counsel at CIFC LLC, an asset manager based in New York specializing in alternative credit, from December 2011 to June 2016. From 2006 to 2011, Ms. Miller was an attorney with Milbank LLP in New York in its Alternative Investments Practice. Ms. Miller received a B.S. in Business Administration from the University of Maine and a Juris Doctor from Columbia Law School.</w:t>
      </w:r>
    </w:p>
    <w:p>
      <w:pPr>
        <w:pStyle w:val="TextBody"/>
        <w:bidi w:val="0"/>
        <w:spacing w:lineRule="auto" w:line="288" w:before="0" w:after="240"/>
        <w:jc w:val="both"/>
        <w:rPr/>
      </w:pPr>
      <w:r>
        <w:rPr>
          <w:rFonts w:ascii="Arial;sans-serif" w:hAnsi="Arial;sans-serif"/>
          <w:b w:val="false"/>
          <w:i/>
          <w:color w:val="003273"/>
          <w:sz w:val="19"/>
        </w:rPr>
        <w:t>Todd R. Sutherland</w:t>
      </w:r>
      <w:r>
        <w:rPr>
          <w:color w:val="003273"/>
        </w:rPr>
        <w:t xml:space="preserve"> </w:t>
      </w:r>
      <w:r>
        <w:rPr>
          <w:rFonts w:ascii="Arial;sans-serif" w:hAnsi="Arial;sans-serif"/>
          <w:b w:val="false"/>
          <w:color w:val="000000"/>
          <w:sz w:val="19"/>
        </w:rPr>
        <w:t>has served as the President of our Excess and Surplus Lines segment (“E&amp;S Segment”) since May 2025 and a director of James River Insurance Company and our other subsidiaries in our E&amp;S Segment since August 2025. Mr. Sutherland joined the Company in April 2023 as Senior Vice President of Underwriting, Management Liability. Before joining the Company, Mr. Sutherland spent five years at AXA XL, a division of AXA (“AXA”), where he most recently served as Head of the U.S. Central Zone. Prior to AXA, Mr. Sutherland spent thirteen years as Senior Vice President, Management Liability at Allied World Assurance Company Holdings, AG, a global provider of property, casualty and specialty insurance and reinsurance. Mr. Sutherland also held underwriting management roles at Axis Capital, Kemper Insurance and American International Group earlier in his career. Mr. Sutherland received his B.S. in Finance from Miami University (Ohio).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240"/>
        <w:jc w:val="both"/>
        <w:rPr>
          <w:rFonts w:ascii="Arial;sans-serif" w:hAnsi="Arial;sans-serif"/>
          <w:b/>
          <w:color w:val="939598"/>
          <w:sz w:val="24"/>
        </w:rPr>
      </w:pPr>
      <w:r>
        <w:rPr>
          <w:rFonts w:ascii="Arial;sans-serif" w:hAnsi="Arial;sans-serif"/>
          <w:b/>
          <w:color w:val="939598"/>
          <w:sz w:val="24"/>
        </w:rPr>
        <w:t>Code of Conduct</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We have a Code of Conduct (the “Code of Conduct”) applicable to our directors, officers and employees that complies with the requirements of applicable rules and regulations of the SEC and the Nasdaq Stock Market. This code is designed to deter wrongdoing and to promote:</w:t>
      </w:r>
    </w:p>
    <w:p>
      <w:pPr>
        <w:pStyle w:val="TextBody"/>
        <w:bidi w:val="0"/>
        <w:spacing w:lineRule="auto" w:line="288" w:before="0" w:after="0"/>
        <w:ind w:left="0" w:right="0" w:hanging="360"/>
        <w:jc w:val="both"/>
        <w:rPr/>
      </w:pPr>
      <w:r>
        <w:rPr>
          <w:color w:val="003273"/>
        </w:rPr>
        <w:t>•</w:t>
      </w:r>
      <w:r>
        <w:rPr>
          <w:rFonts w:ascii="Arial;sans-serif" w:hAnsi="Arial;sans-serif"/>
          <w:b w:val="false"/>
          <w:color w:val="000000"/>
          <w:sz w:val="19"/>
        </w:rPr>
        <w:t>honest and ethical conduct, including the ethical handling of avoiding actual or apparent conflicts of interest between personal and professional responsibilities to the Company;</w:t>
      </w:r>
    </w:p>
    <w:p>
      <w:pPr>
        <w:pStyle w:val="TextBody"/>
        <w:bidi w:val="0"/>
        <w:spacing w:lineRule="auto" w:line="288" w:before="0" w:after="0"/>
        <w:ind w:left="0" w:right="0" w:hanging="360"/>
        <w:jc w:val="both"/>
        <w:rPr/>
      </w:pPr>
      <w:r>
        <w:rPr>
          <w:color w:val="003273"/>
        </w:rPr>
        <w:t>•</w:t>
      </w:r>
      <w:r>
        <w:rPr>
          <w:rFonts w:ascii="Arial;sans-serif" w:hAnsi="Arial;sans-serif"/>
          <w:b w:val="false"/>
          <w:color w:val="000000"/>
          <w:sz w:val="19"/>
        </w:rPr>
        <w:t>full, fair, accurate, timely and understandable disclosure in reports and documents that we file with the SEC and in other public communications made by us, as well as communications with insurance and other regulators;</w:t>
      </w:r>
    </w:p>
    <w:p>
      <w:pPr>
        <w:pStyle w:val="TextBody"/>
        <w:bidi w:val="0"/>
        <w:spacing w:lineRule="auto" w:line="288" w:before="0" w:after="0"/>
        <w:ind w:left="0" w:right="0" w:hanging="360"/>
        <w:jc w:val="both"/>
        <w:rPr/>
      </w:pPr>
      <w:r>
        <w:rPr>
          <w:color w:val="003273"/>
        </w:rPr>
        <w:t>•</w:t>
      </w:r>
      <w:r>
        <w:rPr>
          <w:rFonts w:ascii="Arial;sans-serif" w:hAnsi="Arial;sans-serif"/>
          <w:b w:val="false"/>
          <w:color w:val="000000"/>
          <w:sz w:val="19"/>
        </w:rPr>
        <w:t>compliance with applicable governmental laws, rules and regulations;</w:t>
      </w:r>
    </w:p>
    <w:p>
      <w:pPr>
        <w:pStyle w:val="TextBody"/>
        <w:bidi w:val="0"/>
        <w:spacing w:lineRule="auto" w:line="288" w:before="0" w:after="0"/>
        <w:ind w:left="0" w:right="0" w:hanging="360"/>
        <w:jc w:val="both"/>
        <w:rPr/>
      </w:pPr>
      <w:r>
        <w:rPr>
          <w:color w:val="003273"/>
        </w:rPr>
        <w:t>•</w:t>
      </w:r>
      <w:r>
        <w:rPr>
          <w:rFonts w:ascii="Arial;sans-serif" w:hAnsi="Arial;sans-serif"/>
          <w:b w:val="false"/>
          <w:color w:val="000000"/>
          <w:sz w:val="19"/>
        </w:rPr>
        <w:t>the confidentiality and non-disclosure of confidential information;</w:t>
      </w:r>
    </w:p>
    <w:p>
      <w:pPr>
        <w:pStyle w:val="TextBody"/>
        <w:bidi w:val="0"/>
        <w:spacing w:lineRule="auto" w:line="288" w:before="0" w:after="0"/>
        <w:ind w:left="0" w:right="0" w:hanging="360"/>
        <w:jc w:val="both"/>
        <w:rPr/>
      </w:pPr>
      <w:r>
        <w:rPr>
          <w:color w:val="003273"/>
        </w:rPr>
        <w:t>•</w:t>
      </w:r>
      <w:r>
        <w:rPr>
          <w:rFonts w:ascii="Arial;sans-serif" w:hAnsi="Arial;sans-serif"/>
          <w:b w:val="false"/>
          <w:color w:val="000000"/>
          <w:sz w:val="19"/>
        </w:rPr>
        <w:t>prompt reporting of violations of the Code of Conduct to our designated hotline; and</w:t>
      </w:r>
    </w:p>
    <w:p>
      <w:pPr>
        <w:pStyle w:val="TextBody"/>
        <w:bidi w:val="0"/>
        <w:spacing w:lineRule="auto" w:line="288" w:before="0" w:after="240"/>
        <w:ind w:left="0" w:right="0" w:hanging="360"/>
        <w:jc w:val="both"/>
        <w:rPr/>
      </w:pPr>
      <w:r>
        <w:rPr>
          <w:color w:val="003273"/>
        </w:rPr>
        <w:t>•</w:t>
      </w:r>
      <w:r>
        <w:rPr>
          <w:rFonts w:ascii="Arial;sans-serif" w:hAnsi="Arial;sans-serif"/>
          <w:b w:val="false"/>
          <w:color w:val="000000"/>
          <w:sz w:val="19"/>
        </w:rPr>
        <w:t>accountability for adherence to the Code of Conduct.</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Our Code of Conduct is available on the Our Group – Governance – Corporate Governance portion of our website (https://jrvrgroup.com). We intend to disclose any future amendment to, or waiver from, a provision of our Code of Conduct that applies to our principal executive officer, principal financial officer, principal accounting officer or controller, or persons performing similar functions, by posting such information on this Corporate Governance portion of our website.</w:t>
      </w:r>
    </w:p>
    <w:p>
      <w:pPr>
        <w:pStyle w:val="TextBody"/>
        <w:bidi w:val="0"/>
        <w:spacing w:lineRule="auto" w:line="288" w:before="0" w:after="240"/>
        <w:jc w:val="both"/>
        <w:rPr>
          <w:rFonts w:ascii="Arial;sans-serif" w:hAnsi="Arial;sans-serif"/>
          <w:b/>
          <w:color w:val="939598"/>
          <w:sz w:val="24"/>
        </w:rPr>
      </w:pPr>
      <w:r>
        <w:rPr>
          <w:rFonts w:ascii="Arial;sans-serif" w:hAnsi="Arial;sans-serif"/>
          <w:b/>
          <w:color w:val="939598"/>
          <w:sz w:val="24"/>
        </w:rPr>
        <w:t>Audit Committee</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Audit Committee consists of Messrs. Langwell (Chairperson), Brown and Migliorato and Ms. LaSala. Our Board has determined that all of the members of the Audit Committee are independent as defined under the rules of the Nasdaq Stock Market and the independence requirements contemplated by Rule 10A-3 under the Securities Exchange Act of 1934, as amended (the “Exchange Act”). Additionally, Messrs. Brown and Langwell and Ms. LaSala have been identified by our Board of Directors as an “audit committee financial expert” as that term is defined in Item 407(d)(5)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240"/>
        <w:jc w:val="both"/>
        <w:rPr>
          <w:rFonts w:ascii="Arial;sans-serif" w:hAnsi="Arial;sans-serif"/>
          <w:b/>
          <w:color w:val="003273"/>
          <w:sz w:val="24"/>
        </w:rPr>
      </w:pPr>
      <w:r>
        <w:rPr>
          <w:rFonts w:ascii="Arial;sans-serif" w:hAnsi="Arial;sans-serif"/>
          <w:b/>
          <w:color w:val="003273"/>
          <w:sz w:val="24"/>
        </w:rPr>
        <w:t>Item 11.    EXECUTIVE COMPENSATION</w:t>
      </w:r>
    </w:p>
    <w:p>
      <w:pPr>
        <w:pStyle w:val="TextBody"/>
        <w:bidi w:val="0"/>
        <w:spacing w:lineRule="auto" w:line="288" w:before="0" w:after="240"/>
        <w:jc w:val="both"/>
        <w:rPr>
          <w:rFonts w:ascii="Arial;sans-serif" w:hAnsi="Arial;sans-serif"/>
          <w:b/>
          <w:color w:val="939598"/>
          <w:sz w:val="24"/>
        </w:rPr>
      </w:pPr>
      <w:r>
        <w:rPr>
          <w:rFonts w:ascii="Arial;sans-serif" w:hAnsi="Arial;sans-serif"/>
          <w:b/>
          <w:color w:val="939598"/>
          <w:sz w:val="24"/>
        </w:rPr>
        <w:t>Compensation Discussion and Analysis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This compensation discussion and analysis (“CD&amp;A”) describes the philosophy, objectives, process, components and additional aspects of our executive compensation program for the fiscal year ended December 31, 2025. This CD&amp;A is intended to be read in conjunction with the compensation tables that immediately follow this section, which provide historical compensation information for our following named executive officers (NEOs):</w:t>
      </w:r>
    </w:p>
    <w:tbl>
      <w:tblPr>
        <w:tblW w:w="10205" w:type="dxa"/>
        <w:jc w:val="center"/>
        <w:tblInd w:w="0" w:type="dxa"/>
        <w:tblLayout w:type="fixed"/>
        <w:tblCellMar>
          <w:top w:w="28" w:type="dxa"/>
          <w:left w:w="28" w:type="dxa"/>
          <w:bottom w:w="28" w:type="dxa"/>
          <w:right w:w="28" w:type="dxa"/>
        </w:tblCellMar>
      </w:tblPr>
      <w:tblGrid>
        <w:gridCol w:w="587"/>
        <w:gridCol w:w="427"/>
        <w:gridCol w:w="430"/>
        <w:gridCol w:w="2643"/>
        <w:gridCol w:w="2533"/>
        <w:gridCol w:w="3585"/>
      </w:tblGrid>
      <w:tr>
        <w:trPr/>
        <w:tc>
          <w:tcPr>
            <w:tcW w:w="58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3585"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top w:val="single" w:sz="24" w:space="0" w:color="053273"/>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Frank N. D’Orazio</w:t>
            </w:r>
          </w:p>
        </w:tc>
        <w:tc>
          <w:tcPr>
            <w:tcW w:w="8761" w:type="dxa"/>
            <w:gridSpan w:val="3"/>
            <w:tcBorders>
              <w:top w:val="single" w:sz="24" w:space="0" w:color="053273"/>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Chief Executive Officer</w:t>
            </w:r>
          </w:p>
        </w:tc>
      </w:tr>
      <w:tr>
        <w:trPr/>
        <w:tc>
          <w:tcPr>
            <w:tcW w:w="1444"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Sarah C. Doran</w:t>
            </w:r>
          </w:p>
        </w:tc>
        <w:tc>
          <w:tcPr>
            <w:tcW w:w="8761" w:type="dxa"/>
            <w:gridSpan w:val="3"/>
            <w:tcBorders>
              <w:top w:val="single" w:sz="4" w:space="0" w:color="C8C9CB"/>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Chief Financial Officer</w:t>
            </w:r>
          </w:p>
        </w:tc>
      </w:tr>
      <w:tr>
        <w:trPr/>
        <w:tc>
          <w:tcPr>
            <w:tcW w:w="1444"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Richard J. Schmitzer</w:t>
            </w:r>
          </w:p>
        </w:tc>
        <w:tc>
          <w:tcPr>
            <w:tcW w:w="8761" w:type="dxa"/>
            <w:gridSpan w:val="3"/>
            <w:tcBorders>
              <w:top w:val="single" w:sz="4" w:space="0" w:color="C8C9CB"/>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Former President and Chief Executive Officer of James River Insurance Company and our other subsidiaries in our excess and surplus lines insurance business until May 5, 2025 and July 31, 2025, respectively</w:t>
            </w:r>
          </w:p>
        </w:tc>
      </w:tr>
      <w:tr>
        <w:trPr/>
        <w:tc>
          <w:tcPr>
            <w:tcW w:w="1444"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Michael J. Hoffmann</w:t>
            </w:r>
          </w:p>
        </w:tc>
        <w:tc>
          <w:tcPr>
            <w:tcW w:w="8761" w:type="dxa"/>
            <w:gridSpan w:val="3"/>
            <w:tcBorders>
              <w:top w:val="single" w:sz="4" w:space="0" w:color="C8C9CB"/>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Group Chief Underwriting Officer</w:t>
            </w:r>
          </w:p>
        </w:tc>
      </w:tr>
      <w:tr>
        <w:trPr/>
        <w:tc>
          <w:tcPr>
            <w:tcW w:w="1444"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Jeanette L. Miller</w:t>
            </w:r>
          </w:p>
        </w:tc>
        <w:tc>
          <w:tcPr>
            <w:tcW w:w="8761" w:type="dxa"/>
            <w:gridSpan w:val="3"/>
            <w:tcBorders>
              <w:top w:val="single" w:sz="4" w:space="0" w:color="C8C9CB"/>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Chief Legal Officer</w:t>
            </w:r>
          </w:p>
        </w:tc>
      </w:tr>
      <w:tr>
        <w:trPr/>
        <w:tc>
          <w:tcPr>
            <w:tcW w:w="1444"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Todd R. Sutherland*</w:t>
            </w:r>
          </w:p>
        </w:tc>
        <w:tc>
          <w:tcPr>
            <w:tcW w:w="8761" w:type="dxa"/>
            <w:gridSpan w:val="3"/>
            <w:tcBorders>
              <w:top w:val="single" w:sz="4" w:space="0" w:color="C8C9CB"/>
              <w:left w:val="single" w:sz="4" w:space="0" w:color="C8C9CB"/>
              <w:bottom w:val="single" w:sz="4" w:space="0" w:color="C8C9CB"/>
            </w:tcBorders>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President of the Excess and Surplus Lines segment</w:t>
            </w:r>
          </w:p>
        </w:tc>
      </w:tr>
      <w:tr>
        <w:trPr/>
        <w:tc>
          <w:tcPr>
            <w:tcW w:w="10205" w:type="dxa"/>
            <w:gridSpan w:val="6"/>
            <w:tcBorders>
              <w:top w:val="single" w:sz="4" w:space="0" w:color="C8C9C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Mr. Sutherland was promoted to President of the Excess and Surplus Lines segment on May 5, 2025.</w:t>
            </w:r>
          </w:p>
        </w:tc>
      </w:tr>
    </w:tbl>
    <w:p>
      <w:pPr>
        <w:pStyle w:val="TextBody"/>
        <w:bidi w:val="0"/>
        <w:spacing w:lineRule="auto" w:line="288" w:before="240" w:after="240"/>
        <w:jc w:val="both"/>
        <w:rPr/>
      </w:pPr>
      <w:r>
        <w:rPr>
          <w:rFonts w:ascii="Arial;sans-serif" w:hAnsi="Arial;sans-serif"/>
          <w:b/>
          <w:color w:val="003273"/>
          <w:sz w:val="19"/>
        </w:rPr>
        <w:t>I.</w:t>
      </w:r>
      <w:r>
        <w:rPr>
          <w:rFonts w:ascii="Arial;sans-serif" w:hAnsi="Arial;sans-serif"/>
          <w:b/>
          <w:color w:val="003273"/>
          <w:sz w:val="20"/>
        </w:rPr>
        <w:t>EXECUTIVE SUMMARY</w:t>
      </w:r>
    </w:p>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2025 Select Business Results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Throughout 2025, we remained disciplined and focused on creating value for our shareholders. The strategic actions, underwriting changes, and focus on smaller insureds that we have driven over the past few years have strengthened our organization while improving our profitability and operational efficiency. Key highlights include:</w:t>
      </w:r>
    </w:p>
    <w:p>
      <w:pPr>
        <w:pStyle w:val="TextBody"/>
        <w:bidi w:val="0"/>
        <w:spacing w:lineRule="auto" w:line="288" w:before="0" w:after="0"/>
        <w:ind w:left="0" w:right="0" w:hanging="360"/>
        <w:jc w:val="both"/>
        <w:rPr/>
      </w:pPr>
      <w:r>
        <w:rPr>
          <w:color w:val="003273"/>
        </w:rPr>
        <w:t>•</w:t>
      </w:r>
      <w:r>
        <w:rPr>
          <w:rFonts w:ascii="Arial;sans-serif" w:hAnsi="Arial;sans-serif"/>
          <w:b w:val="false"/>
          <w:color w:val="000000"/>
          <w:sz w:val="19"/>
        </w:rPr>
        <w:t>Full year combined ratio of 96.6%.</w:t>
      </w:r>
    </w:p>
    <w:p>
      <w:pPr>
        <w:pStyle w:val="TextBody"/>
        <w:bidi w:val="0"/>
        <w:spacing w:lineRule="auto" w:line="288" w:before="0" w:after="0"/>
        <w:ind w:left="0" w:right="0" w:hanging="360"/>
        <w:jc w:val="both"/>
        <w:rPr/>
      </w:pPr>
      <w:r>
        <w:rPr>
          <w:color w:val="003273"/>
        </w:rPr>
        <w:t>•</w:t>
      </w:r>
      <w:r>
        <w:rPr>
          <w:rFonts w:ascii="Arial;sans-serif" w:hAnsi="Arial;sans-serif"/>
          <w:b w:val="false"/>
          <w:color w:val="000000"/>
          <w:sz w:val="19"/>
        </w:rPr>
        <w:t>General and administrative expenses down 9% compared to 2024.</w:t>
      </w:r>
    </w:p>
    <w:p>
      <w:pPr>
        <w:pStyle w:val="TextBody"/>
        <w:bidi w:val="0"/>
        <w:spacing w:lineRule="auto" w:line="288" w:before="0" w:after="0"/>
        <w:ind w:left="0" w:right="0" w:hanging="360"/>
        <w:jc w:val="both"/>
        <w:rPr/>
      </w:pPr>
      <w:r>
        <w:rPr>
          <w:color w:val="003273"/>
        </w:rPr>
        <w:t>•</w:t>
      </w:r>
      <w:r>
        <w:rPr>
          <w:rFonts w:ascii="Arial;sans-serif" w:hAnsi="Arial;sans-serif"/>
          <w:b w:val="false"/>
          <w:color w:val="000000"/>
          <w:sz w:val="19"/>
        </w:rPr>
        <w:t>Tangible common equity per share</w:t>
      </w:r>
      <w:r>
        <w:rPr>
          <w:rFonts w:ascii="Arial;sans-serif" w:hAnsi="Arial;sans-serif"/>
          <w:b w:val="false"/>
          <w:color w:val="000000"/>
          <w:sz w:val="12"/>
        </w:rPr>
        <w:t>1</w:t>
      </w:r>
      <w:r>
        <w:rPr>
          <w:color w:val="000000"/>
        </w:rPr>
        <w:t xml:space="preserve"> </w:t>
      </w:r>
      <w:r>
        <w:rPr>
          <w:rFonts w:ascii="Arial;sans-serif" w:hAnsi="Arial;sans-serif"/>
          <w:b w:val="false"/>
          <w:color w:val="000000"/>
          <w:sz w:val="19"/>
        </w:rPr>
        <w:t>of $8.94 grew 34% since December 31, 2024.</w:t>
      </w:r>
    </w:p>
    <w:p>
      <w:pPr>
        <w:pStyle w:val="TextBody"/>
        <w:bidi w:val="0"/>
        <w:spacing w:lineRule="auto" w:line="288" w:before="0" w:after="0"/>
        <w:ind w:left="0" w:right="0" w:hanging="360"/>
        <w:jc w:val="both"/>
        <w:rPr/>
      </w:pPr>
      <w:r>
        <w:rPr>
          <w:color w:val="003273"/>
        </w:rPr>
        <w:t>•</w:t>
      </w:r>
      <w:r>
        <w:rPr>
          <w:rFonts w:ascii="Arial;sans-serif" w:hAnsi="Arial;sans-serif"/>
          <w:b w:val="false"/>
          <w:color w:val="000000"/>
          <w:sz w:val="19"/>
        </w:rPr>
        <w:t>Adjusted net operating return on tangible common equity</w:t>
      </w:r>
      <w:r>
        <w:rPr>
          <w:rFonts w:ascii="Arial;sans-serif" w:hAnsi="Arial;sans-serif"/>
          <w:b w:val="false"/>
          <w:color w:val="000000"/>
          <w:sz w:val="12"/>
        </w:rPr>
        <w:t>1</w:t>
      </w:r>
      <w:r>
        <w:rPr>
          <w:color w:val="000000"/>
        </w:rPr>
        <w:t xml:space="preserve"> </w:t>
      </w:r>
      <w:r>
        <w:rPr>
          <w:rFonts w:ascii="Arial;sans-serif" w:hAnsi="Arial;sans-serif"/>
          <w:b w:val="false"/>
          <w:color w:val="000000"/>
          <w:sz w:val="19"/>
        </w:rPr>
        <w:t>of 15.3%.</w:t>
      </w:r>
    </w:p>
    <w:p>
      <w:pPr>
        <w:pStyle w:val="TextBody"/>
        <w:bidi w:val="0"/>
        <w:spacing w:lineRule="auto" w:line="288" w:before="0" w:after="0"/>
        <w:ind w:left="0" w:right="0" w:hanging="360"/>
        <w:jc w:val="both"/>
        <w:rPr/>
      </w:pPr>
      <w:r>
        <w:rPr>
          <w:color w:val="003273"/>
        </w:rPr>
        <w:t>•</w:t>
      </w:r>
      <w:r>
        <w:rPr>
          <w:rFonts w:ascii="Arial;sans-serif" w:hAnsi="Arial;sans-serif"/>
          <w:b w:val="false"/>
          <w:color w:val="000000"/>
          <w:sz w:val="19"/>
        </w:rPr>
        <w:t>Completion of redomicile from Bermuda to Delaware on November 7, 2025.</w:t>
      </w:r>
    </w:p>
    <w:p>
      <w:pPr>
        <w:pStyle w:val="TextBody"/>
        <w:bidi w:val="0"/>
        <w:spacing w:lineRule="auto" w:line="288" w:before="0" w:after="0"/>
        <w:ind w:left="0" w:right="0" w:hanging="360"/>
        <w:jc w:val="both"/>
        <w:rPr/>
      </w:pPr>
      <w:r>
        <w:rPr>
          <w:color w:val="003273"/>
        </w:rPr>
        <w:t>•</w:t>
      </w:r>
      <w:r>
        <w:rPr>
          <w:rFonts w:ascii="Arial;sans-serif" w:hAnsi="Arial;sans-serif"/>
          <w:b w:val="false"/>
          <w:color w:val="000000"/>
          <w:sz w:val="19"/>
        </w:rPr>
        <w:t>Our Excess and Surplus Lines segment (“E&amp;S Segment”) highlights include: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Net earned premium of $559.5 million for the year, an increase of 9.2% from the prior year period.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Gross written premium for the segment declined 5% for full-year 2025 compared to the prior year period driven by a continued focus on smaller profitable accounts (average premium per policy down 10% year over year) and a reduction of risks outside of our underwriting appetite.</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19"/>
        </w:rPr>
        <w:t>4% total growth for new and renewal submissions compared to the prior year period.</w:t>
      </w:r>
    </w:p>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Key Highlights of the 2025 Executive Compensation Program</w:t>
      </w:r>
    </w:p>
    <w:p>
      <w:pPr>
        <w:pStyle w:val="TextBody"/>
        <w:bidi w:val="0"/>
        <w:spacing w:lineRule="auto" w:line="288" w:before="0" w:after="240"/>
        <w:jc w:val="both"/>
        <w:rPr/>
      </w:pPr>
      <w:r>
        <w:rPr>
          <w:rFonts w:ascii="Arial;sans-serif" w:hAnsi="Arial;sans-serif"/>
          <w:b w:val="false"/>
          <w:i/>
          <w:color w:val="003273"/>
          <w:sz w:val="19"/>
        </w:rPr>
        <w:t>NEOs’ Performance-based compensation</w:t>
      </w:r>
      <w:r>
        <w:rPr>
          <w:rFonts w:ascii="Arial;sans-serif" w:hAnsi="Arial;sans-serif"/>
          <w:b w:val="false"/>
          <w:color w:val="003273"/>
          <w:sz w:val="19"/>
        </w:rPr>
        <w:t>.</w:t>
      </w:r>
      <w:r>
        <w:rPr>
          <w:color w:val="000000"/>
        </w:rPr>
        <w:t xml:space="preserve"> </w:t>
      </w:r>
      <w:r>
        <w:rPr>
          <w:rFonts w:ascii="Arial;sans-serif" w:hAnsi="Arial;sans-serif"/>
          <w:b w:val="false"/>
          <w:color w:val="000000"/>
          <w:sz w:val="19"/>
        </w:rPr>
        <w:t>Approximately 67% of our CEO’s and 64% on average of our other NEOs’ 2025 compensation was variable and at-risk, with the substantial majority being performance-based. Fifty percent of our NEOs’ long-term incentive grants were in the form of performance restricted share units (“PRSUs”), with the exception of Mr. Sutherland who became eligible for PRSU grants upon his promotion to President of our E&amp;S Segment, which occurred after the 2025 PRSU grant date. The PRSUs are subject to a three-year performance period tied to three key financial goals.</w:t>
      </w:r>
    </w:p>
    <w:p>
      <w:pPr>
        <w:pStyle w:val="TextBody"/>
        <w:bidi w:val="0"/>
        <w:spacing w:lineRule="auto" w:line="288" w:before="0" w:after="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9"/>
        </w:rPr>
        <w:t>Tangible common equity per share and adjusted net operating return on tangible common equity are non-GAAP financial measures. See “Reconciliation of Non-GAAP Measures” starting on page 82 of the Original Form 10-K for a reconciliation of these numbers to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240"/>
        <w:jc w:val="both"/>
        <w:rPr/>
      </w:pPr>
      <w:r>
        <w:rPr>
          <w:rFonts w:ascii="Arial;sans-serif" w:hAnsi="Arial;sans-serif"/>
          <w:b w:val="false"/>
          <w:i/>
          <w:color w:val="003273"/>
          <w:sz w:val="19"/>
        </w:rPr>
        <w:t>Modest increases in base salaries and no increases in short-term incentive and long-term incentive opportunities</w:t>
      </w:r>
      <w:r>
        <w:rPr>
          <w:rFonts w:ascii="Arial;sans-serif" w:hAnsi="Arial;sans-serif"/>
          <w:b w:val="false"/>
          <w:color w:val="003273"/>
          <w:sz w:val="19"/>
        </w:rPr>
        <w:t>.</w:t>
      </w:r>
      <w:r>
        <w:rPr>
          <w:color w:val="000000"/>
        </w:rPr>
        <w:t xml:space="preserve"> </w:t>
      </w:r>
      <w:r>
        <w:rPr>
          <w:rFonts w:ascii="Arial;sans-serif" w:hAnsi="Arial;sans-serif"/>
          <w:b w:val="false"/>
          <w:color w:val="000000"/>
          <w:sz w:val="19"/>
        </w:rPr>
        <w:t>Based on consideration of relevant market data during our annual compensation review, our Compensation and Human Capital Committee of the Board (which for purposes of this Executive Compensation discussion, we refer to as the “Committee”) approved a modest 3% salary increase for each of our NEOs, with the exception of Mr. Schmitzer who did not receive a salary increase and Mr. Sutherland, whose salary increase exceeded 3% due to his promotion to President of the E&amp;S Segment on May 5, 2025. Our NEOs’ target payout opportunities as a percentage of their respective base salaries for short-term incentives and long-term incentives were the same in 2025 as in 2024, with the exception of Mr. Sutherland, whose target opportunities were increased in connection with his promotion to President of the E&amp;S Segment on May 5, 2025.</w:t>
      </w:r>
    </w:p>
    <w:p>
      <w:pPr>
        <w:pStyle w:val="TextBody"/>
        <w:bidi w:val="0"/>
        <w:spacing w:lineRule="auto" w:line="288" w:before="0" w:after="240"/>
        <w:jc w:val="both"/>
        <w:rPr/>
      </w:pPr>
      <w:r>
        <w:rPr>
          <w:rFonts w:ascii="Arial;sans-serif" w:hAnsi="Arial;sans-serif"/>
          <w:b w:val="false"/>
          <w:i/>
          <w:color w:val="003273"/>
          <w:sz w:val="19"/>
        </w:rPr>
        <w:t>Rigorous goals for short-term incentive and PRSU</w:t>
      </w:r>
      <w:r>
        <w:rPr>
          <w:rFonts w:ascii="Arial;sans-serif" w:hAnsi="Arial;sans-serif"/>
          <w:b w:val="false"/>
          <w:color w:val="003273"/>
          <w:sz w:val="19"/>
        </w:rPr>
        <w:t>s.</w:t>
      </w:r>
      <w:r>
        <w:rPr>
          <w:color w:val="000000"/>
        </w:rPr>
        <w:t xml:space="preserve"> </w:t>
      </w:r>
      <w:r>
        <w:rPr>
          <w:rFonts w:ascii="Arial;sans-serif" w:hAnsi="Arial;sans-serif"/>
          <w:b w:val="false"/>
          <w:color w:val="000000"/>
          <w:sz w:val="19"/>
        </w:rPr>
        <w:t>The Committee approved targets and goals that it believes were set at appropriately rigorous and challenging levels, requiring substantial effort to achieve, and effectively incentivizing performance.</w:t>
      </w:r>
    </w:p>
    <w:p>
      <w:pPr>
        <w:pStyle w:val="TextBody"/>
        <w:bidi w:val="0"/>
        <w:spacing w:lineRule="auto" w:line="288" w:before="0" w:after="0"/>
        <w:ind w:left="0" w:right="0" w:hanging="360"/>
        <w:jc w:val="both"/>
        <w:rPr/>
      </w:pPr>
      <w:r>
        <w:rPr>
          <w:color w:val="003273"/>
        </w:rPr>
        <w:t>•</w:t>
      </w:r>
      <w:r>
        <w:rPr>
          <w:rFonts w:ascii="Arial;sans-serif" w:hAnsi="Arial;sans-serif"/>
          <w:b w:val="false"/>
          <w:i/>
          <w:color w:val="003273"/>
          <w:sz w:val="19"/>
        </w:rPr>
        <w:t>Financial Goals</w:t>
      </w:r>
      <w:r>
        <w:rPr>
          <w:rFonts w:ascii="Arial;sans-serif" w:hAnsi="Arial;sans-serif"/>
          <w:b w:val="false"/>
          <w:color w:val="000000"/>
          <w:sz w:val="19"/>
        </w:rPr>
        <w:t>. 66.7% of the amount of the bonus funding was based on underwriting profitability, as measured by (i) our combined ratio for the Company as a group and the E&amp;S Segment and (ii) Adjusted EBIT. The 2025 target goals for the group combined ratio, the E&amp;S Segment combined ratio, and the group Adjusted EBIT were 96.2%, 89.5%, and $108.4 million, respectively. These targets are rigorous given that our achievement for these metrics in 2024, after certain adjustments, were 99.5%, 94.9%, and $104.8 million, respectively.</w:t>
      </w:r>
    </w:p>
    <w:p>
      <w:pPr>
        <w:pStyle w:val="TextBody"/>
        <w:bidi w:val="0"/>
        <w:spacing w:lineRule="auto" w:line="288" w:before="120" w:after="240"/>
        <w:ind w:left="0" w:right="0" w:hanging="360"/>
        <w:jc w:val="both"/>
        <w:rPr/>
      </w:pPr>
      <w:r>
        <w:rPr>
          <w:color w:val="003273"/>
        </w:rPr>
        <w:t>•</w:t>
      </w:r>
      <w:r>
        <w:rPr>
          <w:rFonts w:ascii="Arial;sans-serif" w:hAnsi="Arial;sans-serif"/>
          <w:b w:val="false"/>
          <w:i/>
          <w:color w:val="003273"/>
          <w:sz w:val="19"/>
        </w:rPr>
        <w:t>Strategic Goals.</w:t>
      </w:r>
      <w:r>
        <w:rPr>
          <w:color w:val="000000"/>
        </w:rPr>
        <w:t xml:space="preserve"> </w:t>
      </w:r>
      <w:r>
        <w:rPr>
          <w:rFonts w:ascii="Arial;sans-serif" w:hAnsi="Arial;sans-serif"/>
          <w:b w:val="false"/>
          <w:color w:val="000000"/>
          <w:sz w:val="19"/>
        </w:rPr>
        <w:t>33.3% of the amount of the bonus funding was based on the strategic activities established by the Committee, consisting of certain important companywide objectives that the Committee believes will positively impact the future performance of the Company.</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For the 2025 financial goal, the level of achievement of the group Adjusted Combined Ratio was determined to be at 96.3%, which is below target of 96.2% but above minimum payout of 99.9%; the E&amp;S Segment Adjusted Combined Ratio was 89.3%, which is above target of 89.5% but below maximum payout of 85.7%; and the group Adjusted EBIT was $105.4 million, which is below target of $108.4 million but above the threshold payout of $74.6 million. For the strategic goals, which focused on the Company’s rating and outlook, redomicile from Bermuda to Delaware, underwriting productivity, and E&amp;S Segment internal profitability reporting, the Committee determined that they were achieved at 87.5% of target for the group and 80% of target for the E&amp;S Segment. 2025 Performance for the Specialty Admitted Insurance segment was measured using the group performance metrics.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Under our long-term incentive program, to earn any PRSUs at threshold for a particular metric, the performance of the metric must achieve a minimum of 50% of the target goals. In addition, the Committee and the Board established three-year goals for the performance period. For the fiscal 2023-2025 PRSUs, the actual performance on each of the adjusted operating return on average adjusted tangible common equity, and growth in adjusted tangible common equity per share of common stock were below target and above threshold. The fiscal 2023-2025 PRSUs were settled at 73% of the target, which demonstrates the rigor of our targets and alignment between pay and performance.</w:t>
      </w:r>
    </w:p>
    <w:p>
      <w:pPr>
        <w:pStyle w:val="TextBody"/>
        <w:bidi w:val="0"/>
        <w:spacing w:lineRule="auto" w:line="288" w:before="0" w:after="240"/>
        <w:jc w:val="both"/>
        <w:rPr/>
      </w:pPr>
      <w:r>
        <w:rPr>
          <w:rFonts w:ascii="Arial;sans-serif" w:hAnsi="Arial;sans-serif"/>
          <w:b w:val="false"/>
          <w:i/>
          <w:color w:val="003273"/>
          <w:sz w:val="19"/>
        </w:rPr>
        <w:t>Realizable Pay Demonstrates Pay for Performance Alignmen</w:t>
      </w:r>
      <w:r>
        <w:rPr>
          <w:rFonts w:ascii="Arial;sans-serif" w:hAnsi="Arial;sans-serif"/>
          <w:b w:val="false"/>
          <w:color w:val="003273"/>
          <w:sz w:val="19"/>
        </w:rPr>
        <w:t>t.</w:t>
      </w:r>
      <w:r>
        <w:rPr>
          <w:color w:val="000000"/>
        </w:rPr>
        <w:t xml:space="preserve"> </w:t>
      </w:r>
      <w:r>
        <w:rPr>
          <w:rFonts w:ascii="Arial;sans-serif" w:hAnsi="Arial;sans-serif"/>
          <w:b w:val="false"/>
          <w:color w:val="000000"/>
          <w:sz w:val="19"/>
        </w:rPr>
        <w:t>As described in more detail below, a core component of our compensation philosophy is to incentivize our executive officers by creating a strong link between their performance and compensation. To show the alignment of pay outcomes with performance, it is useful to illustrate the amounts realizable as of December 31, 2025, relative to the target amounts of CEO compensation set by the Board for the relevant year.</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Realizable pay shows this relationship because it reflects the actual value of annual incentives and equity awards received or to be received by our CEO and fluctuates with financial metric performance and with increases or decreases in our stock price. For this reason, contrasting target pay with realizable pay provides a meaningful demonstration of the pay for performance alignment of our executive compensation program.</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following chart demonstrates the relationship between target pay and realizable pay values, in each of the past three years, of our CEO’s (i) base salary, (ii) annual cash incentive, and (iii) annual stock awards, including PRSUs and service-based restricted share units (“Service-Based RSUs”). When the Company does not meet performance targets and/or our stock price decreases, the CEO’s realizable pay declines, which demonstrates the link between pay and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before="0" w:after="240"/>
        <w:jc w:val="center"/>
        <w:rPr/>
      </w:pPr>
      <w:r>
        <w:rPr/>
        <w:drawing>
          <wp:inline distT="0" distB="0" distL="0" distR="0">
            <wp:extent cx="6343650" cy="4686300"/>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6343650" cy="4686300"/>
                    </a:xfrm>
                    <a:prstGeom prst="rect">
                      <a:avLst/>
                    </a:prstGeom>
                  </pic:spPr>
                </pic:pic>
              </a:graphicData>
            </a:graphic>
          </wp:inline>
        </w:drawing>
      </w:r>
      <w:bookmarkStart w:id="0" w:name="i-1"/>
      <w:bookmarkEnd w:id="0"/>
    </w:p>
    <w:p>
      <w:pPr>
        <w:pStyle w:val="TextBody"/>
        <w:bidi w:val="0"/>
        <w:spacing w:lineRule="auto" w:line="288" w:before="120" w:after="240"/>
        <w:jc w:val="both"/>
        <w:rPr>
          <w:rFonts w:ascii="Arial;sans-serif" w:hAnsi="Arial;sans-serif"/>
          <w:b w:val="false"/>
          <w:color w:val="000000"/>
          <w:sz w:val="19"/>
        </w:rPr>
      </w:pPr>
      <w:r>
        <w:rPr>
          <w:rFonts w:ascii="Arial;sans-serif" w:hAnsi="Arial;sans-serif"/>
          <w:b w:val="false"/>
          <w:color w:val="000000"/>
          <w:sz w:val="19"/>
        </w:rPr>
        <w:t>The target pay reflects the annual base salary, target amount of annual cash incentive and grant-date value of Service-Based RSU and PRSU awards made in the respective year. The realizable value shown for the annual cash incentive reflects achievement of performance for the applicable year, and when contrasted with target value, underscores the link of the pay outcome to actual performance. The realizable value of stock awards in 2023, 2024, and 2025 is equal to the number of Service-Based RSUs vested during 2023, 2024, and 2025, respectively, multiplied by the stock price per share on the respective vesting dates. The realizable value of stock awards in 2025 also includes the number of actually earned and vested PRSUs for the 2023-2025 performance period multiplied by the stock price per share on the PRSUs’ vesting date.</w:t>
      </w:r>
    </w:p>
    <w:p>
      <w:pPr>
        <w:pStyle w:val="TextBody"/>
        <w:bidi w:val="0"/>
        <w:spacing w:lineRule="auto" w:line="288" w:before="0" w:after="240"/>
        <w:jc w:val="both"/>
        <w:rPr/>
      </w:pPr>
      <w:r>
        <w:rPr>
          <w:rFonts w:ascii="Arial;sans-serif" w:hAnsi="Arial;sans-serif"/>
          <w:b/>
          <w:color w:val="003273"/>
          <w:sz w:val="20"/>
        </w:rPr>
        <w:t>II.</w:t>
      </w:r>
      <w:r>
        <w:rPr>
          <w:color w:val="003273"/>
        </w:rPr>
        <w:t>    </w:t>
      </w:r>
      <w:r>
        <w:rPr>
          <w:rFonts w:ascii="Arial;sans-serif" w:hAnsi="Arial;sans-serif"/>
          <w:b/>
          <w:color w:val="003273"/>
          <w:sz w:val="20"/>
        </w:rPr>
        <w:t>COMPENSATION PHILOSOPHY AND OBJECTIVES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In designing and implementing our executive compensation program, the Committee and the Board seek to achieve three principal objectives: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791"/>
        <w:gridCol w:w="791"/>
        <w:gridCol w:w="793"/>
        <w:gridCol w:w="109"/>
        <w:gridCol w:w="109"/>
        <w:gridCol w:w="109"/>
        <w:gridCol w:w="109"/>
        <w:gridCol w:w="109"/>
        <w:gridCol w:w="109"/>
        <w:gridCol w:w="109"/>
        <w:gridCol w:w="109"/>
        <w:gridCol w:w="109"/>
        <w:gridCol w:w="972"/>
        <w:gridCol w:w="972"/>
        <w:gridCol w:w="973"/>
        <w:gridCol w:w="109"/>
        <w:gridCol w:w="109"/>
        <w:gridCol w:w="109"/>
        <w:gridCol w:w="109"/>
        <w:gridCol w:w="109"/>
        <w:gridCol w:w="109"/>
        <w:gridCol w:w="109"/>
        <w:gridCol w:w="109"/>
        <w:gridCol w:w="109"/>
        <w:gridCol w:w="666"/>
        <w:gridCol w:w="666"/>
        <w:gridCol w:w="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op w:val="single" w:sz="24" w:space="0" w:color="053273"/>
              <w:bottom w:val="single" w:sz="8" w:space="0" w:color="BFBFBF"/>
            </w:tcBorders>
            <w:shd w:fill="F3F3F4" w:val="clear"/>
            <w:tcMar>
              <w:top w:w="30"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color w:val="003273"/>
                <w:sz w:val="96"/>
              </w:rPr>
            </w:pPr>
            <w:r>
              <w:rPr>
                <w:rFonts w:ascii="Arial Narrow;sans-serif" w:hAnsi="Arial Narrow;sans-serif"/>
                <w:b/>
                <w:color w:val="003273"/>
                <w:sz w:val="96"/>
              </w:rPr>
              <w:t>1</w:t>
            </w:r>
          </w:p>
        </w:tc>
        <w:tc>
          <w:tcPr>
            <w:tcW w:w="2375" w:type="dxa"/>
            <w:gridSpan w:val="3"/>
            <w:tcBorders>
              <w:top w:val="single" w:sz="24" w:space="0" w:color="053273"/>
              <w:bottom w:val="single" w:sz="8" w:space="0" w:color="BFBFBF"/>
            </w:tcBorders>
            <w:shd w:fill="F3F3F4"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First, to establish compensation on a fair and reasonable basis that is competitive with our peers in the specialty insurance business, so that we may attract, motivate, and retain talented executive officers.</w:t>
            </w:r>
          </w:p>
        </w:tc>
        <w:tc>
          <w:tcPr>
            <w:tcW w:w="327" w:type="dxa"/>
            <w:gridSpan w:val="3"/>
            <w:tcBorders>
              <w:top w:val="single" w:sz="24" w:space="0" w:color="053273"/>
              <w:left w:val="single" w:sz="8" w:space="0" w:color="BFBFBF"/>
              <w:bottom w:val="single" w:sz="8" w:space="0" w:color="BFBFBF"/>
            </w:tcBorders>
            <w:shd w:fill="F3F3F4" w:val="clear"/>
            <w:tcMar>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24" w:space="0" w:color="053273"/>
              <w:bottom w:val="single" w:sz="8" w:space="0" w:color="BFBFBF"/>
            </w:tcBorders>
            <w:shd w:fill="F3F3F4" w:val="clear"/>
            <w:tcMar>
              <w:top w:w="30"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color w:val="003273"/>
                <w:sz w:val="96"/>
              </w:rPr>
            </w:pPr>
            <w:r>
              <w:rPr>
                <w:rFonts w:ascii="Arial Narrow;sans-serif" w:hAnsi="Arial Narrow;sans-serif"/>
                <w:b/>
                <w:color w:val="003273"/>
                <w:sz w:val="96"/>
              </w:rPr>
              <w:t>2</w:t>
            </w:r>
          </w:p>
        </w:tc>
        <w:tc>
          <w:tcPr>
            <w:tcW w:w="2917" w:type="dxa"/>
            <w:gridSpan w:val="3"/>
            <w:tcBorders>
              <w:top w:val="single" w:sz="24" w:space="0" w:color="053273"/>
              <w:bottom w:val="single" w:sz="8" w:space="0" w:color="BFBFBF"/>
            </w:tcBorders>
            <w:shd w:fill="F3F3F4"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Second, to create an alignment of interests between our executive officers and shareholders. For this purpose, a portion of each executive officer’s compensation consists of service-based and performance-based equity awards.</w:t>
            </w:r>
          </w:p>
        </w:tc>
        <w:tc>
          <w:tcPr>
            <w:tcW w:w="327" w:type="dxa"/>
            <w:gridSpan w:val="3"/>
            <w:tcBorders>
              <w:top w:val="single" w:sz="24" w:space="0" w:color="053273"/>
              <w:left w:val="single" w:sz="8" w:space="0" w:color="BFBFBF"/>
              <w:bottom w:val="single" w:sz="8" w:space="0" w:color="BFBFBF"/>
            </w:tcBorders>
            <w:shd w:fill="F3F3F4" w:val="clear"/>
            <w:tcMar>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24" w:space="0" w:color="053273"/>
              <w:bottom w:val="single" w:sz="8" w:space="0" w:color="BFBFBF"/>
            </w:tcBorders>
            <w:shd w:fill="F3F3F4" w:val="clear"/>
            <w:tcMar>
              <w:top w:w="30"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color w:val="003273"/>
                <w:sz w:val="96"/>
              </w:rPr>
            </w:pPr>
            <w:r>
              <w:rPr>
                <w:rFonts w:ascii="Arial Narrow;sans-serif" w:hAnsi="Arial Narrow;sans-serif"/>
                <w:b/>
                <w:color w:val="003273"/>
                <w:sz w:val="96"/>
              </w:rPr>
              <w:t>3</w:t>
            </w:r>
          </w:p>
        </w:tc>
        <w:tc>
          <w:tcPr>
            <w:tcW w:w="2282" w:type="dxa"/>
            <w:gridSpan w:val="3"/>
            <w:tcBorders>
              <w:top w:val="single" w:sz="24" w:space="0" w:color="053273"/>
              <w:bottom w:val="single" w:sz="8" w:space="0" w:color="BFBFBF"/>
            </w:tcBorders>
            <w:shd w:fill="F3F3F4"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Finally, we seek to reward performance that supports our principles of building long-term shareholder value overall and to recognize individual performance that contributes to the success of the Company.</w:t>
            </w:r>
          </w:p>
        </w:tc>
      </w:tr>
    </w:tbl>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principal elements of our compensation program for our executive officers are base salary, short-term cash incentive bonuses, and long-term incentive equity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Compensation Program Governance</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We assess the effectiveness of our executive compensation program in achieving its objectives from time to time and review risk mitigation and governance matters, which include maintaining the following best practices, many of which support an alignment of interests between our executive officers and shareholders:</w:t>
      </w:r>
    </w:p>
    <w:tbl>
      <w:tblPr>
        <w:tblW w:w="10205" w:type="dxa"/>
        <w:jc w:val="center"/>
        <w:tblInd w:w="0" w:type="dxa"/>
        <w:tblLayout w:type="fixed"/>
        <w:tblCellMar>
          <w:top w:w="28" w:type="dxa"/>
          <w:left w:w="28" w:type="dxa"/>
          <w:bottom w:w="28" w:type="dxa"/>
          <w:right w:w="28" w:type="dxa"/>
        </w:tblCellMar>
      </w:tblPr>
      <w:tblGrid>
        <w:gridCol w:w="842"/>
        <w:gridCol w:w="643"/>
        <w:gridCol w:w="645"/>
        <w:gridCol w:w="2510"/>
        <w:gridCol w:w="2303"/>
        <w:gridCol w:w="3262"/>
      </w:tblGrid>
      <w:tr>
        <w:trPr/>
        <w:tc>
          <w:tcPr>
            <w:tcW w:w="84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24" w:space="0" w:color="053273"/>
            </w:tcBorders>
            <w:shd w:fill="F3F3F4"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3273"/>
                <w:sz w:val="19"/>
              </w:rPr>
            </w:pPr>
            <w:r>
              <w:rPr>
                <w:rFonts w:ascii="Arial;sans-serif" w:hAnsi="Arial;sans-serif"/>
                <w:b/>
                <w:color w:val="003273"/>
                <w:sz w:val="19"/>
              </w:rPr>
              <w:t>What We Do</w:t>
            </w:r>
          </w:p>
        </w:tc>
      </w:tr>
      <w:tr>
        <w:trPr/>
        <w:tc>
          <w:tcPr>
            <w:tcW w:w="2130" w:type="dxa"/>
            <w:gridSpan w:val="3"/>
            <w:tcBorders>
              <w:top w:val="single" w:sz="12" w:space="0" w:color="636466"/>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Pay for Performance</w:t>
            </w:r>
          </w:p>
        </w:tc>
        <w:tc>
          <w:tcPr>
            <w:tcW w:w="8075" w:type="dxa"/>
            <w:gridSpan w:val="3"/>
            <w:tcBorders>
              <w:top w:val="single" w:sz="12" w:space="0" w:color="636466"/>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The majority of total target executive compensation opportunities are variable and at-risk.</w:t>
            </w:r>
          </w:p>
        </w:tc>
      </w:tr>
      <w:tr>
        <w:trPr/>
        <w:tc>
          <w:tcPr>
            <w:tcW w:w="2130"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Independent Compensation Consultant</w:t>
            </w:r>
          </w:p>
        </w:tc>
        <w:tc>
          <w:tcPr>
            <w:tcW w:w="8075" w:type="dxa"/>
            <w:gridSpan w:val="3"/>
            <w:tcBorders>
              <w:top w:val="single" w:sz="4" w:space="0" w:color="C8C9CB"/>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The Committee has engaged an independent compensation consultant to provide information and advice for use in Committee decision-making.</w:t>
            </w:r>
          </w:p>
        </w:tc>
      </w:tr>
      <w:tr>
        <w:trPr/>
        <w:tc>
          <w:tcPr>
            <w:tcW w:w="2130"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Clawback Policy</w:t>
            </w:r>
          </w:p>
        </w:tc>
        <w:tc>
          <w:tcPr>
            <w:tcW w:w="8075" w:type="dxa"/>
            <w:gridSpan w:val="3"/>
            <w:tcBorders>
              <w:top w:val="single" w:sz="4" w:space="0" w:color="C8C9CB"/>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Under our clawback policy, incentive compensation of our executive officers will be subject to clawback if we are required to restate our financial statements due to material noncompliance with a financial reporting requirement or to correct an error that is not material to previously issued financial statements but would result in a material misstatement if the error were corrected or left uncorrected in the current period.</w:t>
            </w:r>
          </w:p>
        </w:tc>
      </w:tr>
      <w:tr>
        <w:trPr/>
        <w:tc>
          <w:tcPr>
            <w:tcW w:w="2130"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Stock Ownership Guidelines</w:t>
            </w:r>
          </w:p>
        </w:tc>
        <w:tc>
          <w:tcPr>
            <w:tcW w:w="8075" w:type="dxa"/>
            <w:gridSpan w:val="3"/>
            <w:tcBorders>
              <w:top w:val="single" w:sz="4" w:space="0" w:color="C8C9CB"/>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We have guidelines for executive officers and non-employee directors to maintain meaningful levels of stock ownership.</w:t>
            </w:r>
          </w:p>
        </w:tc>
      </w:tr>
      <w:tr>
        <w:trPr/>
        <w:tc>
          <w:tcPr>
            <w:tcW w:w="2130"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Caps on Annual Bonuses and Equity Grants</w:t>
            </w:r>
          </w:p>
        </w:tc>
        <w:tc>
          <w:tcPr>
            <w:tcW w:w="8075" w:type="dxa"/>
            <w:gridSpan w:val="3"/>
            <w:tcBorders>
              <w:top w:val="single" w:sz="4" w:space="0" w:color="C8C9CB"/>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Our annual cash incentive plan and equity awards have upper limits on the amounts of cash and equity that may be earned, respectively.</w:t>
            </w:r>
          </w:p>
        </w:tc>
      </w:tr>
      <w:tr>
        <w:trPr/>
        <w:tc>
          <w:tcPr>
            <w:tcW w:w="2130"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Double Trigger Change in Control Severance and Acceleration</w:t>
            </w:r>
          </w:p>
        </w:tc>
        <w:tc>
          <w:tcPr>
            <w:tcW w:w="8075" w:type="dxa"/>
            <w:gridSpan w:val="3"/>
            <w:tcBorders>
              <w:top w:val="single" w:sz="4" w:space="0" w:color="C8C9CB"/>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A change in control alone will not trigger severance pay or accelerated vesting of equity awards under the compensation arrangements covering our NEOs.</w:t>
            </w:r>
          </w:p>
        </w:tc>
      </w:tr>
      <w:tr>
        <w:trPr/>
        <w:tc>
          <w:tcPr>
            <w:tcW w:w="2130"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Peer Benchmarking</w:t>
            </w:r>
          </w:p>
        </w:tc>
        <w:tc>
          <w:tcPr>
            <w:tcW w:w="8075" w:type="dxa"/>
            <w:gridSpan w:val="3"/>
            <w:tcBorders>
              <w:top w:val="single" w:sz="4" w:space="0" w:color="C8C9CB"/>
              <w:left w:val="single" w:sz="4" w:space="0" w:color="C8C9CB"/>
              <w:bottom w:val="single" w:sz="24" w:space="0" w:color="053273"/>
            </w:tcBorders>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We utilize compensation peer sets comprised of companies based on industry sector, revenue and market capitalization as a reference for compensation decisions, and these peer sets are reviewed periodically.</w:t>
            </w:r>
          </w:p>
        </w:tc>
      </w:tr>
      <w:tr>
        <w:trPr/>
        <w:tc>
          <w:tcPr>
            <w:tcW w:w="10205" w:type="dxa"/>
            <w:gridSpan w:val="6"/>
            <w:tcBorders>
              <w:top w:val="single" w:sz="24" w:space="0" w:color="053273"/>
            </w:tcBorders>
            <w:shd w:fill="F3F3F4"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3273"/>
                <w:sz w:val="19"/>
              </w:rPr>
            </w:pPr>
            <w:r>
              <w:rPr>
                <w:rFonts w:ascii="Arial;sans-serif" w:hAnsi="Arial;sans-serif"/>
                <w:b/>
                <w:color w:val="003273"/>
                <w:sz w:val="19"/>
              </w:rPr>
              <w:t>What We Don’t Do</w:t>
            </w:r>
          </w:p>
        </w:tc>
      </w:tr>
      <w:tr>
        <w:trPr/>
        <w:tc>
          <w:tcPr>
            <w:tcW w:w="2130" w:type="dxa"/>
            <w:gridSpan w:val="3"/>
            <w:tcBorders>
              <w:top w:val="single" w:sz="12" w:space="0" w:color="636466"/>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No Excessive Perks</w:t>
            </w:r>
          </w:p>
        </w:tc>
        <w:tc>
          <w:tcPr>
            <w:tcW w:w="8075" w:type="dxa"/>
            <w:gridSpan w:val="3"/>
            <w:tcBorders>
              <w:top w:val="single" w:sz="12" w:space="0" w:color="636466"/>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We do not provide excessive perquisites to executive officers.</w:t>
            </w:r>
          </w:p>
        </w:tc>
      </w:tr>
      <w:tr>
        <w:trPr/>
        <w:tc>
          <w:tcPr>
            <w:tcW w:w="2130"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No Excise Tax Gross-Ups</w:t>
            </w:r>
          </w:p>
        </w:tc>
        <w:tc>
          <w:tcPr>
            <w:tcW w:w="8075" w:type="dxa"/>
            <w:gridSpan w:val="3"/>
            <w:tcBorders>
              <w:top w:val="single" w:sz="4" w:space="0" w:color="C8C9CB"/>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We do not provide excise tax gross-ups on change in control payments.</w:t>
            </w:r>
          </w:p>
        </w:tc>
      </w:tr>
      <w:tr>
        <w:trPr/>
        <w:tc>
          <w:tcPr>
            <w:tcW w:w="2130"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No Hedging or Pledging of Company Stock</w:t>
            </w:r>
          </w:p>
        </w:tc>
        <w:tc>
          <w:tcPr>
            <w:tcW w:w="8075" w:type="dxa"/>
            <w:gridSpan w:val="3"/>
            <w:tcBorders>
              <w:top w:val="single" w:sz="4" w:space="0" w:color="C8C9CB"/>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We do not permit our executive officers and directors to pledge or hedge their Company stock.</w:t>
            </w:r>
          </w:p>
        </w:tc>
      </w:tr>
      <w:tr>
        <w:trPr/>
        <w:tc>
          <w:tcPr>
            <w:tcW w:w="2130" w:type="dxa"/>
            <w:gridSpan w:val="3"/>
            <w:tcBorders>
              <w:top w:val="single" w:sz="4" w:space="0" w:color="C8C9CB"/>
              <w:bottom w:val="single" w:sz="4" w:space="0" w:color="C8C9CB"/>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No Guaranteed Performance Bonuses</w:t>
            </w:r>
          </w:p>
        </w:tc>
        <w:tc>
          <w:tcPr>
            <w:tcW w:w="8075" w:type="dxa"/>
            <w:gridSpan w:val="3"/>
            <w:tcBorders>
              <w:top w:val="single" w:sz="4" w:space="0" w:color="C8C9CB"/>
              <w:left w:val="single" w:sz="4" w:space="0" w:color="C8C9CB"/>
              <w:bottom w:val="single" w:sz="4" w:space="0" w:color="C8C9CB"/>
            </w:tcBorders>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We do not provide guaranteed performance bonuses to our NEOs at any minimum levels of payment under our annual cash incentive plan.</w:t>
            </w:r>
          </w:p>
        </w:tc>
      </w:tr>
    </w:tbl>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Say-on-Pay Results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At the 2025 annual meeting, our shareholders approved the compensation of our NEOs on an advisory basis (commonly known as a “say-on-pay” proposal), with approximately 63.4% of our shares of common stock voting “For” such proposal. While a majority of shareholders were supportive of our program and plan design, we acknowledge that other shareholders have concerns. At the direction of the Board, prior to our 2025 annual meeting we met with shareholders of 50% of our outstanding shares (representing 71% of our top 20 shareholders) to discuss executive compensation as well as other topics. Most of those meetings included the Chairperson of the Board and the Chairperson of the Committee. The Committee values shareholder feedback and intends to engage with shareholders in advance of the filing of the Company’s definitive proxy statement for the 2026 annual meeting. The Committee expects to consider the results of that outreach, together with the outcome of the 2025 say-on-pay vote in its ongoing review of the Company’s executive compensation program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240"/>
        <w:jc w:val="both"/>
        <w:rPr/>
      </w:pPr>
      <w:r>
        <w:rPr>
          <w:rFonts w:ascii="Arial;sans-serif" w:hAnsi="Arial;sans-serif"/>
          <w:b/>
          <w:color w:val="003273"/>
          <w:sz w:val="20"/>
        </w:rPr>
        <w:t>III.</w:t>
      </w:r>
      <w:r>
        <w:rPr>
          <w:color w:val="003273"/>
        </w:rPr>
        <w:t>    </w:t>
      </w:r>
      <w:r>
        <w:rPr>
          <w:rFonts w:ascii="Arial;sans-serif" w:hAnsi="Arial;sans-serif"/>
          <w:b/>
          <w:color w:val="003273"/>
          <w:sz w:val="20"/>
        </w:rPr>
        <w:t>COMPENSATION DETERMINATION PROCESS</w:t>
      </w:r>
    </w:p>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Role of the Board, Committee, and Management</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In considering appropriate levels of compensation for executives, the Committee considers the Company’s performance and individual NEO performance and experience, as well as peer and broader financial services industry comparisons. When deemed appropriate, the Committee requests that its independent compensation consultant provide it with survey data of executive compensation for insurance companies that are comparable to the Company.</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chair of the Committee works with Mr. D’Orazio and the Group Chief Human Resources Officer to establish the agenda for Committee meetings. Mr. D’Orazio also engages with the Committee when providing recommendations regarding pay for other executives and senior officers of the Company, other than his own. The Committee periodically meets with Mr. D’Orazio to assess progress toward meeting objectives set by the Board for both annual and long-term compensation. The Committee also meets without management present when appropriate. Mr. D’Orazio does not play any role with respect to his own compensation.</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Committee reviews all the components of compensation in making determinations on the mix, amount, and form of executive compensation. While the Committee does not use any quantitative formula or multiple for comparing or establishing compensation for executive management, it is mindful of internal and external pay equity considerations and assesses the relationship of the compensation of each executive to other members of executive management.</w:t>
      </w:r>
    </w:p>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Role of the Independent Compensation Consultant</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Committee engaged Aon’s Human Capital Solutions practice, a division of Aon plc (“Aon”), as its independent compensation consultant. Aon reports to, and receives its direction from, the Committee. Aon helped facilitate the executive officer compensation process, including the creation of a compensation peer group for comparing our NEOs’ compensation to the market and provides advice and information on other executive compensation matters.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In considering Aon’s engagement, the Committee evaluated Aon’s independence and any conflicts of interest in accordance with applicable SEC rules and Nasdaq listing requirements. The Committee requested and received a report from Aon addressing the independence of Aon and its senior advisors. The Committee considered Aon’s provision of other services to the Company, the fees paid by the Company to Aon as a percentage of Aon’s total revenue, Aon’s policies and procedures to prevent conflicts of interest, and the confirmation by Aon that it and its representatives have no business or personal relationship with any member of the Committee, do not own any stock of the Company, and have no business or personal relationship with any executive officer of the Company. The Committee concluded that Aon is independent of the Committee and of Company management and has no conflicts of interest in its performance of services to the Committee.</w:t>
      </w:r>
    </w:p>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Peer Group</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Committee believes that obtaining relevant market and peer group data is very important to making determinations about executive officer compensation. Such information provides a reference point for making decisions.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Committee takes into consideration the structure and components of, and the amounts paid under, the executive compensation programs of other, comparable publicly-traded peer companies, as derived from public filings and other sources, when making decisions about the structure and component mix of our executive compensation program. The Committee also considers the practices of our competitors and the broader industry for recruiting and retaining talent.</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historic peer group has been updated periodically by the Committee, based on a process that includes recommendations from internal sources, and external sources such as its independent compensation consultant, to reflect the companies against which the Company competes for executive talent or for shareholder investment. The peer group utilized by the Committee to determine 2025 compensation was defined using the following criteria:</w:t>
      </w:r>
    </w:p>
    <w:p>
      <w:pPr>
        <w:pStyle w:val="TextBody"/>
        <w:bidi w:val="0"/>
        <w:spacing w:lineRule="auto" w:line="288" w:before="0" w:after="0"/>
        <w:ind w:left="0" w:right="0" w:hanging="360"/>
        <w:jc w:val="both"/>
        <w:rPr/>
      </w:pPr>
      <w:r>
        <w:rPr>
          <w:color w:val="003273"/>
        </w:rPr>
        <w:t>•</w:t>
      </w:r>
      <w:r>
        <w:rPr>
          <w:rFonts w:ascii="Arial;sans-serif" w:hAnsi="Arial;sans-serif"/>
          <w:b w:val="false"/>
          <w:color w:val="000000"/>
          <w:sz w:val="19"/>
        </w:rPr>
        <w:t>public companies specializing in property and casualty insurance</w:t>
      </w:r>
    </w:p>
    <w:p>
      <w:pPr>
        <w:pStyle w:val="TextBody"/>
        <w:bidi w:val="0"/>
        <w:spacing w:lineRule="auto" w:line="288" w:before="0" w:after="0"/>
        <w:ind w:left="0" w:right="0" w:hanging="360"/>
        <w:jc w:val="both"/>
        <w:rPr/>
      </w:pPr>
      <w:r>
        <w:rPr>
          <w:color w:val="003273"/>
        </w:rPr>
        <w:t>•</w:t>
      </w:r>
      <w:r>
        <w:rPr>
          <w:rFonts w:ascii="Arial;sans-serif" w:hAnsi="Arial;sans-serif"/>
          <w:b w:val="false"/>
          <w:color w:val="000000"/>
          <w:sz w:val="19"/>
        </w:rPr>
        <w:t>total assets between $1.6 billion and $15 billion</w:t>
      </w:r>
    </w:p>
    <w:p>
      <w:pPr>
        <w:pStyle w:val="TextBody"/>
        <w:bidi w:val="0"/>
        <w:spacing w:lineRule="auto" w:line="288" w:before="0" w:after="0"/>
        <w:ind w:left="0" w:right="0" w:hanging="360"/>
        <w:jc w:val="both"/>
        <w:rPr/>
      </w:pPr>
      <w:r>
        <w:rPr>
          <w:color w:val="003273"/>
        </w:rPr>
        <w:t>•</w:t>
      </w:r>
      <w:r>
        <w:rPr>
          <w:rFonts w:ascii="Arial;sans-serif" w:hAnsi="Arial;sans-serif"/>
          <w:b w:val="false"/>
          <w:color w:val="000000"/>
          <w:sz w:val="19"/>
        </w:rPr>
        <w:t>direct written premiums between $470 million and $4.3 billion (exception for Global Indemnity Group, LLC)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0"/>
        <w:ind w:left="0" w:right="0" w:hanging="360"/>
        <w:jc w:val="both"/>
        <w:rPr/>
      </w:pPr>
      <w:r>
        <w:rPr>
          <w:color w:val="003273"/>
        </w:rPr>
        <w:t>•</w:t>
      </w:r>
      <w:r>
        <w:rPr>
          <w:rFonts w:ascii="Arial;sans-serif" w:hAnsi="Arial;sans-serif"/>
          <w:b w:val="false"/>
          <w:color w:val="000000"/>
          <w:sz w:val="19"/>
        </w:rPr>
        <w:t>total revenue between $234 million - $2.1 billion (exceptions for SiriusPoint Ltd. and Hamilton Insurance Group, Ltd.)</w:t>
      </w:r>
    </w:p>
    <w:p>
      <w:pPr>
        <w:pStyle w:val="TextBody"/>
        <w:bidi w:val="0"/>
        <w:spacing w:lineRule="auto" w:line="288" w:before="0" w:after="240"/>
        <w:ind w:left="0" w:right="0" w:hanging="360"/>
        <w:jc w:val="both"/>
        <w:rPr/>
      </w:pPr>
      <w:r>
        <w:rPr>
          <w:color w:val="003273"/>
        </w:rPr>
        <w:t>•</w:t>
      </w:r>
      <w:r>
        <w:rPr>
          <w:rFonts w:ascii="Arial;sans-serif" w:hAnsi="Arial;sans-serif"/>
          <w:b w:val="false"/>
          <w:color w:val="000000"/>
          <w:sz w:val="19"/>
        </w:rPr>
        <w:t>no recent mutual conversions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Based upon these criteria, in 2025, the Committee identified the following sixteen companies as its peer group in benchmarking and setting executive compensation for 2025.</w:t>
      </w:r>
    </w:p>
    <w:tbl>
      <w:tblPr>
        <w:tblW w:w="6988" w:type="dxa"/>
        <w:jc w:val="center"/>
        <w:tblInd w:w="0" w:type="dxa"/>
        <w:tblLayout w:type="fixed"/>
        <w:tblCellMar>
          <w:top w:w="28" w:type="dxa"/>
          <w:left w:w="28" w:type="dxa"/>
          <w:bottom w:w="28" w:type="dxa"/>
          <w:right w:w="28" w:type="dxa"/>
        </w:tblCellMar>
      </w:tblPr>
      <w:tblGrid>
        <w:gridCol w:w="1183"/>
        <w:gridCol w:w="1040"/>
        <w:gridCol w:w="1046"/>
        <w:gridCol w:w="1089"/>
        <w:gridCol w:w="1089"/>
        <w:gridCol w:w="1541"/>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24" w:space="0" w:color="053273"/>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Bowhead Specialty Holdings Inc.</w:t>
            </w:r>
          </w:p>
        </w:tc>
        <w:tc>
          <w:tcPr>
            <w:tcW w:w="3719" w:type="dxa"/>
            <w:gridSpan w:val="3"/>
            <w:tcBorders>
              <w:top w:val="single" w:sz="24" w:space="0" w:color="053273"/>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Radian Group Inc.</w:t>
            </w:r>
          </w:p>
        </w:tc>
      </w:tr>
      <w:tr>
        <w:trPr/>
        <w:tc>
          <w:tcPr>
            <w:tcW w:w="3269"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Employers Holdings, Inc.</w:t>
            </w:r>
          </w:p>
        </w:tc>
        <w:tc>
          <w:tcPr>
            <w:tcW w:w="3719" w:type="dxa"/>
            <w:gridSpan w:val="3"/>
            <w:tcBorders>
              <w:top w:val="single" w:sz="4" w:space="0" w:color="C8C9CB"/>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RLI Corp.</w:t>
            </w:r>
          </w:p>
        </w:tc>
      </w:tr>
      <w:tr>
        <w:trPr/>
        <w:tc>
          <w:tcPr>
            <w:tcW w:w="3269"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Global Indemnity Group, LLC</w:t>
            </w:r>
          </w:p>
        </w:tc>
        <w:tc>
          <w:tcPr>
            <w:tcW w:w="3719" w:type="dxa"/>
            <w:gridSpan w:val="3"/>
            <w:tcBorders>
              <w:top w:val="single" w:sz="4" w:space="0" w:color="C8C9CB"/>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Safety Insurance Group, Inc.</w:t>
            </w:r>
          </w:p>
        </w:tc>
      </w:tr>
      <w:tr>
        <w:trPr/>
        <w:tc>
          <w:tcPr>
            <w:tcW w:w="3269"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Hamilton Insurance Group, Ltd.</w:t>
            </w:r>
          </w:p>
        </w:tc>
        <w:tc>
          <w:tcPr>
            <w:tcW w:w="3719" w:type="dxa"/>
            <w:gridSpan w:val="3"/>
            <w:tcBorders>
              <w:top w:val="single" w:sz="4" w:space="0" w:color="C8C9CB"/>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SiriusPoint Ltd.</w:t>
            </w:r>
          </w:p>
        </w:tc>
      </w:tr>
      <w:tr>
        <w:trPr/>
        <w:tc>
          <w:tcPr>
            <w:tcW w:w="3269"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Horace Mann Educators Corporation</w:t>
            </w:r>
          </w:p>
        </w:tc>
        <w:tc>
          <w:tcPr>
            <w:tcW w:w="3719" w:type="dxa"/>
            <w:gridSpan w:val="3"/>
            <w:tcBorders>
              <w:top w:val="single" w:sz="4" w:space="0" w:color="C8C9CB"/>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Skyward Specialty Insurance Group, Inc.</w:t>
            </w:r>
          </w:p>
        </w:tc>
      </w:tr>
      <w:tr>
        <w:trPr/>
        <w:tc>
          <w:tcPr>
            <w:tcW w:w="3269"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Kinsale Capital Group, Inc.</w:t>
            </w:r>
          </w:p>
        </w:tc>
        <w:tc>
          <w:tcPr>
            <w:tcW w:w="3719" w:type="dxa"/>
            <w:gridSpan w:val="3"/>
            <w:tcBorders>
              <w:top w:val="single" w:sz="4" w:space="0" w:color="C8C9CB"/>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Tiptree Inc.</w:t>
            </w:r>
          </w:p>
        </w:tc>
      </w:tr>
      <w:tr>
        <w:trPr/>
        <w:tc>
          <w:tcPr>
            <w:tcW w:w="3269"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NMI Holdings, Inc.</w:t>
            </w:r>
          </w:p>
        </w:tc>
        <w:tc>
          <w:tcPr>
            <w:tcW w:w="3719" w:type="dxa"/>
            <w:gridSpan w:val="3"/>
            <w:tcBorders>
              <w:top w:val="single" w:sz="4" w:space="0" w:color="C8C9CB"/>
              <w:left w:val="single" w:sz="4" w:space="0" w:color="C8C9CB"/>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United Fire Group, Inc.</w:t>
            </w:r>
          </w:p>
        </w:tc>
      </w:tr>
      <w:tr>
        <w:trPr/>
        <w:tc>
          <w:tcPr>
            <w:tcW w:w="3269" w:type="dxa"/>
            <w:gridSpan w:val="3"/>
            <w:tcBorders>
              <w:top w:val="single" w:sz="4" w:space="0" w:color="C8C9CB"/>
              <w:bottom w:val="single" w:sz="4" w:space="0" w:color="C8C9CB"/>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Palomar Holdings, Inc.</w:t>
            </w:r>
          </w:p>
        </w:tc>
        <w:tc>
          <w:tcPr>
            <w:tcW w:w="3719" w:type="dxa"/>
            <w:gridSpan w:val="3"/>
            <w:tcBorders>
              <w:top w:val="single" w:sz="4" w:space="0" w:color="C8C9CB"/>
              <w:left w:val="single" w:sz="4" w:space="0" w:color="C8C9CB"/>
              <w:bottom w:val="single" w:sz="4" w:space="0" w:color="C8C9CB"/>
            </w:tcBorders>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Universal Insurance Holdings, Inc.</w:t>
            </w:r>
          </w:p>
        </w:tc>
      </w:tr>
    </w:tbl>
    <w:p>
      <w:pPr>
        <w:pStyle w:val="TextBody"/>
        <w:bidi w:val="0"/>
        <w:spacing w:lineRule="auto" w:line="288" w:before="240" w:after="240"/>
        <w:jc w:val="both"/>
        <w:rPr>
          <w:rFonts w:ascii="Arial;sans-serif" w:hAnsi="Arial;sans-serif"/>
          <w:b/>
          <w:color w:val="003273"/>
          <w:sz w:val="20"/>
        </w:rPr>
      </w:pPr>
      <w:r>
        <w:rPr>
          <w:rFonts w:ascii="Arial;sans-serif" w:hAnsi="Arial;sans-serif"/>
          <w:b/>
          <w:color w:val="003273"/>
          <w:sz w:val="20"/>
        </w:rPr>
        <w:t>IV.    COMPENSATION PROGRAM COMPONENTS</w:t>
      </w:r>
    </w:p>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2025 Compensation Components in General</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Committee selected the components of compensation set forth in the chart below to achieve our executive compensation program objectives. The Committee regularly reviews all components of the program to verify that each executive officer’s total compensation is consistent with our compensation philosophy and objectives and that the component is serving a purpose in supporting the execution of our strategy. The majority of each executive officer’s target compensation is variable and at-risk, with a meaningful portion tied to the achievement of pre-determined financial objectives and strategic goals, which we believe creates an alignment of interests between our executive officers and shareholders.</w:t>
      </w:r>
    </w:p>
    <w:tbl>
      <w:tblPr>
        <w:tblW w:w="10205" w:type="dxa"/>
        <w:jc w:val="center"/>
        <w:tblInd w:w="0" w:type="dxa"/>
        <w:tblLayout w:type="fixed"/>
        <w:tblCellMar>
          <w:top w:w="28" w:type="dxa"/>
          <w:left w:w="28" w:type="dxa"/>
          <w:bottom w:w="28" w:type="dxa"/>
          <w:right w:w="28" w:type="dxa"/>
        </w:tblCellMar>
      </w:tblPr>
      <w:tblGrid>
        <w:gridCol w:w="674"/>
        <w:gridCol w:w="446"/>
        <w:gridCol w:w="373"/>
        <w:gridCol w:w="1043"/>
        <w:gridCol w:w="1043"/>
        <w:gridCol w:w="1046"/>
        <w:gridCol w:w="1739"/>
        <w:gridCol w:w="1586"/>
        <w:gridCol w:w="2255"/>
      </w:tblGrid>
      <w:tr>
        <w:trPr/>
        <w:tc>
          <w:tcPr>
            <w:tcW w:w="67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1493" w:type="dxa"/>
            <w:gridSpan w:val="3"/>
            <w:tcBorders>
              <w:top w:val="single" w:sz="24" w:space="0" w:color="053273"/>
            </w:tcBorders>
            <w:shd w:fill="F3F3F4"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273"/>
                <w:sz w:val="17"/>
              </w:rPr>
            </w:pPr>
            <w:r>
              <w:rPr>
                <w:rFonts w:ascii="Arial;sans-serif" w:hAnsi="Arial;sans-serif"/>
                <w:b/>
                <w:color w:val="003273"/>
                <w:sz w:val="17"/>
              </w:rPr>
              <w:t>ELEMENT</w:t>
            </w:r>
          </w:p>
        </w:tc>
        <w:tc>
          <w:tcPr>
            <w:tcW w:w="3132"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3273"/>
                <w:sz w:val="17"/>
              </w:rPr>
            </w:pPr>
            <w:r>
              <w:rPr>
                <w:rFonts w:ascii="Arial;sans-serif" w:hAnsi="Arial;sans-serif"/>
                <w:b/>
                <w:color w:val="003273"/>
                <w:sz w:val="17"/>
              </w:rPr>
              <w:t>DESCRIPTION</w:t>
            </w:r>
          </w:p>
        </w:tc>
        <w:tc>
          <w:tcPr>
            <w:tcW w:w="5580"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3273"/>
                <w:sz w:val="17"/>
              </w:rPr>
            </w:pPr>
            <w:r>
              <w:rPr>
                <w:rFonts w:ascii="Arial;sans-serif" w:hAnsi="Arial;sans-serif"/>
                <w:b/>
                <w:color w:val="003273"/>
                <w:sz w:val="17"/>
              </w:rPr>
              <w:t>ADDITIONAL DETAIL</w:t>
            </w:r>
          </w:p>
        </w:tc>
      </w:tr>
      <w:tr>
        <w:trPr/>
        <w:tc>
          <w:tcPr>
            <w:tcW w:w="1493" w:type="dxa"/>
            <w:gridSpan w:val="3"/>
            <w:tcBorders>
              <w:top w:val="single" w:sz="12" w:space="0" w:color="636466"/>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Base Salary</w:t>
            </w:r>
          </w:p>
        </w:tc>
        <w:tc>
          <w:tcPr>
            <w:tcW w:w="3132"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0"/>
              <w:ind w:left="0" w:right="0" w:hanging="720"/>
              <w:jc w:val="left"/>
              <w:rPr/>
            </w:pPr>
            <w:r>
              <w:rPr>
                <w:color w:val="003273"/>
              </w:rPr>
              <w:t xml:space="preserve">• </w:t>
            </w:r>
            <w:r>
              <w:rPr>
                <w:rFonts w:ascii="Arial;sans-serif" w:hAnsi="Arial;sans-serif"/>
                <w:b w:val="false"/>
                <w:color w:val="000000"/>
                <w:sz w:val="19"/>
              </w:rPr>
              <w:t>Fixed cash compensation.</w:t>
            </w:r>
          </w:p>
          <w:p>
            <w:pPr>
              <w:pStyle w:val="TableContents"/>
              <w:bidi w:val="0"/>
              <w:spacing w:lineRule="auto" w:line="288" w:before="0" w:after="120"/>
              <w:ind w:left="0" w:right="0" w:hanging="180"/>
              <w:jc w:val="left"/>
              <w:rPr/>
            </w:pPr>
            <w:r>
              <w:rPr>
                <w:color w:val="003273"/>
              </w:rPr>
              <w:t xml:space="preserve">• </w:t>
            </w:r>
            <w:r>
              <w:rPr>
                <w:rFonts w:ascii="Arial;sans-serif" w:hAnsi="Arial;sans-serif"/>
                <w:b w:val="false"/>
                <w:color w:val="000000"/>
                <w:sz w:val="19"/>
              </w:rPr>
              <w:t>Determined based on each executive officer’s role, individual skills, experience, performance, and competitive market conditions.</w:t>
            </w:r>
          </w:p>
        </w:tc>
        <w:tc>
          <w:tcPr>
            <w:tcW w:w="5580"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120"/>
              <w:jc w:val="left"/>
              <w:rPr>
                <w:rFonts w:ascii="Arial;sans-serif" w:hAnsi="Arial;sans-serif"/>
                <w:b w:val="false"/>
                <w:color w:val="000000"/>
                <w:sz w:val="19"/>
              </w:rPr>
            </w:pPr>
            <w:r>
              <w:rPr>
                <w:rFonts w:ascii="Arial;sans-serif" w:hAnsi="Arial;sans-serif"/>
                <w:b w:val="false"/>
                <w:color w:val="000000"/>
                <w:sz w:val="19"/>
              </w:rPr>
              <w:t>Base salaries are intended to provide stable compensation to executive officers, allow us to attract and retain skilled executive talent and maintain a stable leadership team.</w:t>
            </w:r>
          </w:p>
        </w:tc>
      </w:tr>
      <w:tr>
        <w:trPr/>
        <w:tc>
          <w:tcPr>
            <w:tcW w:w="1493"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Short-Term Incentives:</w:t>
              <w:br/>
              <w:t>Annual Cash Bonus</w:t>
            </w:r>
          </w:p>
        </w:tc>
        <w:tc>
          <w:tcPr>
            <w:tcW w:w="313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0"/>
              <w:ind w:left="0" w:right="0" w:hanging="180"/>
              <w:jc w:val="left"/>
              <w:rPr/>
            </w:pPr>
            <w:r>
              <w:rPr>
                <w:color w:val="003273"/>
              </w:rPr>
              <w:t xml:space="preserve">• </w:t>
            </w:r>
            <w:r>
              <w:rPr>
                <w:rFonts w:ascii="Arial;sans-serif" w:hAnsi="Arial;sans-serif"/>
                <w:b w:val="false"/>
                <w:color w:val="000000"/>
                <w:sz w:val="19"/>
              </w:rPr>
              <w:t>66.7% based on financial objectives and 33.3% based on strategic goals.</w:t>
            </w:r>
          </w:p>
          <w:p>
            <w:pPr>
              <w:pStyle w:val="TableContents"/>
              <w:bidi w:val="0"/>
              <w:spacing w:lineRule="auto" w:line="288" w:before="0" w:after="0"/>
              <w:ind w:left="0" w:right="0" w:hanging="180"/>
              <w:jc w:val="left"/>
              <w:rPr/>
            </w:pPr>
            <w:r>
              <w:rPr>
                <w:color w:val="003273"/>
              </w:rPr>
              <w:t xml:space="preserve">• </w:t>
            </w:r>
            <w:r>
              <w:rPr>
                <w:rFonts w:ascii="Arial;sans-serif" w:hAnsi="Arial;sans-serif"/>
                <w:b w:val="false"/>
                <w:color w:val="000000"/>
                <w:sz w:val="19"/>
              </w:rPr>
              <w:t>Variable cash compensation based on the level of achievement of pre-determined annual corporate goals.</w:t>
            </w:r>
          </w:p>
          <w:p>
            <w:pPr>
              <w:pStyle w:val="TableContents"/>
              <w:bidi w:val="0"/>
              <w:spacing w:lineRule="auto" w:line="288" w:before="0" w:after="120"/>
              <w:ind w:left="0" w:right="0" w:hanging="180"/>
              <w:jc w:val="left"/>
              <w:rPr/>
            </w:pPr>
            <w:r>
              <w:rPr>
                <w:color w:val="003273"/>
              </w:rPr>
              <w:t xml:space="preserve">• </w:t>
            </w:r>
            <w:r>
              <w:rPr>
                <w:rFonts w:ascii="Arial;sans-serif" w:hAnsi="Arial;sans-serif"/>
                <w:b w:val="false"/>
                <w:color w:val="000000"/>
                <w:sz w:val="19"/>
              </w:rPr>
              <w:t>Cash incentives are capped at a maximum of 150% of each NEO’s target opportunity.</w:t>
            </w:r>
          </w:p>
        </w:tc>
        <w:tc>
          <w:tcPr>
            <w:tcW w:w="5580"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120"/>
              <w:jc w:val="left"/>
              <w:rPr>
                <w:rFonts w:ascii="Arial;sans-serif" w:hAnsi="Arial;sans-serif"/>
                <w:b w:val="false"/>
                <w:color w:val="000000"/>
                <w:sz w:val="19"/>
              </w:rPr>
            </w:pPr>
            <w:r>
              <w:rPr>
                <w:rFonts w:ascii="Arial;sans-serif" w:hAnsi="Arial;sans-serif"/>
                <w:b w:val="false"/>
                <w:color w:val="000000"/>
                <w:sz w:val="19"/>
              </w:rPr>
              <w:t>Annual cash incentive opportunities are designed to ensure that executive officers are motivated to achieve our annual goals and reward them for doing so, as well as to attract and retain executive officers.</w:t>
            </w:r>
          </w:p>
        </w:tc>
      </w:tr>
      <w:tr>
        <w:trPr/>
        <w:tc>
          <w:tcPr>
            <w:tcW w:w="1493" w:type="dxa"/>
            <w:gridSpan w:val="3"/>
            <w:tcBorders>
              <w:top w:val="single" w:sz="4" w:space="0" w:color="C8C9CB"/>
              <w:bottom w:val="single" w:sz="4" w:space="0" w:color="C8C9CB"/>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Long-Term Incentives:</w:t>
              <w:br/>
              <w:t>Annual Equity-Based Awards</w:t>
            </w:r>
          </w:p>
        </w:tc>
        <w:tc>
          <w:tcPr>
            <w:tcW w:w="3132"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0"/>
              <w:ind w:left="0" w:right="0" w:hanging="720"/>
              <w:jc w:val="left"/>
              <w:rPr/>
            </w:pPr>
            <w:r>
              <w:rPr>
                <w:color w:val="003273"/>
              </w:rPr>
              <w:t xml:space="preserve">• </w:t>
            </w:r>
            <w:r>
              <w:rPr>
                <w:rFonts w:ascii="Arial;sans-serif" w:hAnsi="Arial;sans-serif"/>
                <w:b w:val="false"/>
                <w:color w:val="000000"/>
                <w:sz w:val="19"/>
              </w:rPr>
              <w:t>Variable equity-based compensation.</w:t>
            </w:r>
          </w:p>
          <w:p>
            <w:pPr>
              <w:pStyle w:val="TableContents"/>
              <w:bidi w:val="0"/>
              <w:spacing w:lineRule="auto" w:line="288" w:before="0" w:after="0"/>
              <w:ind w:left="0" w:right="0" w:hanging="180"/>
              <w:jc w:val="left"/>
              <w:rPr/>
            </w:pPr>
            <w:r>
              <w:rPr>
                <w:color w:val="003273"/>
              </w:rPr>
              <w:t xml:space="preserve">• </w:t>
            </w:r>
            <w:r>
              <w:rPr>
                <w:rFonts w:ascii="Arial;sans-serif" w:hAnsi="Arial;sans-serif"/>
                <w:b w:val="false"/>
                <w:color w:val="000000"/>
                <w:sz w:val="19"/>
              </w:rPr>
              <w:t>PRSUs: Restricted share units that vest based on achievement of performance goals over a three-year performance period.</w:t>
            </w:r>
          </w:p>
          <w:p>
            <w:pPr>
              <w:pStyle w:val="TableContents"/>
              <w:bidi w:val="0"/>
              <w:spacing w:lineRule="auto" w:line="288" w:before="0" w:after="120"/>
              <w:ind w:left="0" w:right="0" w:hanging="180"/>
              <w:jc w:val="left"/>
              <w:rPr/>
            </w:pPr>
            <w:r>
              <w:rPr>
                <w:color w:val="003273"/>
              </w:rPr>
              <w:t xml:space="preserve">• </w:t>
            </w:r>
            <w:r>
              <w:rPr>
                <w:rFonts w:ascii="Arial;sans-serif" w:hAnsi="Arial;sans-serif"/>
                <w:b w:val="false"/>
                <w:color w:val="000000"/>
                <w:sz w:val="19"/>
              </w:rPr>
              <w:t>Service-Based RSUs: Restricted share units that vest in three equal annual installments based on the executive officer’s continued service with the Company.</w:t>
            </w:r>
          </w:p>
        </w:tc>
        <w:tc>
          <w:tcPr>
            <w:tcW w:w="5580"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120"/>
              <w:jc w:val="left"/>
              <w:rPr>
                <w:rFonts w:ascii="Arial;sans-serif" w:hAnsi="Arial;sans-serif"/>
                <w:b w:val="false"/>
                <w:color w:val="000000"/>
                <w:sz w:val="19"/>
              </w:rPr>
            </w:pPr>
            <w:r>
              <w:rPr>
                <w:rFonts w:ascii="Arial;sans-serif" w:hAnsi="Arial;sans-serif"/>
                <w:b w:val="false"/>
                <w:color w:val="000000"/>
                <w:sz w:val="19"/>
              </w:rPr>
              <w:t>Equity-based compensation is designed to motivate and reward executive officers to achieve our multi-year strategic goals and to deliver sustained long-term value to shareholders, as well as to attract and retain executive officers. It links compensation with shareholder value creation and aligns NEOs’ interests with shareholders’ interests.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240" w:after="240"/>
        <w:jc w:val="both"/>
        <w:rPr>
          <w:rFonts w:ascii="Arial;sans-serif" w:hAnsi="Arial;sans-serif"/>
          <w:b w:val="false"/>
          <w:i/>
          <w:color w:val="003273"/>
          <w:sz w:val="20"/>
        </w:rPr>
      </w:pPr>
      <w:r>
        <w:rPr>
          <w:rFonts w:ascii="Arial;sans-serif" w:hAnsi="Arial;sans-serif"/>
          <w:b w:val="false"/>
          <w:i/>
          <w:color w:val="003273"/>
          <w:sz w:val="20"/>
        </w:rPr>
        <w:t>2025 Target Pay Mix</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Consistent with the Committee’s pay-for-performance philosophy, a meaningful majority of annual target total compensation for our NEOs is variable, at-risk pay. The Committee considers compensation to be “at-risk” if it is subject to operating performance or if its value depends on our stock price. For 2025, 67% of the allocation of annual target total compensation payable to Mr. D’Orazio and 64% of the allocation of the average annual target total compensation payable to the other continuing NEOs, was considered variable or at-risk.</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Committee allocated compensation among base salary, target annual cash incentive plan amounts, and the grant date fair value of long-term incentive awards, which were granted to NEOs in the form of PRSUs (valued at target value) and Service-Based RSUs. The values and allocations were determined by the Committee with reference to, and consistent with, the allocations among such elements at the companies in our peer group. Approximately 34% of Mr. D’Orazio’s total target compensation, and 31% of the average total target compensation for the other NEOs, respectively, represented long-term incentive compensation.</w:t>
      </w:r>
    </w:p>
    <w:tbl>
      <w:tblPr>
        <w:tblW w:w="6163" w:type="dxa"/>
        <w:jc w:val="center"/>
        <w:tblInd w:w="0" w:type="dxa"/>
        <w:tblLayout w:type="fixed"/>
        <w:tblCellMar>
          <w:top w:w="28" w:type="dxa"/>
          <w:left w:w="28" w:type="dxa"/>
          <w:bottom w:w="28" w:type="dxa"/>
          <w:right w:w="28" w:type="dxa"/>
        </w:tblCellMar>
      </w:tblPr>
      <w:tblGrid>
        <w:gridCol w:w="1239"/>
        <w:gridCol w:w="1089"/>
        <w:gridCol w:w="1092"/>
        <w:gridCol w:w="399"/>
        <w:gridCol w:w="399"/>
        <w:gridCol w:w="401"/>
        <w:gridCol w:w="452"/>
        <w:gridCol w:w="452"/>
        <w:gridCol w:w="640"/>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op w:val="single" w:sz="24" w:space="0" w:color="053273"/>
            </w:tcBorders>
            <w:shd w:fill="F3F3F4"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273"/>
                <w:sz w:val="17"/>
              </w:rPr>
            </w:pPr>
            <w:r>
              <w:rPr>
                <w:rFonts w:ascii="Arial;sans-serif" w:hAnsi="Arial;sans-serif"/>
                <w:b/>
                <w:color w:val="003273"/>
                <w:sz w:val="17"/>
              </w:rPr>
              <w:t>PAY ELEMENT</w:t>
            </w:r>
          </w:p>
        </w:tc>
        <w:tc>
          <w:tcPr>
            <w:tcW w:w="1199"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3273"/>
                <w:sz w:val="17"/>
              </w:rPr>
            </w:pPr>
            <w:r>
              <w:rPr>
                <w:rFonts w:ascii="Arial;sans-serif" w:hAnsi="Arial;sans-serif"/>
                <w:b/>
                <w:color w:val="003273"/>
                <w:sz w:val="17"/>
              </w:rPr>
              <w:t>CEO TARGET</w:t>
              <w:br/>
              <w:t>PAY MIX</w:t>
              <w:br/>
              <w:t>(%)</w:t>
            </w:r>
          </w:p>
        </w:tc>
        <w:tc>
          <w:tcPr>
            <w:tcW w:w="1544"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3273"/>
                <w:sz w:val="17"/>
              </w:rPr>
            </w:pPr>
            <w:r>
              <w:rPr>
                <w:rFonts w:ascii="Arial;sans-serif" w:hAnsi="Arial;sans-serif"/>
                <w:b/>
                <w:color w:val="003273"/>
                <w:sz w:val="17"/>
              </w:rPr>
              <w:t>OTHER NEO</w:t>
              <w:br/>
              <w:t>TARGET PAY MIX</w:t>
              <w:br/>
              <w:t>(AVERAGE)</w:t>
              <w:br/>
              <w:t>(%)</w:t>
            </w:r>
          </w:p>
        </w:tc>
      </w:tr>
      <w:tr>
        <w:trPr/>
        <w:tc>
          <w:tcPr>
            <w:tcW w:w="3420" w:type="dxa"/>
            <w:gridSpan w:val="3"/>
            <w:tcBorders>
              <w:top w:val="single" w:sz="12" w:space="0" w:color="636466"/>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Base Salary</w:t>
            </w:r>
          </w:p>
        </w:tc>
        <w:tc>
          <w:tcPr>
            <w:tcW w:w="1199"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33%</w:t>
            </w:r>
          </w:p>
        </w:tc>
        <w:tc>
          <w:tcPr>
            <w:tcW w:w="1544"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36%</w:t>
            </w:r>
          </w:p>
        </w:tc>
      </w:tr>
      <w:tr>
        <w:trPr/>
        <w:tc>
          <w:tcPr>
            <w:tcW w:w="3420"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Annual Bonus</w:t>
            </w:r>
          </w:p>
        </w:tc>
        <w:tc>
          <w:tcPr>
            <w:tcW w:w="119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33%</w:t>
            </w:r>
          </w:p>
        </w:tc>
        <w:tc>
          <w:tcPr>
            <w:tcW w:w="154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33%</w:t>
            </w:r>
          </w:p>
        </w:tc>
      </w:tr>
      <w:tr>
        <w:trPr/>
        <w:tc>
          <w:tcPr>
            <w:tcW w:w="3420"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Long-Term Incentives</w:t>
            </w:r>
          </w:p>
        </w:tc>
        <w:tc>
          <w:tcPr>
            <w:tcW w:w="119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34%</w:t>
            </w:r>
          </w:p>
        </w:tc>
        <w:tc>
          <w:tcPr>
            <w:tcW w:w="154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31%</w:t>
            </w:r>
          </w:p>
        </w:tc>
      </w:tr>
      <w:tr>
        <w:trPr/>
        <w:tc>
          <w:tcPr>
            <w:tcW w:w="3420"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Performance Restricted Share Units</w:t>
            </w:r>
          </w:p>
        </w:tc>
        <w:tc>
          <w:tcPr>
            <w:tcW w:w="119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17%</w:t>
            </w:r>
          </w:p>
        </w:tc>
        <w:tc>
          <w:tcPr>
            <w:tcW w:w="154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15.5%</w:t>
            </w:r>
          </w:p>
        </w:tc>
      </w:tr>
      <w:tr>
        <w:trPr/>
        <w:tc>
          <w:tcPr>
            <w:tcW w:w="3420" w:type="dxa"/>
            <w:gridSpan w:val="3"/>
            <w:tcBorders>
              <w:top w:val="single" w:sz="4" w:space="0" w:color="C8C9CB"/>
              <w:bottom w:val="single" w:sz="4" w:space="0" w:color="C8C9CB"/>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Service-Based Restricted Share Units</w:t>
            </w:r>
          </w:p>
        </w:tc>
        <w:tc>
          <w:tcPr>
            <w:tcW w:w="1199"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17%</w:t>
            </w:r>
          </w:p>
        </w:tc>
        <w:tc>
          <w:tcPr>
            <w:tcW w:w="1544"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15.5%</w:t>
            </w:r>
          </w:p>
        </w:tc>
      </w:tr>
    </w:tbl>
    <w:p>
      <w:pPr>
        <w:pStyle w:val="TextBody"/>
        <w:bidi w:val="0"/>
        <w:spacing w:lineRule="auto" w:line="288" w:before="240" w:after="240"/>
        <w:jc w:val="both"/>
        <w:rPr>
          <w:rFonts w:ascii="Arial;sans-serif" w:hAnsi="Arial;sans-serif"/>
          <w:b w:val="false"/>
          <w:color w:val="000000"/>
          <w:sz w:val="19"/>
        </w:rPr>
      </w:pPr>
      <w:r>
        <w:rPr>
          <w:rFonts w:ascii="Arial;sans-serif" w:hAnsi="Arial;sans-serif"/>
          <w:b w:val="false"/>
          <w:color w:val="000000"/>
          <w:sz w:val="19"/>
        </w:rPr>
        <w:t>Each compensation element is discussed in more detail below. The percentage shown for the PRSUs in the table above is based on the target grant date values of the PRSUs for our NEOs’ annual equity grants.</w:t>
      </w:r>
    </w:p>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Base Salary</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Base salaries provide fixed compensation to executive officers and help to attract and retain the executive talent needed to lead the business and maintain a stable leadership team. Base salaries are individually determined according to each executive officer’s areas of responsibility, role, and experience, and vary among executive officers based on a variety of considerations, including skills, experience, achievements, and the competitive market for the position. Each of our NEOs received a modest 3% salary increase in 2025, with the exception of Mr. Schmitzer who did not receive a salary increase and Mr. Sutherland, whose salary increase exceeded 3% in connection with his promotion to President of the E&amp;S Segment on May 5, 2025. The table below sets forth the base salaries for each of our NEOs for the fiscal year ended December 31, 2025, and, other than for Ms. Miller and Mr. Sutherland, for the fiscal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1241"/>
        <w:gridCol w:w="953"/>
        <w:gridCol w:w="960"/>
        <w:gridCol w:w="865"/>
        <w:gridCol w:w="865"/>
        <w:gridCol w:w="716"/>
        <w:gridCol w:w="865"/>
        <w:gridCol w:w="865"/>
        <w:gridCol w:w="716"/>
        <w:gridCol w:w="630"/>
        <w:gridCol w:w="630"/>
        <w:gridCol w:w="899"/>
      </w:tblGrid>
      <w:tr>
        <w:trPr/>
        <w:tc>
          <w:tcPr>
            <w:tcW w:w="124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3154" w:type="dxa"/>
            <w:gridSpan w:val="3"/>
            <w:tcBorders>
              <w:top w:val="single" w:sz="24" w:space="0" w:color="053273"/>
            </w:tcBorders>
            <w:shd w:fill="F3F3F4"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273"/>
                <w:sz w:val="17"/>
              </w:rPr>
            </w:pPr>
            <w:r>
              <w:rPr>
                <w:rFonts w:ascii="Arial;sans-serif" w:hAnsi="Arial;sans-serif"/>
                <w:b/>
                <w:color w:val="003273"/>
                <w:sz w:val="17"/>
              </w:rPr>
              <w:t>NEO</w:t>
            </w:r>
          </w:p>
        </w:tc>
        <w:tc>
          <w:tcPr>
            <w:tcW w:w="2446"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3273"/>
                <w:sz w:val="17"/>
              </w:rPr>
            </w:pPr>
            <w:r>
              <w:rPr>
                <w:rFonts w:ascii="Arial;sans-serif" w:hAnsi="Arial;sans-serif"/>
                <w:b/>
                <w:color w:val="003273"/>
                <w:sz w:val="17"/>
              </w:rPr>
              <w:t>2024</w:t>
              <w:br/>
              <w:t>BASE SALARY</w:t>
              <w:br/>
              <w:t>($)</w:t>
            </w:r>
          </w:p>
        </w:tc>
        <w:tc>
          <w:tcPr>
            <w:tcW w:w="2446"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3273"/>
                <w:sz w:val="17"/>
              </w:rPr>
            </w:pPr>
            <w:r>
              <w:rPr>
                <w:rFonts w:ascii="Arial;sans-serif" w:hAnsi="Arial;sans-serif"/>
                <w:b/>
                <w:color w:val="003273"/>
                <w:sz w:val="17"/>
              </w:rPr>
              <w:t>2025</w:t>
              <w:br/>
              <w:t>BASE SALARY</w:t>
              <w:br/>
              <w:t>($)</w:t>
            </w:r>
          </w:p>
        </w:tc>
        <w:tc>
          <w:tcPr>
            <w:tcW w:w="2159"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3273"/>
                <w:sz w:val="17"/>
              </w:rPr>
            </w:pPr>
            <w:r>
              <w:rPr>
                <w:rFonts w:ascii="Arial;sans-serif" w:hAnsi="Arial;sans-serif"/>
                <w:b/>
                <w:color w:val="003273"/>
                <w:sz w:val="17"/>
              </w:rPr>
              <w:t>% CHANGE</w:t>
            </w:r>
          </w:p>
        </w:tc>
      </w:tr>
      <w:tr>
        <w:trPr/>
        <w:tc>
          <w:tcPr>
            <w:tcW w:w="3154" w:type="dxa"/>
            <w:gridSpan w:val="3"/>
            <w:tcBorders>
              <w:top w:val="single" w:sz="12" w:space="0" w:color="636466"/>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Frank N. D’Orazio</w:t>
            </w:r>
          </w:p>
        </w:tc>
        <w:tc>
          <w:tcPr>
            <w:tcW w:w="1730" w:type="dxa"/>
            <w:gridSpan w:val="2"/>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966,625 </w:t>
            </w:r>
          </w:p>
        </w:tc>
        <w:tc>
          <w:tcPr>
            <w:tcW w:w="716" w:type="dxa"/>
            <w:tcBorders>
              <w:top w:val="single" w:sz="12"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2"/>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995,624 </w:t>
            </w:r>
          </w:p>
        </w:tc>
        <w:tc>
          <w:tcPr>
            <w:tcW w:w="716" w:type="dxa"/>
            <w:tcBorders>
              <w:top w:val="single" w:sz="12" w:space="0" w:color="63646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3%</w:t>
            </w:r>
          </w:p>
        </w:tc>
      </w:tr>
      <w:tr>
        <w:trPr/>
        <w:tc>
          <w:tcPr>
            <w:tcW w:w="3154"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Sarah C. Doran</w:t>
            </w:r>
          </w:p>
        </w:tc>
        <w:tc>
          <w:tcPr>
            <w:tcW w:w="1730" w:type="dxa"/>
            <w:gridSpan w:val="2"/>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572,000 </w:t>
            </w:r>
          </w:p>
        </w:tc>
        <w:tc>
          <w:tcPr>
            <w:tcW w:w="716" w:type="dxa"/>
            <w:tcBorders>
              <w:top w:val="single" w:sz="4" w:space="0" w:color="C8C9C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2"/>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589,160 </w:t>
            </w:r>
          </w:p>
        </w:tc>
        <w:tc>
          <w:tcPr>
            <w:tcW w:w="716" w:type="dxa"/>
            <w:tcBorders>
              <w:top w:val="single" w:sz="4" w:space="0" w:color="C8C9C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3%</w:t>
            </w:r>
          </w:p>
        </w:tc>
      </w:tr>
      <w:tr>
        <w:trPr/>
        <w:tc>
          <w:tcPr>
            <w:tcW w:w="3154"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Richard J. Schmitzer</w:t>
            </w:r>
          </w:p>
        </w:tc>
        <w:tc>
          <w:tcPr>
            <w:tcW w:w="1730" w:type="dxa"/>
            <w:gridSpan w:val="2"/>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669,955 </w:t>
            </w:r>
          </w:p>
        </w:tc>
        <w:tc>
          <w:tcPr>
            <w:tcW w:w="716" w:type="dxa"/>
            <w:tcBorders>
              <w:top w:val="single" w:sz="4" w:space="0" w:color="C8C9C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9"/>
              </w:rPr>
              <w:t>463,479</w:t>
            </w:r>
            <w:r>
              <w:rPr>
                <w:rFonts w:ascii="Arial;sans-serif" w:hAnsi="Arial;sans-serif"/>
                <w:b w:val="false"/>
                <w:color w:val="000000"/>
                <w:sz w:val="12"/>
              </w:rPr>
              <w:t>(1)</w:t>
            </w:r>
          </w:p>
        </w:tc>
        <w:tc>
          <w:tcPr>
            <w:tcW w:w="215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n/a</w:t>
            </w:r>
          </w:p>
        </w:tc>
      </w:tr>
      <w:tr>
        <w:trPr/>
        <w:tc>
          <w:tcPr>
            <w:tcW w:w="3154"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Michael J. Hoffmann</w:t>
            </w:r>
          </w:p>
        </w:tc>
        <w:tc>
          <w:tcPr>
            <w:tcW w:w="1730" w:type="dxa"/>
            <w:gridSpan w:val="2"/>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442,000 </w:t>
            </w:r>
          </w:p>
        </w:tc>
        <w:tc>
          <w:tcPr>
            <w:tcW w:w="716" w:type="dxa"/>
            <w:tcBorders>
              <w:top w:val="single" w:sz="4" w:space="0" w:color="C8C9C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2"/>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455,260 </w:t>
            </w:r>
          </w:p>
        </w:tc>
        <w:tc>
          <w:tcPr>
            <w:tcW w:w="716" w:type="dxa"/>
            <w:tcBorders>
              <w:top w:val="single" w:sz="4" w:space="0" w:color="C8C9C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3%</w:t>
            </w:r>
          </w:p>
        </w:tc>
      </w:tr>
      <w:tr>
        <w:trPr/>
        <w:tc>
          <w:tcPr>
            <w:tcW w:w="3154"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Jeanette L. Miller</w:t>
            </w:r>
          </w:p>
        </w:tc>
        <w:tc>
          <w:tcPr>
            <w:tcW w:w="2446"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n/a</w:t>
            </w:r>
          </w:p>
        </w:tc>
        <w:tc>
          <w:tcPr>
            <w:tcW w:w="1730" w:type="dxa"/>
            <w:gridSpan w:val="2"/>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370,800 </w:t>
            </w:r>
          </w:p>
        </w:tc>
        <w:tc>
          <w:tcPr>
            <w:tcW w:w="716" w:type="dxa"/>
            <w:tcBorders>
              <w:top w:val="single" w:sz="4" w:space="0" w:color="C8C9C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n/a</w:t>
            </w:r>
          </w:p>
        </w:tc>
      </w:tr>
      <w:tr>
        <w:trPr/>
        <w:tc>
          <w:tcPr>
            <w:tcW w:w="3154"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Todd R. Sutherland</w:t>
            </w:r>
          </w:p>
        </w:tc>
        <w:tc>
          <w:tcPr>
            <w:tcW w:w="2446"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n/a</w:t>
            </w:r>
          </w:p>
        </w:tc>
        <w:tc>
          <w:tcPr>
            <w:tcW w:w="2446"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9"/>
              </w:rPr>
              <w:t>375,119</w:t>
            </w:r>
            <w:r>
              <w:rPr>
                <w:rFonts w:ascii="Arial;sans-serif" w:hAnsi="Arial;sans-serif"/>
                <w:b w:val="false"/>
                <w:color w:val="000000"/>
                <w:sz w:val="12"/>
              </w:rPr>
              <w:t>(2)</w:t>
            </w:r>
          </w:p>
        </w:tc>
        <w:tc>
          <w:tcPr>
            <w:tcW w:w="2159"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n/a</w:t>
            </w:r>
          </w:p>
        </w:tc>
      </w:tr>
      <w:tr>
        <w:trPr/>
        <w:tc>
          <w:tcPr>
            <w:tcW w:w="10205" w:type="dxa"/>
            <w:gridSpan w:val="12"/>
            <w:tcBorders>
              <w:top w:val="single" w:sz="4" w:space="0" w:color="C8C9C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9"/>
              </w:rPr>
            </w:pPr>
            <w:r>
              <w:rPr>
                <w:rFonts w:ascii="Arial;sans-serif" w:hAnsi="Arial;sans-serif"/>
                <w:b w:val="false"/>
                <w:color w:val="000000"/>
                <w:sz w:val="19"/>
              </w:rPr>
              <w:t>(1) Mr. Schmitzer stepped down as Chief Executive Officer of the Company’s E&amp;S Segment, effective July 31, 2025, in anticipation of his retirement from the Company effective October 15, 2025. In connection with this transition, Mr. Schmitzer’s base salary was decreased to $300,000 effective in August 2025. Accordingly, Mr. Schmitzer’s base salary in this table for 2025 reflects approximately eight months at the salary level established in March 2023 and two months at the decreased salary level established in August 2025 in connection with Mr. Schmitzer’s transition.</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9"/>
              </w:rPr>
            </w:pPr>
            <w:r>
              <w:rPr>
                <w:rFonts w:ascii="Arial;sans-serif" w:hAnsi="Arial;sans-serif"/>
                <w:b w:val="false"/>
                <w:color w:val="000000"/>
                <w:sz w:val="19"/>
              </w:rPr>
              <w:t>(2) Mr. Sutherland was promoted to President of the Company’s E&amp;S Segment, effective May 5, 2025. In connection with this promotion, Mr. Sutherland’s base salary was increased to $400,000 effective in May 2025. Accordingly, Mr. Sutherland’s base salary in this table for 2025 reflects approximately two months at the salary level established in March 2024, two months at the salary level established in March 2025 during the Company’s annual compensation cycle, and eight months at the increased salary level established in May 2025 in connection with Mr. Sutherland’s promotion.</w:t>
            </w:r>
          </w:p>
        </w:tc>
      </w:tr>
    </w:tbl>
    <w:p>
      <w:pPr>
        <w:pStyle w:val="TextBody"/>
        <w:bidi w:val="0"/>
        <w:spacing w:lineRule="auto" w:line="288" w:before="120" w:after="240"/>
        <w:jc w:val="both"/>
        <w:rPr>
          <w:rFonts w:ascii="Arial;sans-serif" w:hAnsi="Arial;sans-serif"/>
          <w:b w:val="false"/>
          <w:i/>
          <w:color w:val="003273"/>
          <w:sz w:val="20"/>
        </w:rPr>
      </w:pPr>
      <w:r>
        <w:rPr>
          <w:rFonts w:ascii="Arial;sans-serif" w:hAnsi="Arial;sans-serif"/>
          <w:b w:val="false"/>
          <w:i/>
          <w:color w:val="003273"/>
          <w:sz w:val="20"/>
        </w:rPr>
        <w:t>Short-Term Incentives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short-term incentive plan (the “STI Plan”) is designed to provide incentives to designated senior officers of the Company to achieve certain financial and strategic performance targets and to link executive compensation to Company financial results and enhance shareholder value by rewarding competitive and superior performance, thereby creating an alignment of interests between our executive officers and shareholders.</w:t>
      </w:r>
    </w:p>
    <w:p>
      <w:pPr>
        <w:pStyle w:val="TextBody"/>
        <w:bidi w:val="0"/>
        <w:spacing w:lineRule="auto" w:line="288" w:before="0" w:after="180"/>
        <w:jc w:val="both"/>
        <w:rPr>
          <w:rFonts w:ascii="Arial;sans-serif" w:hAnsi="Arial;sans-serif"/>
          <w:b w:val="false"/>
          <w:i/>
          <w:color w:val="003273"/>
          <w:sz w:val="20"/>
        </w:rPr>
      </w:pPr>
      <w:r>
        <w:rPr>
          <w:rFonts w:ascii="Arial;sans-serif" w:hAnsi="Arial;sans-serif"/>
          <w:b w:val="false"/>
          <w:i/>
          <w:color w:val="003273"/>
          <w:sz w:val="20"/>
        </w:rPr>
        <w:t>Target Opportunities</w:t>
      </w:r>
    </w:p>
    <w:p>
      <w:pPr>
        <w:pStyle w:val="TextBody"/>
        <w:bidi w:val="0"/>
        <w:spacing w:lineRule="auto" w:line="288" w:before="0" w:after="180"/>
        <w:jc w:val="both"/>
        <w:rPr>
          <w:rFonts w:ascii="Arial;sans-serif" w:hAnsi="Arial;sans-serif"/>
          <w:b w:val="false"/>
          <w:color w:val="000000"/>
          <w:sz w:val="19"/>
        </w:rPr>
      </w:pPr>
      <w:r>
        <w:rPr>
          <w:rFonts w:ascii="Arial;sans-serif" w:hAnsi="Arial;sans-serif"/>
          <w:b w:val="false"/>
          <w:color w:val="000000"/>
          <w:sz w:val="19"/>
        </w:rPr>
        <w:t>The Committee determines a target cash incentive opportunity for each NEO under the annual cash incentive plan by taking the individual’s base salary and multiplying it by the individual’s target incentive percentage. The target incentive percentages for each of our NEOs for the fiscal year ended December 31, 2025, are set forth in the table below. With the exception of Mr. Sutherland, whose compensation targets were increased in connection with his promotion to President of the E&amp;S Segment on May 5, 2025, the target incentive percentages remained the same as in 2024.</w:t>
      </w:r>
    </w:p>
    <w:tbl>
      <w:tblPr>
        <w:tblW w:w="5864" w:type="dxa"/>
        <w:jc w:val="center"/>
        <w:tblInd w:w="0" w:type="dxa"/>
        <w:tblLayout w:type="fixed"/>
        <w:tblCellMar>
          <w:top w:w="28" w:type="dxa"/>
          <w:left w:w="28" w:type="dxa"/>
          <w:bottom w:w="28" w:type="dxa"/>
          <w:right w:w="28" w:type="dxa"/>
        </w:tblCellMar>
      </w:tblPr>
      <w:tblGrid>
        <w:gridCol w:w="705"/>
        <w:gridCol w:w="620"/>
        <w:gridCol w:w="625"/>
        <w:gridCol w:w="1144"/>
        <w:gridCol w:w="1144"/>
        <w:gridCol w:w="1626"/>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op w:val="single" w:sz="24" w:space="0" w:color="053273"/>
            </w:tcBorders>
            <w:shd w:fill="F3F3F4"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273"/>
                <w:sz w:val="17"/>
              </w:rPr>
            </w:pPr>
            <w:r>
              <w:rPr>
                <w:rFonts w:ascii="Arial;sans-serif" w:hAnsi="Arial;sans-serif"/>
                <w:b/>
                <w:color w:val="003273"/>
                <w:sz w:val="17"/>
              </w:rPr>
              <w:t>NEO</w:t>
            </w:r>
          </w:p>
        </w:tc>
        <w:tc>
          <w:tcPr>
            <w:tcW w:w="3914"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3273"/>
                <w:sz w:val="17"/>
              </w:rPr>
            </w:pPr>
            <w:r>
              <w:rPr>
                <w:rFonts w:ascii="Arial;sans-serif" w:hAnsi="Arial;sans-serif"/>
                <w:b/>
                <w:color w:val="003273"/>
                <w:sz w:val="17"/>
              </w:rPr>
              <w:t>2025 TARGET CASH INCENTIVE OPPORTUNITY</w:t>
              <w:br/>
              <w:t>(AS A % OF BASE SALARY)</w:t>
            </w:r>
          </w:p>
        </w:tc>
      </w:tr>
      <w:tr>
        <w:trPr/>
        <w:tc>
          <w:tcPr>
            <w:tcW w:w="1950" w:type="dxa"/>
            <w:gridSpan w:val="3"/>
            <w:tcBorders>
              <w:top w:val="single" w:sz="12" w:space="0" w:color="636466"/>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Frank N. D’Orazio</w:t>
            </w:r>
          </w:p>
        </w:tc>
        <w:tc>
          <w:tcPr>
            <w:tcW w:w="3914"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100%</w:t>
            </w:r>
          </w:p>
        </w:tc>
      </w:tr>
      <w:tr>
        <w:trPr/>
        <w:tc>
          <w:tcPr>
            <w:tcW w:w="1950"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Sarah C. Doran</w:t>
            </w:r>
          </w:p>
        </w:tc>
        <w:tc>
          <w:tcPr>
            <w:tcW w:w="391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100%</w:t>
            </w:r>
          </w:p>
        </w:tc>
      </w:tr>
      <w:tr>
        <w:trPr/>
        <w:tc>
          <w:tcPr>
            <w:tcW w:w="1950"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Richard J. Schmitzer</w:t>
            </w:r>
          </w:p>
        </w:tc>
        <w:tc>
          <w:tcPr>
            <w:tcW w:w="391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100%</w:t>
            </w:r>
          </w:p>
        </w:tc>
      </w:tr>
      <w:tr>
        <w:trPr/>
        <w:tc>
          <w:tcPr>
            <w:tcW w:w="1950"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Michael J. Hoffmann</w:t>
            </w:r>
          </w:p>
        </w:tc>
        <w:tc>
          <w:tcPr>
            <w:tcW w:w="391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75%</w:t>
            </w:r>
          </w:p>
        </w:tc>
      </w:tr>
      <w:tr>
        <w:trPr/>
        <w:tc>
          <w:tcPr>
            <w:tcW w:w="1950"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Jeanette L. Miller</w:t>
            </w:r>
          </w:p>
        </w:tc>
        <w:tc>
          <w:tcPr>
            <w:tcW w:w="391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75%</w:t>
            </w:r>
          </w:p>
        </w:tc>
      </w:tr>
      <w:tr>
        <w:trPr/>
        <w:tc>
          <w:tcPr>
            <w:tcW w:w="1950" w:type="dxa"/>
            <w:gridSpan w:val="3"/>
            <w:tcBorders>
              <w:top w:val="single" w:sz="4" w:space="0" w:color="C8C9CB"/>
              <w:bottom w:val="single" w:sz="4" w:space="0" w:color="C8C9CB"/>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Todd R. Sutherland</w:t>
            </w:r>
          </w:p>
        </w:tc>
        <w:tc>
          <w:tcPr>
            <w:tcW w:w="3914"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100%</w:t>
            </w:r>
          </w:p>
        </w:tc>
      </w:tr>
    </w:tbl>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For the NEOs who are chief executive officers of the Company or one of its segments and the chief financial officer of the Company, the target cash incentive amount was set at 100% of each such NEO’s 2025 base salary, in acknowledgement of the greater responsibilities of such executive officers as compared to others. Mr. Hoffmann and Ms. Miller, who do not have a corresponding position, received a target cash incentive amount of 75% of their 2025 base salaries. The payout for threshold performance is equivalent to 50% of the target amount, and the payout for maximum performance is equivalent to 150% of the target amount. The payout amount for performance falling between threshold and target, or target and maximum, is determined by linear interpolation. The STI Plan permits the Committee to exercise discretion to adjust payouts, positively or negatively, when it deems it to be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Performance Metrics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Based upon a review of our peer group’s short-term compensation practices and the Company’s strategic plan and historical performance levels, the Committee recommended to the Board, and the Board approved, the use of three performance metrics. Two of these metrics are financial performance metrics: Adjusted Combined Ratio and adjusted earnings before interest and taxes (Adjusted EBIT), which are non-GAAP financial measures. The Committee believes that these financial performance metrics are appropriate, as they are industry standard measures of profitability. The two financial performance metrics comprise 66.7% of the bonus target and are calculated as follows:</w:t>
      </w:r>
    </w:p>
    <w:p>
      <w:pPr>
        <w:pStyle w:val="TextBody"/>
        <w:bidi w:val="0"/>
        <w:spacing w:lineRule="auto" w:line="288" w:before="0" w:after="240"/>
        <w:jc w:val="both"/>
        <w:rPr>
          <w:rFonts w:ascii="Arial;sans-serif" w:hAnsi="Arial;sans-serif"/>
          <w:b/>
          <w:color w:val="003273"/>
          <w:sz w:val="20"/>
        </w:rPr>
      </w:pPr>
      <w:r>
        <w:rPr>
          <w:rFonts w:ascii="Arial;sans-serif" w:hAnsi="Arial;sans-serif"/>
          <w:b/>
          <w:color w:val="003273"/>
          <w:sz w:val="20"/>
        </w:rPr>
        <w:t>CALCULATION OF ADJUSTED COMBINED RATIO METRIC</w:t>
      </w:r>
    </w:p>
    <w:p>
      <w:pPr>
        <w:pStyle w:val="TextBody"/>
        <w:bidi w:val="0"/>
        <w:spacing w:lineRule="auto" w:line="288" w:before="0" w:after="120"/>
        <w:jc w:val="both"/>
        <w:rPr/>
      </w:pPr>
      <w:r>
        <w:rPr>
          <w:rFonts w:ascii="Arial;sans-serif" w:hAnsi="Arial;sans-serif"/>
          <w:b w:val="false"/>
          <w:i/>
          <w:color w:val="003273"/>
          <w:sz w:val="19"/>
        </w:rPr>
        <w:t>Adjusted Combined Ratio</w:t>
      </w:r>
      <w:r>
        <w:rPr>
          <w:rFonts w:ascii="Arial;sans-serif" w:hAnsi="Arial;sans-serif"/>
          <w:b w:val="false"/>
          <w:color w:val="000000"/>
          <w:sz w:val="19"/>
        </w:rPr>
        <w:t>: The Company’s Adjusted Combined Ratio is calculated as the combined ratio of the Company on a consolidated basis, calculated prior to the effect of favorable or unfavorable prior year reserve development for which the Company’s subsidiaries ceded the risk under retroactive reinsurance agreements and the related changes in the amortization of the deferred gain.</w:t>
      </w:r>
    </w:p>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For Mr. D’Orazio, Ms. Doran, Mr. Hoffmann, and Ms. Miller, performance of the Adjusted Combined Ratio metric was determined entirely on the achievement of the Company, whereas for Mr. Schmitzer and Mr. Sutherland, performance of the Adjusted Combined Ratio was evenly divided between (i) Company Adjusted Combined Ratio, and (ii) the Adjusted Combined Ratio of the E&amp;S Segment. For 2025, the Specialty Admitted Insurance segment performance was measured using the group performance metrics.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For the E&amp;S Segment, Adjusted Combined Ratio is calculated as the segment’s combined ratio, calculated prior to the effect of favorable or unfavorable prior year reserve development for which the segment ceded the risk under retroactive reinsurance agreements, if any, and the related changes in the amortization of the deferred gain.</w:t>
      </w:r>
    </w:p>
    <w:p>
      <w:pPr>
        <w:pStyle w:val="TextBody"/>
        <w:bidi w:val="0"/>
        <w:spacing w:lineRule="auto" w:line="288" w:before="0" w:after="240"/>
        <w:jc w:val="both"/>
        <w:rPr>
          <w:rFonts w:ascii="Arial;sans-serif" w:hAnsi="Arial;sans-serif"/>
          <w:b/>
          <w:color w:val="003273"/>
          <w:sz w:val="20"/>
        </w:rPr>
      </w:pPr>
      <w:r>
        <w:rPr>
          <w:rFonts w:ascii="Arial;sans-serif" w:hAnsi="Arial;sans-serif"/>
          <w:b/>
          <w:color w:val="003273"/>
          <w:sz w:val="20"/>
        </w:rPr>
        <w:t>CALCULATION OF ADJUSTED EBIT</w:t>
      </w:r>
    </w:p>
    <w:p>
      <w:pPr>
        <w:pStyle w:val="TextBody"/>
        <w:bidi w:val="0"/>
        <w:spacing w:lineRule="auto" w:line="288" w:before="0" w:after="120"/>
        <w:jc w:val="both"/>
        <w:rPr/>
      </w:pPr>
      <w:r>
        <w:rPr>
          <w:rFonts w:ascii="Arial;sans-serif" w:hAnsi="Arial;sans-serif"/>
          <w:b w:val="false"/>
          <w:i/>
          <w:color w:val="003273"/>
          <w:sz w:val="19"/>
        </w:rPr>
        <w:t>Adjusted EBIT</w:t>
      </w:r>
      <w:r>
        <w:rPr>
          <w:rFonts w:ascii="Arial;sans-serif" w:hAnsi="Arial;sans-serif"/>
          <w:b w:val="false"/>
          <w:i/>
          <w:color w:val="000000"/>
          <w:sz w:val="19"/>
        </w:rPr>
        <w:t>:</w:t>
      </w:r>
      <w:r>
        <w:rPr>
          <w:color w:val="000000"/>
        </w:rPr>
        <w:t xml:space="preserve"> </w:t>
      </w:r>
      <w:r>
        <w:rPr>
          <w:rFonts w:ascii="Arial;sans-serif" w:hAnsi="Arial;sans-serif"/>
          <w:b w:val="false"/>
          <w:color w:val="000000"/>
          <w:sz w:val="19"/>
        </w:rPr>
        <w:t>Adjusted EBIT is calculated as net income of the Company before interest and income taxes, and excluding the portion of favorable or unfavorable prior year reserve development for which the Company’s subsidiaries ceded the risk under retroactive reinsurance agreements and the related changes in the amortization of the deferred gain.</w:t>
      </w:r>
    </w:p>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The Committee set the targets for these financial metrics at a level that it considered rigorous and challenging and that took into account the relevant risks and opportunities of the Company’s business. In particular, the Committee reviewed our 2025 annual operating budget that resulted from our detailed budgeting process and evaluated various factors that might affect whether the target could be achieved, including the risks to achieving certain preliminary objectives that were necessary pre-requisites to achieving the budget targets.</w:t>
      </w:r>
    </w:p>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In addition to the financial performance metrics, 33.3% of the bonus target was based upon the achievement of strategic goals established for 2025, the achievement of which were non-formulaic, and determined on a subjective basis by the Committee. Our 2025 strategic goals were identified by the Committee as among the most important goals in a broader set of companywide objectives set for 2025. The strategic goals were focused on the Company’s rating and outlook, redomicile from Bermuda to Delaware, underwriting productivity and E&amp;S Segment internal profitability reporting.</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For these strategic goals, the 2025 targets were established by the Committee at a level that the Committee determined to be aggressive and set at challenging levels such that the attainment of target performance for each category of goals was not assured at the time they were set and required a high level of effort and execution on the part of the executive officers and others in order to achieve the goals. The Committee believes that each of these goals is strongly aligned with the creation of shareholder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Achievement of Financial and Strategic Goals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Committee is permitted to make varying adjustments to the performance metrics within the framework established for the STI Plan that may have a net positive or net negative impact on the calculation of performance in respect of those metrics. For 2025, the Committee set threshold, target and maximum metrics for group Adjusted Combined Ratio and Adjusted EBIT that incorporated adjustments for discontinued operations and employee retention awards scheduled to be paid in 2025. In addition, in determining the final calculation of results of the 2025 group Adjusted Combined Ratio and Adjusted EBIT financial performance metrics, the Committee exercised discretion to make adjustments to exclude expenses related to strategic transactions previously undertaken by the Company at the direction of the Board that the Board believed were essential to delivering long-term value to shareholders. These adjustments are consistent with the calculation methodology used in prior years and resulted in a very slight net positive impact to the results of the financial performance goals. The Committee believes that the adjusted items were outside the control of management and were not representative of operating performance, and that the adjustments were necessary to preserve the motivational objective of the STI Plan.</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table below shows the 2025 threshold, target and maximum level of performance, actual performance results, adjusted performance results based on the Committee’s adjustments to the performance metrics, and adjusted performance as a percentage of target, for each financial performance goal (group and E&amp;S Segment Adjusted Combined Ratio and Adjusted EBIT for Messrs. Schmitzer and Sutherland, and group only Adjusted Combined Ratio and Adjusted EBIT for the other NEOs).</w:t>
      </w:r>
    </w:p>
    <w:tbl>
      <w:tblPr>
        <w:tblW w:w="10205" w:type="dxa"/>
        <w:jc w:val="center"/>
        <w:tblInd w:w="0" w:type="dxa"/>
        <w:tblLayout w:type="fixed"/>
        <w:tblCellMar>
          <w:top w:w="28" w:type="dxa"/>
          <w:left w:w="28" w:type="dxa"/>
          <w:bottom w:w="28" w:type="dxa"/>
          <w:right w:w="28" w:type="dxa"/>
        </w:tblCellMar>
      </w:tblPr>
      <w:tblGrid>
        <w:gridCol w:w="1399"/>
        <w:gridCol w:w="1017"/>
        <w:gridCol w:w="1020"/>
        <w:gridCol w:w="612"/>
        <w:gridCol w:w="612"/>
        <w:gridCol w:w="614"/>
        <w:gridCol w:w="608"/>
        <w:gridCol w:w="608"/>
        <w:gridCol w:w="609"/>
        <w:gridCol w:w="471"/>
        <w:gridCol w:w="471"/>
        <w:gridCol w:w="473"/>
        <w:gridCol w:w="493"/>
        <w:gridCol w:w="493"/>
        <w:gridCol w:w="705"/>
      </w:tblGrid>
      <w:tr>
        <w:trPr/>
        <w:tc>
          <w:tcPr>
            <w:tcW w:w="139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3436" w:type="dxa"/>
            <w:gridSpan w:val="3"/>
            <w:tcBorders>
              <w:top w:val="single" w:sz="24" w:space="0" w:color="053273"/>
            </w:tcBorders>
            <w:shd w:fill="F3F3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003273"/>
                <w:sz w:val="16"/>
              </w:rPr>
            </w:pPr>
            <w:r>
              <w:rPr>
                <w:rFonts w:ascii="Arial;sans-serif" w:hAnsi="Arial;sans-serif"/>
                <w:b/>
                <w:color w:val="003273"/>
                <w:sz w:val="16"/>
              </w:rPr>
              <w:t>GROUP</w:t>
              <w:br/>
              <w:t>ADJUSTED</w:t>
              <w:br/>
              <w:t>COMBINED RATIO</w:t>
              <w:br/>
              <w:t>(ALL NEOS)</w:t>
            </w:r>
          </w:p>
        </w:tc>
        <w:tc>
          <w:tcPr>
            <w:tcW w:w="1825"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003273"/>
                <w:sz w:val="16"/>
              </w:rPr>
            </w:pPr>
            <w:r>
              <w:rPr>
                <w:rFonts w:ascii="Arial;sans-serif" w:hAnsi="Arial;sans-serif"/>
                <w:b/>
                <w:color w:val="003273"/>
                <w:sz w:val="16"/>
              </w:rPr>
              <w:t>E&amp;S SEGMENT ADJUSTED</w:t>
              <w:br/>
              <w:t>COMBINED RATIO</w:t>
              <w:br/>
              <w:t>(E&amp;S SEGMENT ONLY)</w:t>
            </w:r>
          </w:p>
        </w:tc>
        <w:tc>
          <w:tcPr>
            <w:tcW w:w="1415"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3273"/>
                <w:sz w:val="16"/>
              </w:rPr>
            </w:pPr>
            <w:r>
              <w:rPr>
                <w:rFonts w:ascii="Arial;sans-serif" w:hAnsi="Arial;sans-serif"/>
                <w:b/>
                <w:color w:val="003273"/>
                <w:sz w:val="16"/>
              </w:rPr>
              <w:t>GROUP</w:t>
            </w:r>
          </w:p>
          <w:p>
            <w:pPr>
              <w:pStyle w:val="TableContents"/>
              <w:bidi w:val="0"/>
              <w:spacing w:lineRule="auto" w:line="268" w:before="0" w:after="0"/>
              <w:jc w:val="center"/>
              <w:rPr>
                <w:rFonts w:ascii="Arial;sans-serif" w:hAnsi="Arial;sans-serif"/>
                <w:b/>
                <w:color w:val="003273"/>
                <w:sz w:val="16"/>
              </w:rPr>
            </w:pPr>
            <w:r>
              <w:rPr>
                <w:rFonts w:ascii="Arial;sans-serif" w:hAnsi="Arial;sans-serif"/>
                <w:b/>
                <w:color w:val="003273"/>
                <w:sz w:val="16"/>
              </w:rPr>
              <w:t>ADJUSTED</w:t>
            </w:r>
          </w:p>
          <w:p>
            <w:pPr>
              <w:pStyle w:val="TableContents"/>
              <w:bidi w:val="0"/>
              <w:spacing w:lineRule="auto" w:line="268" w:before="0" w:after="0"/>
              <w:jc w:val="center"/>
              <w:rPr/>
            </w:pPr>
            <w:r>
              <w:rPr>
                <w:rFonts w:ascii="Arial;sans-serif" w:hAnsi="Arial;sans-serif"/>
                <w:b/>
                <w:color w:val="003273"/>
                <w:sz w:val="16"/>
              </w:rPr>
              <w:t>EBIT</w:t>
            </w:r>
            <w:r>
              <w:rPr>
                <w:rFonts w:ascii="Arial;sans-serif" w:hAnsi="Arial;sans-serif"/>
                <w:b/>
                <w:color w:val="003273"/>
                <w:sz w:val="10"/>
              </w:rPr>
              <w:t>(2)</w:t>
            </w:r>
          </w:p>
          <w:p>
            <w:pPr>
              <w:pStyle w:val="TableContents"/>
              <w:bidi w:val="0"/>
              <w:spacing w:lineRule="auto" w:line="268" w:before="0" w:after="0"/>
              <w:jc w:val="center"/>
              <w:rPr>
                <w:rFonts w:ascii="Arial;sans-serif" w:hAnsi="Arial;sans-serif"/>
                <w:b/>
                <w:color w:val="003273"/>
                <w:sz w:val="16"/>
              </w:rPr>
            </w:pPr>
            <w:r>
              <w:rPr>
                <w:rFonts w:ascii="Arial;sans-serif" w:hAnsi="Arial;sans-serif"/>
                <w:b/>
                <w:color w:val="003273"/>
                <w:sz w:val="16"/>
              </w:rPr>
              <w:t>(ALL NEOS)</w:t>
            </w:r>
          </w:p>
        </w:tc>
        <w:tc>
          <w:tcPr>
            <w:tcW w:w="1691"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003273"/>
                <w:sz w:val="16"/>
              </w:rPr>
            </w:pPr>
            <w:r>
              <w:rPr>
                <w:rFonts w:ascii="Arial;sans-serif" w:hAnsi="Arial;sans-serif"/>
                <w:b/>
                <w:color w:val="003273"/>
                <w:sz w:val="16"/>
              </w:rPr>
              <w:t>STRATEGIC</w:t>
              <w:br/>
              <w:t>GOALS</w:t>
              <w:br/>
              <w:t>(ALL NEOS)</w:t>
            </w:r>
          </w:p>
        </w:tc>
      </w:tr>
      <w:tr>
        <w:trPr/>
        <w:tc>
          <w:tcPr>
            <w:tcW w:w="3436" w:type="dxa"/>
            <w:gridSpan w:val="3"/>
            <w:tcBorders>
              <w:top w:val="single" w:sz="12" w:space="0" w:color="636466"/>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9"/>
              </w:rPr>
            </w:pPr>
            <w:r>
              <w:rPr>
                <w:rFonts w:ascii="Arial;sans-serif" w:hAnsi="Arial;sans-serif"/>
                <w:b w:val="false"/>
                <w:color w:val="000000"/>
                <w:sz w:val="19"/>
              </w:rPr>
              <w:t>Weighting of Metric for Group NEOs</w:t>
            </w:r>
          </w:p>
        </w:tc>
        <w:tc>
          <w:tcPr>
            <w:tcW w:w="1838"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33.3%</w:t>
            </w:r>
          </w:p>
        </w:tc>
        <w:tc>
          <w:tcPr>
            <w:tcW w:w="1825" w:type="dxa"/>
            <w:gridSpan w:val="3"/>
            <w:tcBorders>
              <w:top w:val="single" w:sz="12" w:space="0" w:color="636466"/>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33.3%</w:t>
            </w:r>
          </w:p>
        </w:tc>
        <w:tc>
          <w:tcPr>
            <w:tcW w:w="1691"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33.3%</w:t>
            </w:r>
          </w:p>
        </w:tc>
      </w:tr>
      <w:tr>
        <w:trPr/>
        <w:tc>
          <w:tcPr>
            <w:tcW w:w="3436"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9"/>
              </w:rPr>
            </w:pPr>
            <w:r>
              <w:rPr>
                <w:rFonts w:ascii="Arial;sans-serif" w:hAnsi="Arial;sans-serif"/>
                <w:b w:val="false"/>
                <w:color w:val="000000"/>
                <w:sz w:val="19"/>
              </w:rPr>
              <w:t>Weighting of Metric for E&amp;S Segment NEOs</w:t>
            </w:r>
          </w:p>
        </w:tc>
        <w:tc>
          <w:tcPr>
            <w:tcW w:w="183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16.7%</w:t>
            </w:r>
          </w:p>
        </w:tc>
        <w:tc>
          <w:tcPr>
            <w:tcW w:w="182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16.7%</w:t>
            </w:r>
          </w:p>
        </w:tc>
        <w:tc>
          <w:tcPr>
            <w:tcW w:w="141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33.3%</w:t>
            </w:r>
          </w:p>
        </w:tc>
        <w:tc>
          <w:tcPr>
            <w:tcW w:w="169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33.3%</w:t>
            </w:r>
          </w:p>
        </w:tc>
      </w:tr>
      <w:tr>
        <w:trPr/>
        <w:tc>
          <w:tcPr>
            <w:tcW w:w="3436"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19"/>
              </w:rPr>
              <w:t>Threshold</w:t>
            </w:r>
            <w:r>
              <w:rPr>
                <w:rFonts w:ascii="Arial;sans-serif" w:hAnsi="Arial;sans-serif"/>
                <w:b w:val="false"/>
                <w:color w:val="000000"/>
                <w:sz w:val="12"/>
              </w:rPr>
              <w:t>(1)</w:t>
            </w:r>
          </w:p>
        </w:tc>
        <w:tc>
          <w:tcPr>
            <w:tcW w:w="183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99.9%</w:t>
            </w:r>
          </w:p>
        </w:tc>
        <w:tc>
          <w:tcPr>
            <w:tcW w:w="182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93.25%</w:t>
            </w:r>
          </w:p>
        </w:tc>
        <w:tc>
          <w:tcPr>
            <w:tcW w:w="141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$74.6 million</w:t>
            </w:r>
          </w:p>
        </w:tc>
        <w:tc>
          <w:tcPr>
            <w:tcW w:w="169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N/A</w:t>
            </w:r>
          </w:p>
        </w:tc>
      </w:tr>
      <w:tr>
        <w:trPr/>
        <w:tc>
          <w:tcPr>
            <w:tcW w:w="3436"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19"/>
              </w:rPr>
              <w:t>Target</w:t>
            </w:r>
            <w:r>
              <w:rPr>
                <w:rFonts w:ascii="Arial;sans-serif" w:hAnsi="Arial;sans-serif"/>
                <w:b w:val="false"/>
                <w:color w:val="000000"/>
                <w:sz w:val="12"/>
              </w:rPr>
              <w:t>(1)</w:t>
            </w:r>
          </w:p>
        </w:tc>
        <w:tc>
          <w:tcPr>
            <w:tcW w:w="183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96.2%</w:t>
            </w:r>
          </w:p>
        </w:tc>
        <w:tc>
          <w:tcPr>
            <w:tcW w:w="182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89.5%</w:t>
            </w:r>
          </w:p>
        </w:tc>
        <w:tc>
          <w:tcPr>
            <w:tcW w:w="141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$108.4 million</w:t>
            </w:r>
          </w:p>
        </w:tc>
        <w:tc>
          <w:tcPr>
            <w:tcW w:w="169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N/A</w:t>
            </w:r>
          </w:p>
        </w:tc>
      </w:tr>
      <w:tr>
        <w:trPr/>
        <w:tc>
          <w:tcPr>
            <w:tcW w:w="3436"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19"/>
              </w:rPr>
              <w:t>Maximum</w:t>
            </w:r>
            <w:r>
              <w:rPr>
                <w:rFonts w:ascii="Arial;sans-serif" w:hAnsi="Arial;sans-serif"/>
                <w:b w:val="false"/>
                <w:color w:val="000000"/>
                <w:sz w:val="12"/>
              </w:rPr>
              <w:t>(1)</w:t>
            </w:r>
          </w:p>
        </w:tc>
        <w:tc>
          <w:tcPr>
            <w:tcW w:w="183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92.4%</w:t>
            </w:r>
          </w:p>
        </w:tc>
        <w:tc>
          <w:tcPr>
            <w:tcW w:w="182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85.7%</w:t>
            </w:r>
          </w:p>
        </w:tc>
        <w:tc>
          <w:tcPr>
            <w:tcW w:w="141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$142.2 million</w:t>
            </w:r>
          </w:p>
        </w:tc>
        <w:tc>
          <w:tcPr>
            <w:tcW w:w="169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N/A</w:t>
            </w:r>
          </w:p>
        </w:tc>
      </w:tr>
      <w:tr>
        <w:trPr/>
        <w:tc>
          <w:tcPr>
            <w:tcW w:w="3436"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19"/>
              </w:rPr>
              <w:t>Actual Result</w:t>
            </w:r>
            <w:r>
              <w:rPr>
                <w:rFonts w:ascii="Arial;sans-serif" w:hAnsi="Arial;sans-serif"/>
                <w:b w:val="false"/>
                <w:color w:val="000000"/>
                <w:sz w:val="12"/>
              </w:rPr>
              <w:t>(2)</w:t>
            </w:r>
          </w:p>
        </w:tc>
        <w:tc>
          <w:tcPr>
            <w:tcW w:w="183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96.3%</w:t>
            </w:r>
          </w:p>
        </w:tc>
        <w:tc>
          <w:tcPr>
            <w:tcW w:w="182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89.3%</w:t>
            </w:r>
          </w:p>
        </w:tc>
        <w:tc>
          <w:tcPr>
            <w:tcW w:w="141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$104.6 million</w:t>
            </w:r>
          </w:p>
        </w:tc>
        <w:tc>
          <w:tcPr>
            <w:tcW w:w="169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N/A</w:t>
            </w:r>
          </w:p>
        </w:tc>
      </w:tr>
      <w:tr>
        <w:trPr/>
        <w:tc>
          <w:tcPr>
            <w:tcW w:w="3436"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19"/>
              </w:rPr>
              <w:t>Adjusted Result</w:t>
            </w:r>
            <w:r>
              <w:rPr>
                <w:rFonts w:ascii="Arial;sans-serif" w:hAnsi="Arial;sans-serif"/>
                <w:b w:val="false"/>
                <w:color w:val="000000"/>
                <w:sz w:val="12"/>
              </w:rPr>
              <w:t>(3)</w:t>
            </w:r>
          </w:p>
        </w:tc>
        <w:tc>
          <w:tcPr>
            <w:tcW w:w="183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96.3%</w:t>
            </w:r>
          </w:p>
        </w:tc>
        <w:tc>
          <w:tcPr>
            <w:tcW w:w="182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89.3%</w:t>
            </w:r>
          </w:p>
        </w:tc>
        <w:tc>
          <w:tcPr>
            <w:tcW w:w="141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$105.4 million</w:t>
            </w:r>
          </w:p>
        </w:tc>
        <w:tc>
          <w:tcPr>
            <w:tcW w:w="169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87.5% for Group /</w:t>
              <w:br/>
              <w:t>80% for E&amp;S</w:t>
              <w:br/>
              <w:t>Segment</w:t>
            </w:r>
          </w:p>
        </w:tc>
      </w:tr>
      <w:tr>
        <w:trPr/>
        <w:tc>
          <w:tcPr>
            <w:tcW w:w="3436"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19"/>
              </w:rPr>
              <w:t>Achievement as a % of Target after Applying the Weighting</w:t>
            </w:r>
            <w:r>
              <w:rPr>
                <w:rFonts w:ascii="Arial;sans-serif" w:hAnsi="Arial;sans-serif"/>
                <w:b w:val="false"/>
                <w:color w:val="000000"/>
                <w:sz w:val="12"/>
              </w:rPr>
              <w:t>(4)</w:t>
            </w:r>
          </w:p>
        </w:tc>
        <w:tc>
          <w:tcPr>
            <w:tcW w:w="1838"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32.9% for Group /</w:t>
              <w:br/>
              <w:t>16.4% for E&amp;S Segment</w:t>
            </w:r>
          </w:p>
        </w:tc>
        <w:tc>
          <w:tcPr>
            <w:tcW w:w="1825"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17.1%</w:t>
            </w:r>
          </w:p>
        </w:tc>
        <w:tc>
          <w:tcPr>
            <w:tcW w:w="1415"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31.9%</w:t>
            </w:r>
          </w:p>
        </w:tc>
        <w:tc>
          <w:tcPr>
            <w:tcW w:w="1691"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29.2% for Group /</w:t>
              <w:br/>
              <w:t>26.7% for E&amp;S</w:t>
              <w:br/>
              <w:t>Segment</w:t>
            </w:r>
          </w:p>
        </w:tc>
      </w:tr>
      <w:tr>
        <w:trPr/>
        <w:tc>
          <w:tcPr>
            <w:tcW w:w="10205" w:type="dxa"/>
            <w:gridSpan w:val="15"/>
            <w:tcBorders>
              <w:top w:val="single" w:sz="4" w:space="0" w:color="C8C9C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19"/>
              </w:rPr>
            </w:pPr>
            <w:r>
              <w:rPr>
                <w:rFonts w:ascii="Arial;sans-serif" w:hAnsi="Arial;sans-serif"/>
                <w:b w:val="false"/>
                <w:color w:val="000000"/>
                <w:sz w:val="19"/>
              </w:rPr>
              <w:t>(1) The threshold, target, and maximum metrics for group Adjusted Combined Ratio and Adjusted EBIT established for the 2025 performance year incorporate adjustments for discontinued operations and employee retention awards that were scheduled to be paid in 2025, as applicable.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19"/>
              </w:rPr>
            </w:pPr>
            <w:r>
              <w:rPr>
                <w:rFonts w:ascii="Arial;sans-serif" w:hAnsi="Arial;sans-serif"/>
                <w:b w:val="false"/>
                <w:color w:val="000000"/>
                <w:sz w:val="19"/>
              </w:rPr>
              <w:t>(2) The actual results for Adjusted Combined Ratio and Adjusted EBIT reflect the adjustments for discontinued operations and employee retention awards, as applicable, that were incorporated into the threshold, target and maximum metrics for such performance measures established for the 2025 performance year. The actual Adjusted Combined Ratio and Adjusted EBIT for 2025 before these adjustments was 96.6% and $100.4 million, respectively.</w:t>
            </w:r>
          </w:p>
        </w:tc>
      </w:tr>
      <w:tr>
        <w:trPr/>
        <w:tc>
          <w:tcPr>
            <w:tcW w:w="10205" w:type="dxa"/>
            <w:gridSpan w:val="15"/>
            <w:tcBorders/>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19"/>
              </w:rPr>
            </w:pPr>
            <w:r>
              <w:rPr>
                <w:rFonts w:ascii="Arial;sans-serif" w:hAnsi="Arial;sans-serif"/>
                <w:b w:val="false"/>
                <w:color w:val="000000"/>
                <w:sz w:val="19"/>
              </w:rPr>
              <w:t>(3) Consistent with the terms of the STI Plan, the Committee adjusted the calculation of the group Adjusted Combined Ratio and Adjusted EBIT results to remove actual expenses pertaining to the strategic activities previously undertaken by the Company, to the extent that such items would have been included in the calculation of the group Adjusted Combined Ratio and Adjusted EBIT performance measures.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19"/>
              </w:rPr>
            </w:pPr>
            <w:r>
              <w:rPr>
                <w:rFonts w:ascii="Arial;sans-serif" w:hAnsi="Arial;sans-serif"/>
                <w:b w:val="false"/>
                <w:color w:val="000000"/>
                <w:sz w:val="19"/>
              </w:rPr>
              <w:t>(4) In determining the level of achievement of the NEOs of the strategic goals of the STI Plan, the Committee determined that the Company fulfilled the majority of the strategic goals, with the exception of one that was not completed to its full target.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120" w:after="240"/>
        <w:jc w:val="both"/>
        <w:rPr>
          <w:rFonts w:ascii="Arial;sans-serif" w:hAnsi="Arial;sans-serif"/>
          <w:b w:val="false"/>
          <w:color w:val="000000"/>
          <w:sz w:val="19"/>
        </w:rPr>
      </w:pPr>
      <w:r>
        <w:rPr>
          <w:rFonts w:ascii="Arial;sans-serif" w:hAnsi="Arial;sans-serif"/>
          <w:b w:val="false"/>
          <w:color w:val="000000"/>
          <w:sz w:val="19"/>
        </w:rPr>
        <w:t>The Board approved payouts under the STI Plan for the NEOs in the amounts recommended by the Committee. The table below sets forth the amount of each NEO’s STI Plan payment based upon the adjusted performance results, as well as what the STI Plan payouts would have been if the Committee did not use discretion to adjust the calculation. The table also includes the percentage that the actual payment represented compared to such officer’s target payout, which, for each NEO, other than Mr. Hoffmann and Ms. Miller, was equivalent to such NEO’s 2025 base salary (subject to pro-ration as described in the footnotes to the table), and for Mr. Hoffmann and Ms. Miller, was equivalent to 75% of their respective base salaries.</w:t>
      </w:r>
    </w:p>
    <w:tbl>
      <w:tblPr>
        <w:tblW w:w="10205" w:type="dxa"/>
        <w:jc w:val="center"/>
        <w:tblInd w:w="0" w:type="dxa"/>
        <w:tblLayout w:type="fixed"/>
        <w:tblCellMar>
          <w:top w:w="28" w:type="dxa"/>
          <w:left w:w="28" w:type="dxa"/>
          <w:bottom w:w="28" w:type="dxa"/>
          <w:right w:w="28" w:type="dxa"/>
        </w:tblCellMar>
      </w:tblPr>
      <w:tblGrid>
        <w:gridCol w:w="740"/>
        <w:gridCol w:w="535"/>
        <w:gridCol w:w="539"/>
        <w:gridCol w:w="373"/>
        <w:gridCol w:w="373"/>
        <w:gridCol w:w="375"/>
        <w:gridCol w:w="626"/>
        <w:gridCol w:w="626"/>
        <w:gridCol w:w="628"/>
        <w:gridCol w:w="519"/>
        <w:gridCol w:w="519"/>
        <w:gridCol w:w="521"/>
        <w:gridCol w:w="626"/>
        <w:gridCol w:w="626"/>
        <w:gridCol w:w="628"/>
        <w:gridCol w:w="567"/>
        <w:gridCol w:w="567"/>
        <w:gridCol w:w="817"/>
      </w:tblGrid>
      <w:tr>
        <w:trPr/>
        <w:tc>
          <w:tcPr>
            <w:tcW w:w="74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op w:val="single" w:sz="24" w:space="0" w:color="053273"/>
            </w:tcBorders>
            <w:shd w:fill="F3F3F4"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273"/>
                <w:sz w:val="16"/>
              </w:rPr>
            </w:pPr>
            <w:r>
              <w:rPr>
                <w:rFonts w:ascii="Arial;sans-serif" w:hAnsi="Arial;sans-serif"/>
                <w:b/>
                <w:color w:val="003273"/>
                <w:sz w:val="16"/>
              </w:rPr>
              <w:t>NEO</w:t>
            </w:r>
          </w:p>
        </w:tc>
        <w:tc>
          <w:tcPr>
            <w:tcW w:w="1121"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3273"/>
                <w:sz w:val="16"/>
              </w:rPr>
            </w:pPr>
            <w:r>
              <w:rPr>
                <w:rFonts w:ascii="Arial;sans-serif" w:hAnsi="Arial;sans-serif"/>
                <w:b/>
                <w:color w:val="003273"/>
                <w:sz w:val="16"/>
              </w:rPr>
              <w:t>TARGET</w:t>
              <w:br/>
              <w:t>AMOUNT</w:t>
              <w:br/>
              <w:t>($)</w:t>
            </w:r>
          </w:p>
        </w:tc>
        <w:tc>
          <w:tcPr>
            <w:tcW w:w="1880"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3273"/>
                <w:sz w:val="16"/>
              </w:rPr>
            </w:pPr>
            <w:r>
              <w:rPr>
                <w:rFonts w:ascii="Arial;sans-serif" w:hAnsi="Arial;sans-serif"/>
                <w:b/>
                <w:color w:val="003273"/>
                <w:sz w:val="16"/>
              </w:rPr>
              <w:t>UNADJUSTED</w:t>
              <w:br/>
              <w:t>TOTAL RESULT</w:t>
              <w:br/>
              <w:t>(AS A % OF TARGET)</w:t>
            </w:r>
          </w:p>
        </w:tc>
        <w:tc>
          <w:tcPr>
            <w:tcW w:w="1559"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3273"/>
                <w:sz w:val="16"/>
              </w:rPr>
            </w:pPr>
            <w:r>
              <w:rPr>
                <w:rFonts w:ascii="Arial;sans-serif" w:hAnsi="Arial;sans-serif"/>
                <w:b/>
                <w:color w:val="003273"/>
                <w:sz w:val="16"/>
              </w:rPr>
              <w:t>UNADJUSTED</w:t>
              <w:br/>
              <w:t>PAYOUT</w:t>
              <w:br/>
              <w:t>($)</w:t>
            </w:r>
          </w:p>
        </w:tc>
        <w:tc>
          <w:tcPr>
            <w:tcW w:w="1880"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3273"/>
                <w:sz w:val="16"/>
              </w:rPr>
            </w:pPr>
            <w:r>
              <w:rPr>
                <w:rFonts w:ascii="Arial;sans-serif" w:hAnsi="Arial;sans-serif"/>
                <w:b/>
                <w:color w:val="003273"/>
                <w:sz w:val="16"/>
              </w:rPr>
              <w:t>TOTAL RESULT</w:t>
              <w:br/>
              <w:t>(AS A % OF TARGET)</w:t>
              <w:br/>
              <w:t>AFTER ADJUSTMENT</w:t>
            </w:r>
          </w:p>
        </w:tc>
        <w:tc>
          <w:tcPr>
            <w:tcW w:w="1951"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3273"/>
                <w:sz w:val="16"/>
              </w:rPr>
            </w:pPr>
            <w:r>
              <w:rPr>
                <w:rFonts w:ascii="Arial;sans-serif" w:hAnsi="Arial;sans-serif"/>
                <w:b/>
                <w:color w:val="003273"/>
                <w:sz w:val="16"/>
              </w:rPr>
              <w:t>ACTUAL PAYOUT</w:t>
              <w:br/>
              <w:t>AFTER ADJUSTMENT</w:t>
              <w:br/>
              <w:t>($)</w:t>
            </w:r>
          </w:p>
        </w:tc>
      </w:tr>
      <w:tr>
        <w:trPr/>
        <w:tc>
          <w:tcPr>
            <w:tcW w:w="1814" w:type="dxa"/>
            <w:gridSpan w:val="3"/>
            <w:tcBorders>
              <w:top w:val="single" w:sz="12" w:space="0" w:color="636466"/>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Frank N. D’Orazio</w:t>
            </w:r>
          </w:p>
        </w:tc>
        <w:tc>
          <w:tcPr>
            <w:tcW w:w="1121"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995,624</w:t>
            </w:r>
          </w:p>
        </w:tc>
        <w:tc>
          <w:tcPr>
            <w:tcW w:w="1880"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93.5%</w:t>
            </w:r>
          </w:p>
        </w:tc>
        <w:tc>
          <w:tcPr>
            <w:tcW w:w="1559"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930,908</w:t>
            </w:r>
          </w:p>
        </w:tc>
        <w:tc>
          <w:tcPr>
            <w:tcW w:w="1880"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93.9%</w:t>
            </w:r>
          </w:p>
        </w:tc>
        <w:tc>
          <w:tcPr>
            <w:tcW w:w="1951"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934,891</w:t>
            </w:r>
          </w:p>
        </w:tc>
      </w:tr>
      <w:tr>
        <w:trPr/>
        <w:tc>
          <w:tcPr>
            <w:tcW w:w="1814"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Sarah C. Doran</w:t>
            </w:r>
          </w:p>
        </w:tc>
        <w:tc>
          <w:tcPr>
            <w:tcW w:w="112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589,160</w:t>
            </w:r>
          </w:p>
        </w:tc>
        <w:tc>
          <w:tcPr>
            <w:tcW w:w="1880"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93.5%</w:t>
            </w:r>
          </w:p>
        </w:tc>
        <w:tc>
          <w:tcPr>
            <w:tcW w:w="155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550,865</w:t>
            </w:r>
          </w:p>
        </w:tc>
        <w:tc>
          <w:tcPr>
            <w:tcW w:w="1880"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93.9%</w:t>
            </w:r>
          </w:p>
        </w:tc>
        <w:tc>
          <w:tcPr>
            <w:tcW w:w="195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553,221</w:t>
            </w:r>
          </w:p>
        </w:tc>
      </w:tr>
      <w:tr>
        <w:trPr/>
        <w:tc>
          <w:tcPr>
            <w:tcW w:w="1814"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Richard J. Schmitzer</w:t>
            </w:r>
          </w:p>
        </w:tc>
        <w:tc>
          <w:tcPr>
            <w:tcW w:w="112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9"/>
              </w:rPr>
              <w:t>458,055</w:t>
            </w:r>
            <w:r>
              <w:rPr>
                <w:rFonts w:ascii="Arial;sans-serif" w:hAnsi="Arial;sans-serif"/>
                <w:b w:val="false"/>
                <w:color w:val="000000"/>
                <w:sz w:val="12"/>
              </w:rPr>
              <w:t>(1)</w:t>
            </w:r>
          </w:p>
        </w:tc>
        <w:tc>
          <w:tcPr>
            <w:tcW w:w="1880"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91.7%</w:t>
            </w:r>
          </w:p>
        </w:tc>
        <w:tc>
          <w:tcPr>
            <w:tcW w:w="155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420,036</w:t>
            </w:r>
          </w:p>
        </w:tc>
        <w:tc>
          <w:tcPr>
            <w:tcW w:w="1880"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92.1%</w:t>
            </w:r>
          </w:p>
        </w:tc>
        <w:tc>
          <w:tcPr>
            <w:tcW w:w="195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421,869</w:t>
            </w:r>
          </w:p>
        </w:tc>
      </w:tr>
      <w:tr>
        <w:trPr/>
        <w:tc>
          <w:tcPr>
            <w:tcW w:w="1814"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Michael J. Hoffmann</w:t>
            </w:r>
          </w:p>
        </w:tc>
        <w:tc>
          <w:tcPr>
            <w:tcW w:w="112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341,445</w:t>
            </w:r>
          </w:p>
        </w:tc>
        <w:tc>
          <w:tcPr>
            <w:tcW w:w="1880"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93.5%</w:t>
            </w:r>
          </w:p>
        </w:tc>
        <w:tc>
          <w:tcPr>
            <w:tcW w:w="155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319,251</w:t>
            </w:r>
          </w:p>
        </w:tc>
        <w:tc>
          <w:tcPr>
            <w:tcW w:w="1880"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93.9%</w:t>
            </w:r>
          </w:p>
        </w:tc>
        <w:tc>
          <w:tcPr>
            <w:tcW w:w="195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320,617</w:t>
            </w:r>
          </w:p>
        </w:tc>
      </w:tr>
      <w:tr>
        <w:trPr/>
        <w:tc>
          <w:tcPr>
            <w:tcW w:w="1814"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Jeanette L. Miller</w:t>
            </w:r>
          </w:p>
        </w:tc>
        <w:tc>
          <w:tcPr>
            <w:tcW w:w="112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278,100</w:t>
            </w:r>
          </w:p>
        </w:tc>
        <w:tc>
          <w:tcPr>
            <w:tcW w:w="1880"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93.5%</w:t>
            </w:r>
          </w:p>
        </w:tc>
        <w:tc>
          <w:tcPr>
            <w:tcW w:w="155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260,024</w:t>
            </w:r>
          </w:p>
        </w:tc>
        <w:tc>
          <w:tcPr>
            <w:tcW w:w="1880"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93.9%</w:t>
            </w:r>
          </w:p>
        </w:tc>
        <w:tc>
          <w:tcPr>
            <w:tcW w:w="195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261,136</w:t>
            </w:r>
          </w:p>
        </w:tc>
      </w:tr>
      <w:tr>
        <w:trPr/>
        <w:tc>
          <w:tcPr>
            <w:tcW w:w="1814"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Todd R. Sutherland</w:t>
            </w:r>
          </w:p>
        </w:tc>
        <w:tc>
          <w:tcPr>
            <w:tcW w:w="1121"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9"/>
              </w:rPr>
              <w:t>320,977</w:t>
            </w:r>
            <w:r>
              <w:rPr>
                <w:rFonts w:ascii="Arial;sans-serif" w:hAnsi="Arial;sans-serif"/>
                <w:b w:val="false"/>
                <w:color w:val="000000"/>
                <w:sz w:val="12"/>
              </w:rPr>
              <w:t>(2)</w:t>
            </w:r>
          </w:p>
        </w:tc>
        <w:tc>
          <w:tcPr>
            <w:tcW w:w="1880"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91.7%</w:t>
            </w:r>
          </w:p>
        </w:tc>
        <w:tc>
          <w:tcPr>
            <w:tcW w:w="1559"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294,336</w:t>
            </w:r>
          </w:p>
        </w:tc>
        <w:tc>
          <w:tcPr>
            <w:tcW w:w="1880"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92.1%</w:t>
            </w:r>
          </w:p>
        </w:tc>
        <w:tc>
          <w:tcPr>
            <w:tcW w:w="1951"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295,620</w:t>
            </w:r>
          </w:p>
        </w:tc>
      </w:tr>
      <w:tr>
        <w:trPr/>
        <w:tc>
          <w:tcPr>
            <w:tcW w:w="10205" w:type="dxa"/>
            <w:gridSpan w:val="18"/>
            <w:tcBorders>
              <w:top w:val="single" w:sz="4" w:space="0" w:color="C8C9C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9"/>
              </w:rPr>
            </w:pPr>
            <w:r>
              <w:rPr>
                <w:rFonts w:ascii="Arial;sans-serif" w:hAnsi="Arial;sans-serif"/>
                <w:b w:val="false"/>
                <w:color w:val="000000"/>
                <w:sz w:val="19"/>
              </w:rPr>
              <w:t>(1) Mr. Schmitzer’s target of $458,055 reflects his pro-rated salary (both before and after the August 2025 amendment to his employment agreement, as described below) for time worked during the 2025 performance year.</w:t>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9"/>
              </w:rPr>
            </w:pPr>
            <w:r>
              <w:rPr>
                <w:rFonts w:ascii="Arial;sans-serif" w:hAnsi="Arial;sans-serif"/>
                <w:b w:val="false"/>
                <w:color w:val="000000"/>
                <w:sz w:val="19"/>
              </w:rPr>
              <w:t>(2) Mr. Sutherland’s 2025 Target Amount is based on his salary both before and after his promotion to President of the E&amp;S Segment on May 5, 2025.</w:t>
            </w:r>
          </w:p>
        </w:tc>
      </w:tr>
    </w:tbl>
    <w:p>
      <w:pPr>
        <w:pStyle w:val="TextBody"/>
        <w:bidi w:val="0"/>
        <w:spacing w:lineRule="auto" w:line="288" w:before="120" w:after="240"/>
        <w:jc w:val="both"/>
        <w:rPr>
          <w:rFonts w:ascii="Arial;sans-serif" w:hAnsi="Arial;sans-serif"/>
          <w:b w:val="false"/>
          <w:i/>
          <w:color w:val="003273"/>
          <w:sz w:val="20"/>
        </w:rPr>
      </w:pPr>
      <w:r>
        <w:rPr>
          <w:rFonts w:ascii="Arial;sans-serif" w:hAnsi="Arial;sans-serif"/>
          <w:b w:val="false"/>
          <w:i/>
          <w:color w:val="003273"/>
          <w:sz w:val="20"/>
        </w:rPr>
        <w:t>Long-Term Incentives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third component of the executive compensation program is long-term incentive equity grants. The long-term incentives create a strong link between payouts and performance, and a strong alignment between the interests of executive officers and those of our shareholders. Long-term equity incentives also promote retention, as, subject to limited exception, executive officers will only receive value with respect to the equity incentives if they remain employed by us over the required term. Additionally, the long-term equity incentives foster an ownership culture among our executive officers by creating a greater personal stake in the value they are intended to achieve.</w:t>
      </w:r>
    </w:p>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Long-Term Incentive Target Opportunities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target levels are expressed as dollar amounts, equal to 100% of our NEOs’ base salaries for 2025 (except for Ms. Miller, her 2025 target amount was equal to 75% of her base salary), with the grants of PRSUs and Service-Based RSUs each representing 50% of the total long-term incentive opportunity. The number of shares covered by the awards is determined by dividing the applicable target dollar amount by the closing market price of the Company’s common stock on the second trading day following the release of the Company’s financial results for the fourth quarter of the immediately preceding fiscal year, which is considered the grant date for the awards.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Committee and the Board utilize this grant date for pricing of our annual equity awards awarded in February each year so that the number of shares that are subject to awards would take into account the trading price of our stock after the markets respond, positively or negatively, to our announced financial results.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In February 2025, the Committee approved grants of awards to our NEOs under the Company’s 2014 Long-Term Incentive Plan, which is the Company’s employee equity incentive plan (the “2014 LTIP”), at their respective annual grant targets. In affirming and establishing these grant levels, the Committee considered the following:</w:t>
      </w:r>
    </w:p>
    <w:p>
      <w:pPr>
        <w:pStyle w:val="TextBody"/>
        <w:bidi w:val="0"/>
        <w:spacing w:lineRule="auto" w:line="288" w:before="0" w:after="0"/>
        <w:ind w:left="0" w:right="0" w:hanging="360"/>
        <w:jc w:val="both"/>
        <w:rPr/>
      </w:pPr>
      <w:r>
        <w:rPr>
          <w:color w:val="003273"/>
        </w:rPr>
        <w:t>•</w:t>
      </w:r>
      <w:r>
        <w:rPr>
          <w:rFonts w:ascii="Arial;sans-serif" w:hAnsi="Arial;sans-serif"/>
          <w:b w:val="false"/>
          <w:color w:val="000000"/>
          <w:sz w:val="19"/>
        </w:rPr>
        <w:t>individual performance and expected future contributions of the NEO;</w:t>
      </w:r>
    </w:p>
    <w:p>
      <w:pPr>
        <w:pStyle w:val="TextBody"/>
        <w:bidi w:val="0"/>
        <w:spacing w:lineRule="auto" w:line="288" w:before="0" w:after="0"/>
        <w:ind w:left="0" w:right="0" w:hanging="360"/>
        <w:jc w:val="both"/>
        <w:rPr/>
      </w:pPr>
      <w:r>
        <w:rPr>
          <w:color w:val="003273"/>
        </w:rPr>
        <w:t>•</w:t>
      </w:r>
      <w:r>
        <w:rPr>
          <w:rFonts w:ascii="Arial;sans-serif" w:hAnsi="Arial;sans-serif"/>
          <w:b w:val="false"/>
          <w:color w:val="000000"/>
          <w:sz w:val="19"/>
        </w:rPr>
        <w:t>the values of, allocations to, and proportion of total compensation represented by, the long-term incentive opportunities at the companies in our compensation peer groups;</w:t>
      </w:r>
    </w:p>
    <w:p>
      <w:pPr>
        <w:pStyle w:val="TextBody"/>
        <w:bidi w:val="0"/>
        <w:spacing w:lineRule="auto" w:line="288" w:before="0" w:after="0"/>
        <w:ind w:left="0" w:right="0" w:hanging="360"/>
        <w:jc w:val="both"/>
        <w:rPr/>
      </w:pPr>
      <w:r>
        <w:rPr>
          <w:color w:val="003273"/>
        </w:rPr>
        <w:t>•</w:t>
      </w:r>
      <w:r>
        <w:rPr>
          <w:rFonts w:ascii="Arial;sans-serif" w:hAnsi="Arial;sans-serif"/>
          <w:b w:val="false"/>
          <w:color w:val="000000"/>
          <w:sz w:val="19"/>
        </w:rPr>
        <w:t>time in role, skills, and experience; and</w:t>
      </w:r>
    </w:p>
    <w:p>
      <w:pPr>
        <w:pStyle w:val="TextBody"/>
        <w:bidi w:val="0"/>
        <w:spacing w:lineRule="auto" w:line="288" w:before="0" w:after="240"/>
        <w:ind w:left="0" w:right="0" w:hanging="360"/>
        <w:jc w:val="left"/>
        <w:rPr/>
      </w:pPr>
      <w:r>
        <w:rPr>
          <w:color w:val="003273"/>
        </w:rPr>
        <w:t>•</w:t>
      </w:r>
      <w:r>
        <w:rPr>
          <w:rFonts w:ascii="Arial;sans-serif" w:hAnsi="Arial;sans-serif"/>
          <w:b w:val="false"/>
          <w:color w:val="000000"/>
          <w:sz w:val="19"/>
        </w:rPr>
        <w:t>retention.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Equity Vehicles and 2025 Mix: PRSUs and Service-Based RSUs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2025 mix of long-term incentives granted to the NEOs is shown in the following table:</w:t>
      </w:r>
    </w:p>
    <w:tbl>
      <w:tblPr>
        <w:tblW w:w="10205" w:type="dxa"/>
        <w:jc w:val="center"/>
        <w:tblInd w:w="0" w:type="dxa"/>
        <w:tblLayout w:type="fixed"/>
        <w:tblCellMar>
          <w:top w:w="28" w:type="dxa"/>
          <w:left w:w="28" w:type="dxa"/>
          <w:bottom w:w="28" w:type="dxa"/>
          <w:right w:w="28" w:type="dxa"/>
        </w:tblCellMar>
      </w:tblPr>
      <w:tblGrid>
        <w:gridCol w:w="537"/>
        <w:gridCol w:w="473"/>
        <w:gridCol w:w="419"/>
        <w:gridCol w:w="405"/>
        <w:gridCol w:w="405"/>
        <w:gridCol w:w="406"/>
        <w:gridCol w:w="314"/>
        <w:gridCol w:w="314"/>
        <w:gridCol w:w="315"/>
        <w:gridCol w:w="1191"/>
        <w:gridCol w:w="1126"/>
        <w:gridCol w:w="1130"/>
        <w:gridCol w:w="924"/>
        <w:gridCol w:w="924"/>
        <w:gridCol w:w="1322"/>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r>
      <w:tr>
        <w:trPr/>
        <w:tc>
          <w:tcPr>
            <w:tcW w:w="1429" w:type="dxa"/>
            <w:gridSpan w:val="3"/>
            <w:tcBorders>
              <w:top w:val="single" w:sz="24" w:space="0" w:color="053273"/>
            </w:tcBorders>
            <w:shd w:fill="F3F3F4"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273"/>
                <w:sz w:val="17"/>
              </w:rPr>
            </w:pPr>
            <w:r>
              <w:rPr>
                <w:rFonts w:ascii="Arial;sans-serif" w:hAnsi="Arial;sans-serif"/>
                <w:b/>
                <w:color w:val="003273"/>
                <w:sz w:val="17"/>
              </w:rPr>
              <w:t>EQUITY VEHICLE</w:t>
            </w:r>
          </w:p>
        </w:tc>
        <w:tc>
          <w:tcPr>
            <w:tcW w:w="1216"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3273"/>
                <w:sz w:val="17"/>
              </w:rPr>
            </w:pPr>
            <w:r>
              <w:rPr>
                <w:rFonts w:ascii="Arial;sans-serif" w:hAnsi="Arial;sans-serif"/>
                <w:b/>
                <w:color w:val="003273"/>
                <w:sz w:val="17"/>
              </w:rPr>
              <w:t>2025</w:t>
              <w:br/>
              <w:t>ALLOCATION</w:t>
            </w:r>
          </w:p>
        </w:tc>
        <w:tc>
          <w:tcPr>
            <w:tcW w:w="943"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3273"/>
                <w:sz w:val="17"/>
              </w:rPr>
            </w:pPr>
            <w:r>
              <w:rPr>
                <w:rFonts w:ascii="Arial;sans-serif" w:hAnsi="Arial;sans-serif"/>
                <w:b/>
                <w:color w:val="003273"/>
                <w:sz w:val="17"/>
              </w:rPr>
              <w:t>VESTING</w:t>
              <w:br/>
              <w:t>PERIOD</w:t>
            </w:r>
          </w:p>
        </w:tc>
        <w:tc>
          <w:tcPr>
            <w:tcW w:w="3447"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3273"/>
                <w:sz w:val="17"/>
              </w:rPr>
            </w:pPr>
            <w:r>
              <w:rPr>
                <w:rFonts w:ascii="Arial;sans-serif" w:hAnsi="Arial;sans-serif"/>
                <w:b/>
                <w:color w:val="003273"/>
                <w:sz w:val="17"/>
              </w:rPr>
              <w:t xml:space="preserve">VESTING CRITERIA </w:t>
            </w:r>
          </w:p>
        </w:tc>
        <w:tc>
          <w:tcPr>
            <w:tcW w:w="3170"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3273"/>
                <w:sz w:val="17"/>
              </w:rPr>
            </w:pPr>
            <w:r>
              <w:rPr>
                <w:rFonts w:ascii="Arial;sans-serif" w:hAnsi="Arial;sans-serif"/>
                <w:b/>
                <w:color w:val="003273"/>
                <w:sz w:val="17"/>
              </w:rPr>
              <w:t>RATIONALE FOR USE</w:t>
            </w:r>
          </w:p>
        </w:tc>
      </w:tr>
      <w:tr>
        <w:trPr/>
        <w:tc>
          <w:tcPr>
            <w:tcW w:w="1429" w:type="dxa"/>
            <w:gridSpan w:val="3"/>
            <w:tcBorders>
              <w:top w:val="single" w:sz="12" w:space="0" w:color="636466"/>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PRSUs</w:t>
            </w:r>
          </w:p>
        </w:tc>
        <w:tc>
          <w:tcPr>
            <w:tcW w:w="1216"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50%</w:t>
            </w:r>
          </w:p>
        </w:tc>
        <w:tc>
          <w:tcPr>
            <w:tcW w:w="943"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3-year cliff</w:t>
            </w:r>
          </w:p>
        </w:tc>
        <w:tc>
          <w:tcPr>
            <w:tcW w:w="3447"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0"/>
              <w:ind w:left="0" w:right="0" w:hanging="180"/>
              <w:jc w:val="left"/>
              <w:rPr/>
            </w:pPr>
            <w:r>
              <w:rPr>
                <w:color w:val="003273"/>
              </w:rPr>
              <w:t xml:space="preserve">• </w:t>
            </w:r>
            <w:r>
              <w:rPr>
                <w:rFonts w:ascii="Arial;sans-serif" w:hAnsi="Arial;sans-serif"/>
                <w:b w:val="false"/>
                <w:color w:val="000000"/>
                <w:sz w:val="19"/>
              </w:rPr>
              <w:t>Adjusted operating return on average adjusted tangible common equity</w:t>
            </w:r>
          </w:p>
          <w:p>
            <w:pPr>
              <w:pStyle w:val="TableContents"/>
              <w:bidi w:val="0"/>
              <w:spacing w:lineRule="auto" w:line="288" w:before="0" w:after="0"/>
              <w:ind w:left="0" w:right="0" w:hanging="180"/>
              <w:jc w:val="left"/>
              <w:rPr/>
            </w:pPr>
            <w:r>
              <w:rPr>
                <w:color w:val="003273"/>
              </w:rPr>
              <w:t xml:space="preserve">• </w:t>
            </w:r>
            <w:r>
              <w:rPr>
                <w:rFonts w:ascii="Arial;sans-serif" w:hAnsi="Arial;sans-serif"/>
                <w:b w:val="false"/>
                <w:color w:val="000000"/>
                <w:sz w:val="19"/>
              </w:rPr>
              <w:t>Growth in adjusted tangible common equity per share of common stock</w:t>
            </w:r>
          </w:p>
        </w:tc>
        <w:tc>
          <w:tcPr>
            <w:tcW w:w="3170"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0"/>
              <w:ind w:left="0" w:right="0" w:hanging="180"/>
              <w:jc w:val="left"/>
              <w:rPr/>
            </w:pPr>
            <w:r>
              <w:rPr>
                <w:color w:val="003273"/>
              </w:rPr>
              <w:t xml:space="preserve">• </w:t>
            </w:r>
            <w:r>
              <w:rPr>
                <w:rFonts w:ascii="Arial;sans-serif" w:hAnsi="Arial;sans-serif"/>
                <w:b w:val="false"/>
                <w:color w:val="000000"/>
                <w:sz w:val="19"/>
              </w:rPr>
              <w:t>Focuses on underwriting results, core profitability and risk management</w:t>
            </w:r>
          </w:p>
          <w:p>
            <w:pPr>
              <w:pStyle w:val="TableContents"/>
              <w:bidi w:val="0"/>
              <w:spacing w:lineRule="auto" w:line="288" w:before="0" w:after="0"/>
              <w:ind w:left="0" w:right="0" w:hanging="180"/>
              <w:jc w:val="left"/>
              <w:rPr/>
            </w:pPr>
            <w:r>
              <w:rPr>
                <w:color w:val="003273"/>
              </w:rPr>
              <w:t xml:space="preserve">• </w:t>
            </w:r>
            <w:r>
              <w:rPr>
                <w:rFonts w:ascii="Arial;sans-serif" w:hAnsi="Arial;sans-serif"/>
                <w:b w:val="false"/>
                <w:color w:val="000000"/>
                <w:sz w:val="19"/>
              </w:rPr>
              <w:t>Prioritizes increasing shareholder value</w:t>
            </w:r>
          </w:p>
          <w:p>
            <w:pPr>
              <w:pStyle w:val="TableContents"/>
              <w:bidi w:val="0"/>
              <w:spacing w:lineRule="auto" w:line="288" w:before="0" w:after="0"/>
              <w:ind w:left="0" w:right="0" w:hanging="180"/>
              <w:jc w:val="left"/>
              <w:rPr/>
            </w:pPr>
            <w:r>
              <w:rPr>
                <w:color w:val="003273"/>
              </w:rPr>
              <w:t xml:space="preserve">• </w:t>
            </w:r>
            <w:r>
              <w:rPr>
                <w:rFonts w:ascii="Arial;sans-serif" w:hAnsi="Arial;sans-serif"/>
                <w:b w:val="false"/>
                <w:color w:val="000000"/>
                <w:sz w:val="19"/>
              </w:rPr>
              <w:t>Promotes long-term focus and retention</w:t>
            </w:r>
          </w:p>
        </w:tc>
      </w:tr>
      <w:tr>
        <w:trPr/>
        <w:tc>
          <w:tcPr>
            <w:tcW w:w="1429" w:type="dxa"/>
            <w:gridSpan w:val="3"/>
            <w:tcBorders>
              <w:top w:val="single" w:sz="4" w:space="0" w:color="C8C9CB"/>
              <w:bottom w:val="single" w:sz="4" w:space="0" w:color="C8C9CB"/>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Service-Based</w:t>
              <w:br/>
              <w:t>RSUs</w:t>
            </w:r>
          </w:p>
        </w:tc>
        <w:tc>
          <w:tcPr>
            <w:tcW w:w="1216"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50%</w:t>
            </w:r>
          </w:p>
        </w:tc>
        <w:tc>
          <w:tcPr>
            <w:tcW w:w="943"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 years: 1/3</w:t>
              <w:br/>
              <w:t>per year</w:t>
            </w:r>
          </w:p>
        </w:tc>
        <w:tc>
          <w:tcPr>
            <w:tcW w:w="3447"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0"/>
              <w:ind w:left="0" w:right="0" w:hanging="180"/>
              <w:jc w:val="left"/>
              <w:rPr/>
            </w:pPr>
            <w:r>
              <w:rPr>
                <w:color w:val="003273"/>
              </w:rPr>
              <w:t xml:space="preserve">• </w:t>
            </w:r>
            <w:r>
              <w:rPr>
                <w:rFonts w:ascii="Arial;sans-serif" w:hAnsi="Arial;sans-serif"/>
                <w:b w:val="false"/>
                <w:color w:val="000000"/>
                <w:sz w:val="19"/>
              </w:rPr>
              <w:t>Vests solely based on continued employment through each applicable vesting date</w:t>
            </w:r>
          </w:p>
        </w:tc>
        <w:tc>
          <w:tcPr>
            <w:tcW w:w="3170"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0"/>
              <w:ind w:left="0" w:right="0" w:hanging="180"/>
              <w:jc w:val="left"/>
              <w:rPr/>
            </w:pPr>
            <w:r>
              <w:rPr>
                <w:color w:val="003273"/>
              </w:rPr>
              <w:t xml:space="preserve">• </w:t>
            </w:r>
            <w:r>
              <w:rPr>
                <w:rFonts w:ascii="Arial;sans-serif" w:hAnsi="Arial;sans-serif"/>
                <w:b w:val="false"/>
                <w:color w:val="000000"/>
                <w:sz w:val="19"/>
              </w:rPr>
              <w:t>Aligns NEOs’ interests with interests of shareholders</w:t>
            </w:r>
          </w:p>
          <w:p>
            <w:pPr>
              <w:pStyle w:val="TableContents"/>
              <w:bidi w:val="0"/>
              <w:spacing w:lineRule="auto" w:line="288" w:before="0" w:after="0"/>
              <w:ind w:left="0" w:right="0" w:hanging="720"/>
              <w:jc w:val="left"/>
              <w:rPr/>
            </w:pPr>
            <w:r>
              <w:rPr>
                <w:color w:val="003273"/>
              </w:rPr>
              <w:t xml:space="preserve">• </w:t>
            </w:r>
            <w:r>
              <w:rPr>
                <w:rFonts w:ascii="Arial;sans-serif" w:hAnsi="Arial;sans-serif"/>
                <w:b w:val="false"/>
                <w:color w:val="000000"/>
                <w:sz w:val="19"/>
              </w:rPr>
              <w:t>Promotes retention</w:t>
            </w:r>
          </w:p>
          <w:p>
            <w:pPr>
              <w:pStyle w:val="TableContents"/>
              <w:bidi w:val="0"/>
              <w:spacing w:lineRule="auto" w:line="288" w:before="0" w:after="0"/>
              <w:ind w:left="0" w:right="0" w:hanging="180"/>
              <w:jc w:val="left"/>
              <w:rPr/>
            </w:pPr>
            <w:r>
              <w:rPr>
                <w:color w:val="003273"/>
              </w:rPr>
              <w:t xml:space="preserve">• </w:t>
            </w:r>
            <w:r>
              <w:rPr>
                <w:rFonts w:ascii="Arial;sans-serif" w:hAnsi="Arial;sans-serif"/>
                <w:b w:val="false"/>
                <w:color w:val="000000"/>
                <w:sz w:val="19"/>
              </w:rPr>
              <w:t>Provides value even during periods of stock price or market downturn</w:t>
            </w:r>
          </w:p>
        </w:tc>
      </w:tr>
    </w:tbl>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Committee structured the relative weight assigned to each type of award to motivate performance against long-term goals through PRSUs, and to ensure some amount of value delivery and retention through the Service-Based RSUs. These are complementary because they have upside potential but deliver some value even if our stock price does not increase, while also reinforcing an ownership culture and commitment to the Company.</w:t>
      </w:r>
    </w:p>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PRSU Performance Metrics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Based upon a review of our peer group’s long-term compensation practices, and the Company’s own business, the Committee recommended to the Board, and the Board approved, the use of two financial performance metrics, which are evenly weighted. The financial performance metrics are (i) the Company’s adjusted operating return on average adjusted tangible common equity, and (ii) growth in adjusted tangible common equity per share of common stock, both of which are non-GAAP measures. The Committee chose these metrics because it believes that these measures are indicators of the Company’s long-term financial performance. The use of three-year average results promotes a focus on long-term performance.</w:t>
      </w:r>
    </w:p>
    <w:p>
      <w:pPr>
        <w:pStyle w:val="TextBody"/>
        <w:bidi w:val="0"/>
        <w:spacing w:lineRule="auto" w:line="288" w:before="0" w:after="240"/>
        <w:jc w:val="both"/>
        <w:rPr>
          <w:rFonts w:ascii="Arial;sans-serif" w:hAnsi="Arial;sans-serif"/>
          <w:b/>
          <w:color w:val="003273"/>
          <w:sz w:val="20"/>
        </w:rPr>
      </w:pPr>
      <w:r>
        <w:rPr>
          <w:rFonts w:ascii="Arial;sans-serif" w:hAnsi="Arial;sans-serif"/>
          <w:b/>
          <w:color w:val="003273"/>
          <w:sz w:val="20"/>
        </w:rPr>
        <w:t>CALCULATION OF ADJUSTED OPERATING RETURN ON AVERAGE ADJUSTED TANGIBLE COMMON EQUITY</w:t>
      </w:r>
    </w:p>
    <w:p>
      <w:pPr>
        <w:pStyle w:val="TextBody"/>
        <w:bidi w:val="0"/>
        <w:spacing w:lineRule="auto" w:line="288" w:before="0" w:after="240"/>
        <w:jc w:val="both"/>
        <w:rPr/>
      </w:pPr>
      <w:r>
        <w:rPr>
          <w:color w:val="000000"/>
        </w:rPr>
        <w:t>“</w:t>
      </w:r>
      <w:r>
        <w:rPr>
          <w:rFonts w:ascii="Arial;sans-serif" w:hAnsi="Arial;sans-serif"/>
          <w:b w:val="false"/>
          <w:i/>
          <w:color w:val="000000"/>
          <w:sz w:val="19"/>
        </w:rPr>
        <w:t>Adjusted operating return on average adjusted tangible common equity</w:t>
      </w:r>
      <w:r>
        <w:rPr>
          <w:color w:val="000000"/>
        </w:rPr>
        <w:t xml:space="preserve">” </w:t>
      </w:r>
      <w:r>
        <w:rPr>
          <w:rFonts w:ascii="Arial;sans-serif" w:hAnsi="Arial;sans-serif"/>
          <w:b w:val="false"/>
          <w:color w:val="000000"/>
          <w:sz w:val="19"/>
        </w:rPr>
        <w:t>for the performance period is the three-year average adjusted net operating income divided by the four-year average adjusted tangible common equity. For purposes of this calculation:</w:t>
      </w:r>
    </w:p>
    <w:p>
      <w:pPr>
        <w:pStyle w:val="TextBody"/>
        <w:bidi w:val="0"/>
        <w:spacing w:lineRule="auto" w:line="288" w:before="0" w:after="120"/>
        <w:jc w:val="both"/>
        <w:rPr>
          <w:color w:val="000000"/>
        </w:rPr>
      </w:pPr>
      <w:r>
        <w:rPr>
          <w:color w:val="000000"/>
        </w:rPr>
        <w:t>“</w:t>
      </w:r>
      <w:r>
        <w:rPr>
          <w:rFonts w:ascii="Arial;sans-serif" w:hAnsi="Arial;sans-serif"/>
          <w:b w:val="false"/>
          <w:color w:val="000000"/>
          <w:sz w:val="19"/>
        </w:rPr>
        <w:t>Adjusted net operating income” is defined as net income (loss) available to common shareholders excluding (i) net realized and unrealized gains (losses) on investments, (ii) the portion of favorable or unfavorable prior year reserve development for which the Company’s subsidiaries ceded the risk under retroactive reinsurance agreements and the related changes in the amortization of deferred gain, and (iii) certain non-operating expenses, such as professional service fees related to a purported class action lawsuit, various strategic initiatives, the filing of registration statements for the offering of securities, and severance costs associated with terminated employees, calculated as of December 31 of each fiscal year during the performance period.</w:t>
      </w:r>
    </w:p>
    <w:p>
      <w:pPr>
        <w:pStyle w:val="TextBody"/>
        <w:bidi w:val="0"/>
        <w:spacing w:lineRule="auto" w:line="288" w:before="0" w:after="240"/>
        <w:jc w:val="both"/>
        <w:rPr>
          <w:color w:val="000000"/>
        </w:rPr>
      </w:pPr>
      <w:r>
        <w:rPr>
          <w:color w:val="000000"/>
        </w:rPr>
        <w:t>“</w:t>
      </w:r>
      <w:r>
        <w:rPr>
          <w:rFonts w:ascii="Arial;sans-serif" w:hAnsi="Arial;sans-serif"/>
          <w:b w:val="false"/>
          <w:color w:val="000000"/>
          <w:sz w:val="19"/>
        </w:rPr>
        <w:t>Adjusted tangible common equity” is defined as shareholders’ equity less goodwill and intangible assets, net of amortization, accumulated other comprehensive income, and realized and unrealized gains (losses) on investments, and plus deferred gains under retroactive reinsurance agreements entered into by the Company’s subsidiaries, calculated as of the December 31st immediately preceding the performance period and December 31 of each fiscal year during the performance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240"/>
        <w:jc w:val="both"/>
        <w:rPr>
          <w:rFonts w:ascii="Arial;sans-serif" w:hAnsi="Arial;sans-serif"/>
          <w:b/>
          <w:color w:val="003273"/>
          <w:sz w:val="20"/>
        </w:rPr>
      </w:pPr>
      <w:r>
        <w:rPr>
          <w:rFonts w:ascii="Arial;sans-serif" w:hAnsi="Arial;sans-serif"/>
          <w:b/>
          <w:color w:val="003273"/>
          <w:sz w:val="20"/>
        </w:rPr>
        <w:t>CALCULATION OF GROWTH IN ADJUSTED TANGIBLE COMMON EQUITY PER SHARE OF COMMON STOCK</w:t>
      </w:r>
    </w:p>
    <w:p>
      <w:pPr>
        <w:pStyle w:val="TextBody"/>
        <w:bidi w:val="0"/>
        <w:spacing w:lineRule="auto" w:line="288" w:before="0" w:after="120"/>
        <w:jc w:val="both"/>
        <w:rPr/>
      </w:pPr>
      <w:r>
        <w:rPr>
          <w:color w:val="000000"/>
        </w:rPr>
        <w:t>“</w:t>
      </w:r>
      <w:r>
        <w:rPr>
          <w:rFonts w:ascii="Arial;sans-serif" w:hAnsi="Arial;sans-serif"/>
          <w:b w:val="false"/>
          <w:i/>
          <w:color w:val="000000"/>
          <w:sz w:val="19"/>
        </w:rPr>
        <w:t>Growth in adjusted tangible common equity per share of common stock</w:t>
      </w:r>
      <w:r>
        <w:rPr>
          <w:color w:val="000000"/>
        </w:rPr>
        <w:t xml:space="preserve">” </w:t>
      </w:r>
      <w:r>
        <w:rPr>
          <w:rFonts w:ascii="Arial;sans-serif" w:hAnsi="Arial;sans-serif"/>
          <w:b w:val="false"/>
          <w:color w:val="000000"/>
          <w:sz w:val="19"/>
        </w:rPr>
        <w:t>for the performance period is calculated as a percentage equal to the greater of (i) ((A-B)/B)/4, and (ii) 0%, where:</w:t>
      </w:r>
    </w:p>
    <w:p>
      <w:pPr>
        <w:pStyle w:val="TextBody"/>
        <w:bidi w:val="0"/>
        <w:spacing w:lineRule="auto" w:line="288" w:before="0" w:after="120"/>
        <w:jc w:val="both"/>
        <w:rPr/>
      </w:pPr>
      <w:r>
        <w:rPr>
          <w:rFonts w:ascii="Arial;sans-serif" w:hAnsi="Arial;sans-serif"/>
          <w:b/>
          <w:color w:val="000000"/>
          <w:sz w:val="19"/>
        </w:rPr>
        <w:t xml:space="preserve">A </w:t>
      </w:r>
      <w:r>
        <w:rPr>
          <w:rFonts w:ascii="Arial;sans-serif" w:hAnsi="Arial;sans-serif"/>
          <w:b w:val="false"/>
          <w:color w:val="000000"/>
          <w:sz w:val="19"/>
        </w:rPr>
        <w:t>= adjusted tangible common equity per share of common stock as of the last day of the performance period; and</w:t>
      </w:r>
    </w:p>
    <w:p>
      <w:pPr>
        <w:pStyle w:val="TextBody"/>
        <w:bidi w:val="0"/>
        <w:spacing w:lineRule="auto" w:line="288" w:before="0" w:after="120"/>
        <w:jc w:val="both"/>
        <w:rPr/>
      </w:pPr>
      <w:r>
        <w:rPr>
          <w:rFonts w:ascii="Arial;sans-serif" w:hAnsi="Arial;sans-serif"/>
          <w:b/>
          <w:color w:val="000000"/>
          <w:sz w:val="19"/>
        </w:rPr>
        <w:t>B</w:t>
      </w:r>
      <w:r>
        <w:rPr>
          <w:color w:val="000000"/>
        </w:rPr>
        <w:t xml:space="preserve"> </w:t>
      </w:r>
      <w:r>
        <w:rPr>
          <w:rFonts w:ascii="Arial;sans-serif" w:hAnsi="Arial;sans-serif"/>
          <w:b w:val="false"/>
          <w:color w:val="000000"/>
          <w:sz w:val="19"/>
        </w:rPr>
        <w:t>= adjusted tangible common equity per share of common stock as of the December 31</w:t>
      </w:r>
      <w:r>
        <w:rPr>
          <w:rFonts w:ascii="Arial;sans-serif" w:hAnsi="Arial;sans-serif"/>
          <w:b w:val="false"/>
          <w:color w:val="000000"/>
          <w:sz w:val="12"/>
        </w:rPr>
        <w:t>st</w:t>
      </w:r>
      <w:r>
        <w:rPr>
          <w:color w:val="000000"/>
        </w:rPr>
        <w:t xml:space="preserve"> </w:t>
      </w:r>
      <w:r>
        <w:rPr>
          <w:rFonts w:ascii="Arial;sans-serif" w:hAnsi="Arial;sans-serif"/>
          <w:b w:val="false"/>
          <w:color w:val="000000"/>
          <w:sz w:val="19"/>
        </w:rPr>
        <w:t>immediately preceding the performance period.</w:t>
      </w:r>
    </w:p>
    <w:p>
      <w:pPr>
        <w:pStyle w:val="TextBody"/>
        <w:bidi w:val="0"/>
        <w:spacing w:lineRule="auto" w:line="288" w:before="0" w:after="240"/>
        <w:jc w:val="both"/>
        <w:rPr/>
      </w:pPr>
      <w:r>
        <w:rPr>
          <w:color w:val="000000"/>
        </w:rPr>
        <w:t>“</w:t>
      </w:r>
      <w:r>
        <w:rPr>
          <w:rFonts w:ascii="Arial;sans-serif" w:hAnsi="Arial;sans-serif"/>
          <w:b w:val="false"/>
          <w:i/>
          <w:color w:val="000000"/>
          <w:sz w:val="19"/>
        </w:rPr>
        <w:t>Adjusted tangible common equity per share of common stock</w:t>
      </w:r>
      <w:r>
        <w:rPr>
          <w:color w:val="000000"/>
        </w:rPr>
        <w:t xml:space="preserve">” </w:t>
      </w:r>
      <w:r>
        <w:rPr>
          <w:rFonts w:ascii="Arial;sans-serif" w:hAnsi="Arial;sans-serif"/>
          <w:b w:val="false"/>
          <w:color w:val="000000"/>
          <w:sz w:val="19"/>
        </w:rPr>
        <w:t>is calculated as (i) adjusted tangible common equity, divided by (ii) the number of shares of common stock outstanding.</w:t>
      </w:r>
    </w:p>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PRSU Threshold, Target and Maximum Performance Levels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Committee defines payout levels representing the number of PRSUs to be earned by executive officers based on the level of actual performance relative to the target. The Committee believes that it has set the performance goals at a rigorous and challenging level so as to require significant effort and achievement by our executive officers, and that such goal has been established in light of our internal forecast.</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number of PRSUs that will be eligible to be earned and become vested for participants will be based upon both continued employment (subject to certain exceptions described under “Potential Payments upon Termination or Change in Control — Equity Awards” below) and the achievement of the performance metrics during the performance period, with payout for achievement of threshold, target and maximum performance levels for NEOs set at 50%, 100% and 200% of the target number of PRSUs, respectively. Performance falling between these levels will be determined by linear interpolation.</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Committee has discretion to adjust final results in the event of unusual or nonrecurring events. Ultimately, the Committee will approve the performance achievement percentages and the determination of the number of PRSUs earned based on the outcome of the formula.</w:t>
      </w:r>
    </w:p>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2025 Grants of PRSUs and Service-Based RSUs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following table sets forth the value of the PRSU and Service-Based RSU grants to our NEOs in 2025, and the number of shares of common stock subject to such award, with the PRSU amounts reflected at target performance:</w:t>
      </w:r>
    </w:p>
    <w:tbl>
      <w:tblPr>
        <w:tblW w:w="9339" w:type="dxa"/>
        <w:jc w:val="center"/>
        <w:tblInd w:w="0" w:type="dxa"/>
        <w:tblLayout w:type="fixed"/>
        <w:tblCellMar>
          <w:top w:w="28" w:type="dxa"/>
          <w:left w:w="28" w:type="dxa"/>
          <w:bottom w:w="28" w:type="dxa"/>
          <w:right w:w="28" w:type="dxa"/>
        </w:tblCellMar>
      </w:tblPr>
      <w:tblGrid>
        <w:gridCol w:w="803"/>
        <w:gridCol w:w="706"/>
        <w:gridCol w:w="712"/>
        <w:gridCol w:w="483"/>
        <w:gridCol w:w="483"/>
        <w:gridCol w:w="485"/>
        <w:gridCol w:w="505"/>
        <w:gridCol w:w="505"/>
        <w:gridCol w:w="508"/>
        <w:gridCol w:w="352"/>
        <w:gridCol w:w="352"/>
        <w:gridCol w:w="354"/>
        <w:gridCol w:w="352"/>
        <w:gridCol w:w="352"/>
        <w:gridCol w:w="354"/>
        <w:gridCol w:w="330"/>
        <w:gridCol w:w="330"/>
        <w:gridCol w:w="331"/>
        <w:gridCol w:w="305"/>
        <w:gridCol w:w="305"/>
        <w:gridCol w:w="432"/>
      </w:tblGrid>
      <w:tr>
        <w:trPr/>
        <w:tc>
          <w:tcPr>
            <w:tcW w:w="8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2221" w:type="dxa"/>
            <w:gridSpan w:val="3"/>
            <w:tcBorders>
              <w:top w:val="single" w:sz="24" w:space="0" w:color="053273"/>
            </w:tcBorders>
            <w:shd w:fill="F3F3F4"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273"/>
                <w:sz w:val="17"/>
              </w:rPr>
            </w:pPr>
            <w:r>
              <w:rPr>
                <w:rFonts w:ascii="Arial;sans-serif" w:hAnsi="Arial;sans-serif"/>
                <w:b/>
                <w:color w:val="003273"/>
                <w:sz w:val="17"/>
              </w:rPr>
              <w:t>NEO</w:t>
            </w:r>
          </w:p>
        </w:tc>
        <w:tc>
          <w:tcPr>
            <w:tcW w:w="1451"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3273"/>
                <w:sz w:val="17"/>
              </w:rPr>
            </w:pPr>
            <w:r>
              <w:rPr>
                <w:rFonts w:ascii="Arial;sans-serif" w:hAnsi="Arial;sans-serif"/>
                <w:b/>
                <w:color w:val="003273"/>
                <w:sz w:val="17"/>
              </w:rPr>
              <w:t>2024</w:t>
              <w:br/>
              <w:t>BASE SALARY</w:t>
              <w:br/>
              <w:t>($)</w:t>
            </w:r>
          </w:p>
        </w:tc>
        <w:tc>
          <w:tcPr>
            <w:tcW w:w="1518"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3273"/>
                <w:sz w:val="17"/>
              </w:rPr>
            </w:pPr>
            <w:r>
              <w:rPr>
                <w:rFonts w:ascii="Arial;sans-serif" w:hAnsi="Arial;sans-serif"/>
                <w:b/>
                <w:color w:val="003273"/>
                <w:sz w:val="17"/>
              </w:rPr>
              <w:t>2025 TARGET</w:t>
              <w:br/>
              <w:t>LONG-TERM</w:t>
              <w:br/>
              <w:t>INCENTIVE</w:t>
              <w:br/>
              <w:t>OPPORTUNITY</w:t>
              <w:br/>
              <w:t>(AS A % OF</w:t>
              <w:br/>
              <w:t>BASE SALARY)</w:t>
              <w:br/>
              <w:t>(%)</w:t>
            </w:r>
          </w:p>
        </w:tc>
        <w:tc>
          <w:tcPr>
            <w:tcW w:w="1058"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3273"/>
                <w:sz w:val="17"/>
              </w:rPr>
            </w:pPr>
            <w:r>
              <w:rPr>
                <w:rFonts w:ascii="Arial;sans-serif" w:hAnsi="Arial;sans-serif"/>
                <w:b/>
                <w:color w:val="003273"/>
                <w:sz w:val="17"/>
              </w:rPr>
              <w:t>PRSUS AT</w:t>
              <w:br/>
              <w:t>TARGET</w:t>
              <w:br/>
              <w:t>($)</w:t>
            </w:r>
          </w:p>
        </w:tc>
        <w:tc>
          <w:tcPr>
            <w:tcW w:w="1058"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3273"/>
                <w:sz w:val="17"/>
              </w:rPr>
            </w:pPr>
            <w:r>
              <w:rPr>
                <w:rFonts w:ascii="Arial;sans-serif" w:hAnsi="Arial;sans-serif"/>
                <w:b/>
                <w:color w:val="003273"/>
                <w:sz w:val="17"/>
              </w:rPr>
              <w:t>PRSUS AT</w:t>
              <w:br/>
              <w:t>TARGET</w:t>
              <w:br/>
              <w:t>(#)</w:t>
            </w:r>
          </w:p>
        </w:tc>
        <w:tc>
          <w:tcPr>
            <w:tcW w:w="991"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3273"/>
                <w:sz w:val="17"/>
              </w:rPr>
            </w:pPr>
            <w:r>
              <w:rPr>
                <w:rFonts w:ascii="Arial;sans-serif" w:hAnsi="Arial;sans-serif"/>
                <w:b/>
                <w:color w:val="003273"/>
                <w:sz w:val="17"/>
              </w:rPr>
              <w:t>SERVICE-</w:t>
              <w:br/>
              <w:t>BASED</w:t>
              <w:br/>
              <w:t>RSUS</w:t>
              <w:br/>
              <w:t>($)</w:t>
            </w:r>
          </w:p>
        </w:tc>
        <w:tc>
          <w:tcPr>
            <w:tcW w:w="1042"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3273"/>
                <w:sz w:val="17"/>
              </w:rPr>
            </w:pPr>
            <w:r>
              <w:rPr>
                <w:rFonts w:ascii="Arial;sans-serif" w:hAnsi="Arial;sans-serif"/>
                <w:b/>
                <w:color w:val="003273"/>
                <w:sz w:val="17"/>
              </w:rPr>
              <w:t>SERVICE-</w:t>
              <w:br/>
              <w:t>BASED</w:t>
              <w:br/>
              <w:t>RSUS</w:t>
              <w:br/>
              <w:t>(#)</w:t>
            </w:r>
          </w:p>
        </w:tc>
      </w:tr>
      <w:tr>
        <w:trPr/>
        <w:tc>
          <w:tcPr>
            <w:tcW w:w="2221" w:type="dxa"/>
            <w:gridSpan w:val="3"/>
            <w:tcBorders>
              <w:top w:val="single" w:sz="12" w:space="0" w:color="636466"/>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Frank N. D’Orazio</w:t>
            </w:r>
          </w:p>
        </w:tc>
        <w:tc>
          <w:tcPr>
            <w:tcW w:w="1451"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966,625</w:t>
            </w:r>
          </w:p>
        </w:tc>
        <w:tc>
          <w:tcPr>
            <w:tcW w:w="1518"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100</w:t>
            </w:r>
          </w:p>
        </w:tc>
        <w:tc>
          <w:tcPr>
            <w:tcW w:w="1058"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483,313</w:t>
            </w:r>
          </w:p>
        </w:tc>
        <w:tc>
          <w:tcPr>
            <w:tcW w:w="1058"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131,334</w:t>
            </w:r>
          </w:p>
        </w:tc>
        <w:tc>
          <w:tcPr>
            <w:tcW w:w="991"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483,313</w:t>
            </w:r>
          </w:p>
        </w:tc>
        <w:tc>
          <w:tcPr>
            <w:tcW w:w="1042"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131,334</w:t>
            </w:r>
          </w:p>
        </w:tc>
      </w:tr>
      <w:tr>
        <w:trPr/>
        <w:tc>
          <w:tcPr>
            <w:tcW w:w="2221"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Sarah C. Doran</w:t>
            </w:r>
          </w:p>
        </w:tc>
        <w:tc>
          <w:tcPr>
            <w:tcW w:w="145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572,000</w:t>
            </w:r>
          </w:p>
        </w:tc>
        <w:tc>
          <w:tcPr>
            <w:tcW w:w="151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100</w:t>
            </w:r>
          </w:p>
        </w:tc>
        <w:tc>
          <w:tcPr>
            <w:tcW w:w="105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286,000</w:t>
            </w:r>
          </w:p>
        </w:tc>
        <w:tc>
          <w:tcPr>
            <w:tcW w:w="105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77,717</w:t>
            </w:r>
          </w:p>
        </w:tc>
        <w:tc>
          <w:tcPr>
            <w:tcW w:w="99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286,000</w:t>
            </w:r>
          </w:p>
        </w:tc>
        <w:tc>
          <w:tcPr>
            <w:tcW w:w="104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77,717</w:t>
            </w:r>
          </w:p>
        </w:tc>
      </w:tr>
      <w:tr>
        <w:trPr/>
        <w:tc>
          <w:tcPr>
            <w:tcW w:w="2221"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Richard J. Schmitzer</w:t>
            </w:r>
          </w:p>
        </w:tc>
        <w:tc>
          <w:tcPr>
            <w:tcW w:w="145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669,955</w:t>
            </w:r>
          </w:p>
        </w:tc>
        <w:tc>
          <w:tcPr>
            <w:tcW w:w="151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100</w:t>
            </w:r>
          </w:p>
        </w:tc>
        <w:tc>
          <w:tcPr>
            <w:tcW w:w="105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334,977</w:t>
            </w:r>
          </w:p>
        </w:tc>
        <w:tc>
          <w:tcPr>
            <w:tcW w:w="105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91,026</w:t>
            </w:r>
          </w:p>
        </w:tc>
        <w:tc>
          <w:tcPr>
            <w:tcW w:w="99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334,977</w:t>
            </w:r>
          </w:p>
        </w:tc>
        <w:tc>
          <w:tcPr>
            <w:tcW w:w="104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91,026</w:t>
            </w:r>
          </w:p>
        </w:tc>
      </w:tr>
      <w:tr>
        <w:trPr/>
        <w:tc>
          <w:tcPr>
            <w:tcW w:w="2221"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Michael J. Hoffmann</w:t>
            </w:r>
          </w:p>
        </w:tc>
        <w:tc>
          <w:tcPr>
            <w:tcW w:w="145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442,000</w:t>
            </w:r>
          </w:p>
        </w:tc>
        <w:tc>
          <w:tcPr>
            <w:tcW w:w="151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100</w:t>
            </w:r>
          </w:p>
        </w:tc>
        <w:tc>
          <w:tcPr>
            <w:tcW w:w="105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221,000</w:t>
            </w:r>
          </w:p>
        </w:tc>
        <w:tc>
          <w:tcPr>
            <w:tcW w:w="105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60,054</w:t>
            </w:r>
          </w:p>
        </w:tc>
        <w:tc>
          <w:tcPr>
            <w:tcW w:w="99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221,000</w:t>
            </w:r>
          </w:p>
        </w:tc>
        <w:tc>
          <w:tcPr>
            <w:tcW w:w="104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60,054</w:t>
            </w:r>
          </w:p>
        </w:tc>
      </w:tr>
      <w:tr>
        <w:trPr/>
        <w:tc>
          <w:tcPr>
            <w:tcW w:w="2221"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Jeanette L. Miller</w:t>
            </w:r>
          </w:p>
        </w:tc>
        <w:tc>
          <w:tcPr>
            <w:tcW w:w="145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360,000</w:t>
            </w:r>
          </w:p>
        </w:tc>
        <w:tc>
          <w:tcPr>
            <w:tcW w:w="151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75</w:t>
            </w:r>
          </w:p>
        </w:tc>
        <w:tc>
          <w:tcPr>
            <w:tcW w:w="105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135,000</w:t>
            </w:r>
          </w:p>
        </w:tc>
        <w:tc>
          <w:tcPr>
            <w:tcW w:w="105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36,684</w:t>
            </w:r>
          </w:p>
        </w:tc>
        <w:tc>
          <w:tcPr>
            <w:tcW w:w="99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135,000</w:t>
            </w:r>
          </w:p>
        </w:tc>
        <w:tc>
          <w:tcPr>
            <w:tcW w:w="104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36,684</w:t>
            </w:r>
          </w:p>
        </w:tc>
      </w:tr>
      <w:tr>
        <w:trPr/>
        <w:tc>
          <w:tcPr>
            <w:tcW w:w="2221"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Todd R. Sutherland*</w:t>
            </w:r>
          </w:p>
        </w:tc>
        <w:tc>
          <w:tcPr>
            <w:tcW w:w="1451"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n/a</w:t>
            </w:r>
          </w:p>
        </w:tc>
        <w:tc>
          <w:tcPr>
            <w:tcW w:w="1518"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n/a</w:t>
            </w:r>
          </w:p>
        </w:tc>
        <w:tc>
          <w:tcPr>
            <w:tcW w:w="1058"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058"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991"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250,000</w:t>
            </w:r>
          </w:p>
        </w:tc>
        <w:tc>
          <w:tcPr>
            <w:tcW w:w="1042"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42,955</w:t>
            </w:r>
          </w:p>
        </w:tc>
      </w:tr>
      <w:tr>
        <w:trPr/>
        <w:tc>
          <w:tcPr>
            <w:tcW w:w="9339" w:type="dxa"/>
            <w:gridSpan w:val="21"/>
            <w:tcBorders>
              <w:top w:val="single" w:sz="4" w:space="0" w:color="C8C9C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9" w:type="dxa"/>
            <w:gridSpan w:val="21"/>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Mr. Sutherland was issued an off-cycle Service-Based RSU award on August 6, 2025, for his promotion.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120" w:after="240"/>
        <w:ind w:left="0" w:right="0" w:hanging="360"/>
        <w:jc w:val="both"/>
        <w:rPr>
          <w:rFonts w:ascii="Arial;sans-serif" w:hAnsi="Arial;sans-serif"/>
          <w:b w:val="false"/>
          <w:i/>
          <w:color w:val="003273"/>
          <w:sz w:val="20"/>
        </w:rPr>
      </w:pPr>
      <w:r>
        <w:rPr>
          <w:rFonts w:ascii="Arial;sans-serif" w:hAnsi="Arial;sans-serif"/>
          <w:b w:val="false"/>
          <w:i/>
          <w:color w:val="003273"/>
          <w:sz w:val="20"/>
        </w:rPr>
        <w:t>2023-2025 PRSUs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performance period for the PRSUs granted in 2023 ended as of December 31, 2025 (the “2023-2025 PRSUs”), and the Committee certified performance for such PRSUs in March 2026 against the targets set at the beginning of the three-year performance period. The performance metrics for the 2023-2025 PRSUs included (i) the Company’s adjusted operating return on average adjusted tangible common equity, and (ii) growth in adjusted tangible common equity per share of common stock. The table below shows the weighting, goal targets, and the actual level of achievement on each of these goals.</w:t>
      </w:r>
    </w:p>
    <w:tbl>
      <w:tblPr>
        <w:tblW w:w="10205" w:type="dxa"/>
        <w:jc w:val="center"/>
        <w:tblInd w:w="0" w:type="dxa"/>
        <w:tblLayout w:type="fixed"/>
        <w:tblCellMar>
          <w:top w:w="28" w:type="dxa"/>
          <w:left w:w="28" w:type="dxa"/>
          <w:bottom w:w="28" w:type="dxa"/>
          <w:right w:w="28" w:type="dxa"/>
        </w:tblCellMar>
      </w:tblPr>
      <w:tblGrid>
        <w:gridCol w:w="1183"/>
        <w:gridCol w:w="1040"/>
        <w:gridCol w:w="1044"/>
        <w:gridCol w:w="255"/>
        <w:gridCol w:w="255"/>
        <w:gridCol w:w="256"/>
        <w:gridCol w:w="380"/>
        <w:gridCol w:w="380"/>
        <w:gridCol w:w="381"/>
        <w:gridCol w:w="265"/>
        <w:gridCol w:w="265"/>
        <w:gridCol w:w="266"/>
        <w:gridCol w:w="300"/>
        <w:gridCol w:w="300"/>
        <w:gridCol w:w="301"/>
        <w:gridCol w:w="265"/>
        <w:gridCol w:w="265"/>
        <w:gridCol w:w="266"/>
        <w:gridCol w:w="415"/>
        <w:gridCol w:w="415"/>
        <w:gridCol w:w="416"/>
        <w:gridCol w:w="378"/>
        <w:gridCol w:w="378"/>
        <w:gridCol w:w="536"/>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3267" w:type="dxa"/>
            <w:gridSpan w:val="3"/>
            <w:tcBorders>
              <w:top w:val="single" w:sz="24" w:space="0" w:color="053273"/>
            </w:tcBorders>
            <w:shd w:fill="F3F3F4"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273"/>
                <w:sz w:val="17"/>
              </w:rPr>
            </w:pPr>
            <w:r>
              <w:rPr>
                <w:rFonts w:ascii="Arial;sans-serif" w:hAnsi="Arial;sans-serif"/>
                <w:b/>
                <w:color w:val="003273"/>
                <w:sz w:val="17"/>
              </w:rPr>
              <w:t>2023-2025 PRSU PERFORMANCE METRICS</w:t>
            </w:r>
          </w:p>
        </w:tc>
        <w:tc>
          <w:tcPr>
            <w:tcW w:w="766"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3273"/>
                <w:sz w:val="17"/>
              </w:rPr>
            </w:pPr>
            <w:r>
              <w:rPr>
                <w:rFonts w:ascii="Arial;sans-serif" w:hAnsi="Arial;sans-serif"/>
                <w:b/>
                <w:color w:val="003273"/>
                <w:sz w:val="17"/>
              </w:rPr>
              <w:t>WEIGHT</w:t>
            </w:r>
          </w:p>
        </w:tc>
        <w:tc>
          <w:tcPr>
            <w:tcW w:w="1141"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3273"/>
                <w:sz w:val="17"/>
              </w:rPr>
            </w:pPr>
            <w:r>
              <w:rPr>
                <w:rFonts w:ascii="Arial;sans-serif" w:hAnsi="Arial;sans-serif"/>
                <w:b/>
                <w:color w:val="003273"/>
                <w:sz w:val="17"/>
              </w:rPr>
              <w:t>THRESHOLD</w:t>
            </w:r>
          </w:p>
        </w:tc>
        <w:tc>
          <w:tcPr>
            <w:tcW w:w="796"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3273"/>
                <w:sz w:val="17"/>
              </w:rPr>
            </w:pPr>
            <w:r>
              <w:rPr>
                <w:rFonts w:ascii="Arial;sans-serif" w:hAnsi="Arial;sans-serif"/>
                <w:b/>
                <w:color w:val="003273"/>
                <w:sz w:val="17"/>
              </w:rPr>
              <w:t>TARGET</w:t>
            </w:r>
          </w:p>
        </w:tc>
        <w:tc>
          <w:tcPr>
            <w:tcW w:w="901"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3273"/>
                <w:sz w:val="17"/>
              </w:rPr>
            </w:pPr>
            <w:r>
              <w:rPr>
                <w:rFonts w:ascii="Arial;sans-serif" w:hAnsi="Arial;sans-serif"/>
                <w:b/>
                <w:color w:val="003273"/>
                <w:sz w:val="17"/>
              </w:rPr>
              <w:t>MAXIMUM</w:t>
            </w:r>
          </w:p>
        </w:tc>
        <w:tc>
          <w:tcPr>
            <w:tcW w:w="796"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3273"/>
                <w:sz w:val="17"/>
              </w:rPr>
            </w:pPr>
            <w:r>
              <w:rPr>
                <w:rFonts w:ascii="Arial;sans-serif" w:hAnsi="Arial;sans-serif"/>
                <w:b/>
                <w:color w:val="003273"/>
                <w:sz w:val="17"/>
              </w:rPr>
              <w:t>ACTUAL</w:t>
              <w:br/>
              <w:t>RESULT</w:t>
            </w:r>
          </w:p>
        </w:tc>
        <w:tc>
          <w:tcPr>
            <w:tcW w:w="1246"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3273"/>
                <w:sz w:val="17"/>
              </w:rPr>
            </w:pPr>
            <w:r>
              <w:rPr>
                <w:rFonts w:ascii="Arial;sans-serif" w:hAnsi="Arial;sans-serif"/>
                <w:b/>
                <w:color w:val="003273"/>
                <w:sz w:val="17"/>
              </w:rPr>
              <w:t>ACHIEVED</w:t>
              <w:br/>
              <w:t>PAYOUT</w:t>
              <w:br/>
              <w:t>PERCENTAGE</w:t>
            </w:r>
          </w:p>
        </w:tc>
        <w:tc>
          <w:tcPr>
            <w:tcW w:w="1292"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3273"/>
                <w:sz w:val="17"/>
              </w:rPr>
            </w:pPr>
            <w:r>
              <w:rPr>
                <w:rFonts w:ascii="Arial;sans-serif" w:hAnsi="Arial;sans-serif"/>
                <w:b/>
                <w:color w:val="003273"/>
                <w:sz w:val="17"/>
              </w:rPr>
              <w:t>WEIGHTED</w:t>
              <w:br/>
              <w:t>ACHIEVED</w:t>
              <w:br/>
              <w:t>PAYOUT</w:t>
              <w:br/>
              <w:t>PERCENTAGE</w:t>
            </w:r>
          </w:p>
        </w:tc>
      </w:tr>
      <w:tr>
        <w:trPr/>
        <w:tc>
          <w:tcPr>
            <w:tcW w:w="3267" w:type="dxa"/>
            <w:gridSpan w:val="3"/>
            <w:tcBorders>
              <w:top w:val="single" w:sz="12" w:space="0" w:color="636466"/>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Adjusted operating return on average adjusted tangible common equity</w:t>
            </w:r>
          </w:p>
        </w:tc>
        <w:tc>
          <w:tcPr>
            <w:tcW w:w="766"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50%</w:t>
            </w:r>
          </w:p>
        </w:tc>
        <w:tc>
          <w:tcPr>
            <w:tcW w:w="1141"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6.5%</w:t>
            </w:r>
          </w:p>
        </w:tc>
        <w:tc>
          <w:tcPr>
            <w:tcW w:w="796"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12.9%</w:t>
            </w:r>
          </w:p>
        </w:tc>
        <w:tc>
          <w:tcPr>
            <w:tcW w:w="901"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19.4%</w:t>
            </w:r>
          </w:p>
        </w:tc>
        <w:tc>
          <w:tcPr>
            <w:tcW w:w="796"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8.9%</w:t>
            </w:r>
          </w:p>
        </w:tc>
        <w:tc>
          <w:tcPr>
            <w:tcW w:w="1246"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68.7%</w:t>
            </w:r>
          </w:p>
        </w:tc>
        <w:tc>
          <w:tcPr>
            <w:tcW w:w="1292"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34.3%</w:t>
            </w:r>
          </w:p>
        </w:tc>
      </w:tr>
      <w:tr>
        <w:trPr/>
        <w:tc>
          <w:tcPr>
            <w:tcW w:w="3267"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Growth in adjusted tangible common equity per share of common stock</w:t>
            </w:r>
          </w:p>
        </w:tc>
        <w:tc>
          <w:tcPr>
            <w:tcW w:w="766"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50%</w:t>
            </w:r>
          </w:p>
        </w:tc>
        <w:tc>
          <w:tcPr>
            <w:tcW w:w="1141"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4.1%</w:t>
            </w:r>
          </w:p>
        </w:tc>
        <w:tc>
          <w:tcPr>
            <w:tcW w:w="796"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8.2%</w:t>
            </w:r>
          </w:p>
        </w:tc>
        <w:tc>
          <w:tcPr>
            <w:tcW w:w="901"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12.3%</w:t>
            </w:r>
          </w:p>
        </w:tc>
        <w:tc>
          <w:tcPr>
            <w:tcW w:w="796"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6.4%</w:t>
            </w:r>
          </w:p>
        </w:tc>
        <w:tc>
          <w:tcPr>
            <w:tcW w:w="1246"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77.4%</w:t>
            </w:r>
          </w:p>
        </w:tc>
        <w:tc>
          <w:tcPr>
            <w:tcW w:w="129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38.7%</w:t>
            </w:r>
          </w:p>
        </w:tc>
      </w:tr>
      <w:tr>
        <w:trPr/>
        <w:tc>
          <w:tcPr>
            <w:tcW w:w="3267" w:type="dxa"/>
            <w:gridSpan w:val="3"/>
            <w:tcBorders>
              <w:top w:val="single" w:sz="4" w:space="0" w:color="C8C9CB"/>
              <w:bottom w:val="single" w:sz="4" w:space="0" w:color="C8C9CB"/>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5646" w:type="dxa"/>
            <w:gridSpan w:val="18"/>
            <w:tcBorders>
              <w:left w:val="single" w:sz="4" w:space="0" w:color="C8C9CB"/>
              <w:bottom w:val="single" w:sz="4" w:space="0" w:color="C8C9CB"/>
            </w:tcBorders>
            <w:tcMar>
              <w:top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4" w:space="0" w:color="C8C9CB"/>
              <w:bottom w:val="single" w:sz="4" w:space="0" w:color="C8C9CB"/>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73%</w:t>
            </w:r>
          </w:p>
        </w:tc>
      </w:tr>
    </w:tbl>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following table lists the number of 2023-2025 PRSUs earned by the NEOs for the 2023-2025 performance period:</w:t>
      </w:r>
    </w:p>
    <w:tbl>
      <w:tblPr>
        <w:tblW w:w="10205" w:type="dxa"/>
        <w:jc w:val="center"/>
        <w:tblInd w:w="0" w:type="dxa"/>
        <w:tblLayout w:type="fixed"/>
        <w:tblCellMar>
          <w:top w:w="28" w:type="dxa"/>
          <w:left w:w="28" w:type="dxa"/>
          <w:bottom w:w="28" w:type="dxa"/>
          <w:right w:w="28" w:type="dxa"/>
        </w:tblCellMar>
      </w:tblPr>
      <w:tblGrid>
        <w:gridCol w:w="1301"/>
        <w:gridCol w:w="1106"/>
        <w:gridCol w:w="1115"/>
        <w:gridCol w:w="665"/>
        <w:gridCol w:w="665"/>
        <w:gridCol w:w="668"/>
        <w:gridCol w:w="660"/>
        <w:gridCol w:w="660"/>
        <w:gridCol w:w="663"/>
        <w:gridCol w:w="789"/>
        <w:gridCol w:w="789"/>
        <w:gridCol w:w="1124"/>
      </w:tblGrid>
      <w:tr>
        <w:trPr/>
        <w:tc>
          <w:tcPr>
            <w:tcW w:w="130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3522" w:type="dxa"/>
            <w:gridSpan w:val="3"/>
            <w:tcBorders>
              <w:top w:val="single" w:sz="24" w:space="0" w:color="053273"/>
            </w:tcBorders>
            <w:shd w:fill="F3F3F4"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273"/>
                <w:sz w:val="17"/>
              </w:rPr>
            </w:pPr>
            <w:r>
              <w:rPr>
                <w:rFonts w:ascii="Arial;sans-serif" w:hAnsi="Arial;sans-serif"/>
                <w:b/>
                <w:color w:val="003273"/>
                <w:sz w:val="17"/>
              </w:rPr>
              <w:t>NEO</w:t>
            </w:r>
          </w:p>
        </w:tc>
        <w:tc>
          <w:tcPr>
            <w:tcW w:w="1998"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3273"/>
                <w:sz w:val="17"/>
              </w:rPr>
            </w:pPr>
            <w:r>
              <w:rPr>
                <w:rFonts w:ascii="Arial;sans-serif" w:hAnsi="Arial;sans-serif"/>
                <w:b/>
                <w:color w:val="003273"/>
                <w:sz w:val="17"/>
              </w:rPr>
              <w:t>2023 PRSUS</w:t>
              <w:br/>
              <w:t>TARGET</w:t>
              <w:br/>
              <w:t>(#)</w:t>
            </w:r>
          </w:p>
        </w:tc>
        <w:tc>
          <w:tcPr>
            <w:tcW w:w="1983"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3273"/>
                <w:sz w:val="17"/>
              </w:rPr>
            </w:pPr>
            <w:r>
              <w:rPr>
                <w:rFonts w:ascii="Arial;sans-serif" w:hAnsi="Arial;sans-serif"/>
                <w:b/>
                <w:color w:val="003273"/>
                <w:sz w:val="17"/>
              </w:rPr>
              <w:t>2023 PRSUS</w:t>
              <w:br/>
              <w:t>VESTED</w:t>
              <w:br/>
              <w:t>(#)</w:t>
            </w:r>
          </w:p>
        </w:tc>
        <w:tc>
          <w:tcPr>
            <w:tcW w:w="2702"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3273"/>
                <w:sz w:val="17"/>
              </w:rPr>
            </w:pPr>
            <w:r>
              <w:rPr>
                <w:rFonts w:ascii="Arial;sans-serif" w:hAnsi="Arial;sans-serif"/>
                <w:b/>
                <w:color w:val="003273"/>
                <w:sz w:val="17"/>
              </w:rPr>
              <w:t>VESTED PRSUS</w:t>
              <w:br/>
              <w:t>AS A</w:t>
              <w:br/>
              <w:t>PERCENTAGE</w:t>
              <w:br/>
              <w:t>OF TARGET</w:t>
              <w:br/>
              <w:t>(%)</w:t>
            </w:r>
          </w:p>
        </w:tc>
      </w:tr>
      <w:tr>
        <w:trPr/>
        <w:tc>
          <w:tcPr>
            <w:tcW w:w="3522" w:type="dxa"/>
            <w:gridSpan w:val="3"/>
            <w:tcBorders>
              <w:top w:val="single" w:sz="12" w:space="0" w:color="636466"/>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Frank N. D’Orazio</w:t>
            </w:r>
          </w:p>
        </w:tc>
        <w:tc>
          <w:tcPr>
            <w:tcW w:w="1998"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18,626</w:t>
            </w:r>
          </w:p>
        </w:tc>
        <w:tc>
          <w:tcPr>
            <w:tcW w:w="1983"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13,597</w:t>
            </w:r>
          </w:p>
        </w:tc>
        <w:tc>
          <w:tcPr>
            <w:tcW w:w="2702"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73%</w:t>
            </w:r>
          </w:p>
        </w:tc>
      </w:tr>
      <w:tr>
        <w:trPr/>
        <w:tc>
          <w:tcPr>
            <w:tcW w:w="3522"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Sarah C. Doran</w:t>
            </w:r>
          </w:p>
        </w:tc>
        <w:tc>
          <w:tcPr>
            <w:tcW w:w="199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11,075</w:t>
            </w:r>
          </w:p>
        </w:tc>
        <w:tc>
          <w:tcPr>
            <w:tcW w:w="1983"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8,085</w:t>
            </w:r>
          </w:p>
        </w:tc>
        <w:tc>
          <w:tcPr>
            <w:tcW w:w="270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73%</w:t>
            </w:r>
          </w:p>
        </w:tc>
      </w:tr>
      <w:tr>
        <w:trPr/>
        <w:tc>
          <w:tcPr>
            <w:tcW w:w="3522"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Richard J. Schmitzer</w:t>
            </w:r>
          </w:p>
        </w:tc>
        <w:tc>
          <w:tcPr>
            <w:tcW w:w="199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12,181*</w:t>
            </w:r>
          </w:p>
        </w:tc>
        <w:tc>
          <w:tcPr>
            <w:tcW w:w="1983"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8,892</w:t>
            </w:r>
          </w:p>
        </w:tc>
        <w:tc>
          <w:tcPr>
            <w:tcW w:w="270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73%</w:t>
            </w:r>
          </w:p>
        </w:tc>
      </w:tr>
      <w:tr>
        <w:trPr/>
        <w:tc>
          <w:tcPr>
            <w:tcW w:w="3522"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Michael J. Hoffmann</w:t>
            </w:r>
          </w:p>
        </w:tc>
        <w:tc>
          <w:tcPr>
            <w:tcW w:w="199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8,558</w:t>
            </w:r>
          </w:p>
        </w:tc>
        <w:tc>
          <w:tcPr>
            <w:tcW w:w="1983"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6,247</w:t>
            </w:r>
          </w:p>
        </w:tc>
        <w:tc>
          <w:tcPr>
            <w:tcW w:w="270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73%</w:t>
            </w:r>
          </w:p>
        </w:tc>
      </w:tr>
      <w:tr>
        <w:trPr/>
        <w:tc>
          <w:tcPr>
            <w:tcW w:w="3522"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Jeanette L. Miller</w:t>
            </w:r>
          </w:p>
        </w:tc>
        <w:tc>
          <w:tcPr>
            <w:tcW w:w="1998"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4,277</w:t>
            </w:r>
          </w:p>
        </w:tc>
        <w:tc>
          <w:tcPr>
            <w:tcW w:w="1983"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3,122</w:t>
            </w:r>
          </w:p>
        </w:tc>
        <w:tc>
          <w:tcPr>
            <w:tcW w:w="2702"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73%</w:t>
            </w:r>
          </w:p>
        </w:tc>
      </w:tr>
      <w:tr>
        <w:trPr/>
        <w:tc>
          <w:tcPr>
            <w:tcW w:w="10205" w:type="dxa"/>
            <w:gridSpan w:val="12"/>
            <w:tcBorders>
              <w:top w:val="single" w:sz="4" w:space="0" w:color="C8C9C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 The target number of PRSUs shown above for Mr. Schmitzer is the pro-rated target amount based on the time he worked in the performance period.</w:t>
            </w:r>
          </w:p>
        </w:tc>
      </w:tr>
    </w:tbl>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2026 Compensation Updates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 xml:space="preserve">The Committee continuously evaluates our executive compensation program and seeks to ensure it is aligned with current market practices and peer compensation structures as appropriate. In assessing our CEO’s compensation, the Committee considered various factors including (i) our CEO’s target short-term incentive and long-term incentive opportunities were significantly below market, (ii) less of his pay as a percent of total compensation was incentive based when compared to CEOs in companies in the peer group, (iii) there had been no increase in his target short-term incentive or long-term incentive opportunities since he was named the CEO in 2020, and (iv) his target opportunities were the same as some of our other NEOs. The Committee believed that increases to our CEO’s target short-term incentive and long-term incentive opportunities were appropriate to align his pay with market and shareholders’ interests. The Committee, with the assistance of its independent compensation consultant, recommended and the Board approved the increase of our CEO’s target short-term incentive opportunity from 100% of his base salary for 2025 to 150% of his base salary for 2026 and his target long-term incentive opportunity from 100% of his base salary for 2025 to 200% of his base salary for 2026. The Committee considered the results of the most recent say-on-pay vote as part of its overall review of executive compensation and shareholder feedback. In determining adjustments to our CEO’s target short-term incentive opportunity, the Committee took those considerations into account together with the Company’s performance, competitive market practices and the Committee’s compensation philosophy. As a result of the increases in target opportunities, our CEO’s compensation that is variable, at-risk increased from 66.7% to 77.8% and is now aligned with the median compensation of our peer group.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In addition, the Committee recommended and the Board approved an increase of our Chief Legal Officer’s target long-term incentive opportunity from 75% of her base salary for 2025 to 100% of her base salary for 2026 to better reflect the responsibilities of her role as well as the context of her position on the Company’s senior management team. No changes were made to other NEOs’ 2026 target opportunities.</w:t>
      </w:r>
    </w:p>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Cash Incentive Awards to Mr. Sutherland</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Prior to his promotion to President of our E&amp;S Segment, Mr. Sutherland was granted cash incentive awards under the 2014 LTIP in the amount of (i) $156,000 on March 1, 2024 (the “2024 Cash Award”) and (ii) $160,680 on March 5, 2025 (the “2025 Cash Award”) as a component of his compensation to incentivize performance and support the retention of his service. The awards vest in equal installments on each of the first three anniversaries of the grant date, subject to his continued employment with the Company through each applicable vesting date. The first and second tranches of the 2024 Cash Award were paid on March 3, 2025 and March 2, 2026. The first tranche of the 2025 Cash Award was paid on March 5, 2026.</w:t>
      </w:r>
    </w:p>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2024 One-Time Retention Awards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As previously disclosed, in 2024 the members of the Company’s senior leadership team, excluding our CEO, received a cash retention award that was paid out in two equal installments as more fully described below. This one-time program concluded in 2025 and, importantly, accomplished the critical objective of maintaining a cohesive, engaged senior leadership team. The Committee does not generally intend to provide one-time grants except in a judicious and limited manner as warranted by unique circumstances. The Committee views any such grants to executive officers as a special and exceptional non-recurring event to meet the Company’s needs for a specific purpose or during a specific time period. The Committee believes that the events of 2024 constituted one of these unique circumstances for the Company as we undertook the strategic review process, which at the time of grant, had continued for an extended period.</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While the Company was going through the strategic review process during 2024, it would have been extremely difficult to attract senior personnel in the event of a departure of any executive due to the process’s ongoing nature. Maintaining a cohesive and engaged senior leadership team throughout the strategic review process, specifically over the twelve-month period, was critical to the ongoing operation of our business and our successful completion of the strategic review process.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In 2024, the Committee, with assistance from Mr. D’Orazio and our independent compensation consultant, determined that a cash retention award for the members of the senior leadership team would provide a necessary retention incentive to help ensure that key executives remained with the Company and engaged in the additional work required to be done for the duration of the strategic review process which was anticipated, at the time the awards were made, to potentially last twelve months from its commencement in November 2023. The awards were in an amount equal to the target amount of a senior leadership team member’s annual short-term incentive target. The awards vested in two equal installments on or immediately prior to December 31, 2024 and June 30, 2025, subject to continued employment of the executive through such date with certain exceptions, including an employee’s involuntary termination of employment without cause, by reason of death or disability, and in the event of a “change in control”, with such term as defined in the 2014 LTIP. There would not have been a payout if the executive resigned from their employment for good reason, and a sale of a segment of the Company by itself would not trigger payment, unless the executive was terminated without cause by the Company in connection with such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following table reflects the amounts of the retention awards granted to our NEOs on July 25, 2024. Mr. D’Orazio did not receive a retention award, and Mr. Sutherland was not eligible to receive a retention award since he was not a member of the senior leadership team when the retention awards were granted. The retention awards granted to our NEOs were paid in full as of December 31, 2025, with 50% paid in 2024 and the remaining 50% paid in June 2025.</w:t>
      </w:r>
    </w:p>
    <w:tbl>
      <w:tblPr>
        <w:tblW w:w="4244" w:type="dxa"/>
        <w:jc w:val="center"/>
        <w:tblInd w:w="0" w:type="dxa"/>
        <w:tblLayout w:type="fixed"/>
        <w:tblCellMar>
          <w:top w:w="28" w:type="dxa"/>
          <w:left w:w="28" w:type="dxa"/>
          <w:bottom w:w="28" w:type="dxa"/>
          <w:right w:w="28" w:type="dxa"/>
        </w:tblCellMar>
      </w:tblPr>
      <w:tblGrid>
        <w:gridCol w:w="705"/>
        <w:gridCol w:w="620"/>
        <w:gridCol w:w="625"/>
        <w:gridCol w:w="671"/>
        <w:gridCol w:w="671"/>
        <w:gridCol w:w="952"/>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op w:val="single" w:sz="24" w:space="0" w:color="053273"/>
            </w:tcBorders>
            <w:shd w:fill="F3F3F4"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273"/>
                <w:sz w:val="17"/>
              </w:rPr>
            </w:pPr>
            <w:r>
              <w:rPr>
                <w:rFonts w:ascii="Arial;sans-serif" w:hAnsi="Arial;sans-serif"/>
                <w:b/>
                <w:color w:val="003273"/>
                <w:sz w:val="17"/>
              </w:rPr>
              <w:t>NEO</w:t>
            </w:r>
          </w:p>
        </w:tc>
        <w:tc>
          <w:tcPr>
            <w:tcW w:w="2294"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3273"/>
                <w:sz w:val="17"/>
              </w:rPr>
            </w:pPr>
            <w:r>
              <w:rPr>
                <w:rFonts w:ascii="Arial;sans-serif" w:hAnsi="Arial;sans-serif"/>
                <w:b/>
                <w:color w:val="003273"/>
                <w:sz w:val="17"/>
              </w:rPr>
              <w:t>CASH RETENTION AWARD</w:t>
              <w:br/>
              <w:t>($)</w:t>
            </w:r>
          </w:p>
        </w:tc>
      </w:tr>
      <w:tr>
        <w:trPr/>
        <w:tc>
          <w:tcPr>
            <w:tcW w:w="1950" w:type="dxa"/>
            <w:gridSpan w:val="3"/>
            <w:tcBorders>
              <w:top w:val="single" w:sz="12" w:space="0" w:color="636466"/>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Frank N. D’Orazio</w:t>
            </w:r>
          </w:p>
        </w:tc>
        <w:tc>
          <w:tcPr>
            <w:tcW w:w="2294"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n/a</w:t>
            </w:r>
          </w:p>
        </w:tc>
      </w:tr>
      <w:tr>
        <w:trPr/>
        <w:tc>
          <w:tcPr>
            <w:tcW w:w="1950"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Sarah C. Doran</w:t>
            </w:r>
          </w:p>
        </w:tc>
        <w:tc>
          <w:tcPr>
            <w:tcW w:w="229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572,000</w:t>
            </w:r>
          </w:p>
        </w:tc>
      </w:tr>
      <w:tr>
        <w:trPr/>
        <w:tc>
          <w:tcPr>
            <w:tcW w:w="1950"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Richard J. Schmitzer</w:t>
            </w:r>
          </w:p>
        </w:tc>
        <w:tc>
          <w:tcPr>
            <w:tcW w:w="229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669,955</w:t>
            </w:r>
          </w:p>
        </w:tc>
      </w:tr>
      <w:tr>
        <w:trPr/>
        <w:tc>
          <w:tcPr>
            <w:tcW w:w="1950"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Michael J. Hoffmann</w:t>
            </w:r>
          </w:p>
        </w:tc>
        <w:tc>
          <w:tcPr>
            <w:tcW w:w="229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331,500</w:t>
            </w:r>
          </w:p>
        </w:tc>
      </w:tr>
      <w:tr>
        <w:trPr/>
        <w:tc>
          <w:tcPr>
            <w:tcW w:w="1950" w:type="dxa"/>
            <w:gridSpan w:val="3"/>
            <w:tcBorders>
              <w:top w:val="single" w:sz="4" w:space="0" w:color="C8C9CB"/>
              <w:bottom w:val="single" w:sz="4" w:space="0" w:color="C8C9CB"/>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Jeanette L. Miller</w:t>
            </w:r>
          </w:p>
        </w:tc>
        <w:tc>
          <w:tcPr>
            <w:tcW w:w="2294"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270,000</w:t>
            </w:r>
          </w:p>
        </w:tc>
      </w:tr>
    </w:tbl>
    <w:p>
      <w:pPr>
        <w:pStyle w:val="TextBody"/>
        <w:bidi w:val="0"/>
        <w:spacing w:lineRule="auto" w:line="288" w:before="240" w:after="240"/>
        <w:jc w:val="left"/>
        <w:rPr>
          <w:rFonts w:ascii="Arial;sans-serif" w:hAnsi="Arial;sans-serif"/>
          <w:b/>
          <w:color w:val="003273"/>
          <w:sz w:val="20"/>
        </w:rPr>
      </w:pPr>
      <w:r>
        <w:rPr>
          <w:rFonts w:ascii="Arial;sans-serif" w:hAnsi="Arial;sans-serif"/>
          <w:b/>
          <w:color w:val="003273"/>
          <w:sz w:val="20"/>
        </w:rPr>
        <w:t>V.    POST-EMPLOYMENT COMPENSATION AND OTHER BENEFITS</w:t>
      </w:r>
    </w:p>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Qualified Retirement Plans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We offer a tax-qualified 401(k) defined contribution plan covering all of our employees, including our NEOs. Eligible employees may make voluntary pre-tax and post-tax contributions to the 401(k) plan and are eligible for matching company contributions in an amount equal to 100% of the first 6% of the employee’s eligible compensation. The 401(k) plan also permits discretionary company contributions. All contributions to the 401(k) plan are subject to certain limitations under the Internal Revenue Code.</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We do not provide a pension plan for any of our employees and no NEOs participated in a nonqualified deferred compensation plan during 2025.</w:t>
      </w:r>
    </w:p>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Termination Provisions in NEO Employment Agreements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Each of our continuing NEOs is party to an employment agreement with us that provides for certain benefits if his or her employment is terminated under certain circumstances. This arrangement provides the continuing NEOs with a core level of assurance that their actions on behalf of the Company and its shareholders can proceed without the potential distraction of short-term issues that may affect the Company (e.g., a strategic transaction involving the Company) and helps ensure that our continuing NEOs continue to act in the best interests of the Company. In addition, the agreements contain measures that protect the Company past the date of the NEO’s termination, such as non-competition and customer and employee non-solicitation restrictive covenants and confidentiality and non-disclosure obligations (the “Restrictive Covenants”), and the requirement that NEOs execute a general release in favor of the Company in order to receive benefits. We do not provide excise tax “gross-ups” to any of our executive officers related to change in control payments. Continuing NEOs may also receive benefits with respect to unpaid amounts under the STI Plan and unvested equity awards under our 2014 LTIP. The key terms of the separation arrangements are described below in “Potential Payments Upon Termination or Change in Control.”</w:t>
      </w:r>
    </w:p>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Retirement of Mr. Schmitzer</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In August 2025, we amended Mr. Schmitzer’s employment agreement in anticipation of his retirement. Mr. Schmitzer stepped down as Chief Executive Officer of the Company’s E&amp;S Segment, effective July 31, 2025, but remained with the Company to facilitate the transition of his duties to the new President of the Company’s E&amp;S Segment until his retirement on October 15, 2025. The amendment provided for Mr. Schmitzer to receive a salary of $300,000 on a per annum basis from the time of the amendment until his retirement.</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Mr. Schmitzer did not receive any severance payment in connection with his retirement. The vesting of his next-to-vest tranches of Service-Based RSUs were accelerated upon retirement, and the remaining Service-Based RSUs were forfeited. His outstanding PRSUs were pro-rated based on the number of days he worked during the respective performance periods and will vest based on actual performance results after the end of the respective performance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Health and Welfare and Other Benefits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Our NEOs are provided welfare benefits that are generally the same as our other employees, such as Company-paid life insurance, medical, dental and vision plan coverage and long and short-term disability insurance. In addition to the above benefits, Ms. Doran and Mr. Hoffmann are entitled to receive benefits based upon their required work for the Company in Bermuda. These benefits consist of:</w:t>
      </w:r>
    </w:p>
    <w:p>
      <w:pPr>
        <w:pStyle w:val="TextBody"/>
        <w:bidi w:val="0"/>
        <w:spacing w:lineRule="auto" w:line="288" w:before="0" w:after="0"/>
        <w:ind w:left="0" w:right="0" w:hanging="360"/>
        <w:jc w:val="left"/>
        <w:rPr/>
      </w:pPr>
      <w:r>
        <w:rPr>
          <w:color w:val="003273"/>
        </w:rPr>
        <w:t>•</w:t>
      </w:r>
      <w:r>
        <w:rPr>
          <w:rFonts w:ascii="Arial;sans-serif" w:hAnsi="Arial;sans-serif"/>
          <w:b w:val="false"/>
          <w:color w:val="000000"/>
          <w:sz w:val="19"/>
        </w:rPr>
        <w:t>tax equalization gross-up payments or other Bermuda tax payments (collectively, “Tax Equalization Payments”) to which Mr. Hoffmann or Ms. Doran may be subject with respect to payments or benefits that such NEO receives under his or her employment agreement; and</w:t>
      </w:r>
    </w:p>
    <w:p>
      <w:pPr>
        <w:pStyle w:val="TextBody"/>
        <w:bidi w:val="0"/>
        <w:spacing w:lineRule="auto" w:line="288" w:before="0" w:after="240"/>
        <w:ind w:left="0" w:right="0" w:hanging="360"/>
        <w:jc w:val="left"/>
        <w:rPr/>
      </w:pPr>
      <w:r>
        <w:rPr>
          <w:color w:val="003273"/>
        </w:rPr>
        <w:t>•</w:t>
      </w:r>
      <w:r>
        <w:rPr>
          <w:rFonts w:ascii="Arial;sans-serif" w:hAnsi="Arial;sans-serif"/>
          <w:b w:val="false"/>
          <w:color w:val="000000"/>
          <w:sz w:val="19"/>
        </w:rPr>
        <w:t>payment of U.S. tax preparation expenses for Mr. Hoffmann.</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We make these tax benefits available to the specified NEOs employed by the Company based upon the unique challenges of performing work in the Bermuda market, including the additional tax expenses. We believe that providing these benefits is common practice for other Bermuda based companies (which the Company was prior to its redomicile to Delaware on November 7, 2025) and is consistent with our goal to attract and retain talented executive officers. The actual benefits received by the specified NEOs in connection with performing work in Bermuda is identified in the Summary Compensation Table.</w:t>
      </w:r>
    </w:p>
    <w:p>
      <w:pPr>
        <w:pStyle w:val="TextBody"/>
        <w:bidi w:val="0"/>
        <w:spacing w:lineRule="auto" w:line="288" w:before="0" w:after="240"/>
        <w:jc w:val="both"/>
        <w:rPr>
          <w:rFonts w:ascii="Arial;sans-serif" w:hAnsi="Arial;sans-serif"/>
          <w:b/>
          <w:color w:val="003273"/>
          <w:sz w:val="20"/>
        </w:rPr>
      </w:pPr>
      <w:r>
        <w:rPr>
          <w:rFonts w:ascii="Arial;sans-serif" w:hAnsi="Arial;sans-serif"/>
          <w:b/>
          <w:color w:val="003273"/>
          <w:sz w:val="20"/>
        </w:rPr>
        <w:t>VI.    ADDITIONAL COMPENSATION POLICIES AND PRACTICES</w:t>
      </w:r>
    </w:p>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Clawback Policy</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In October 2023, the Board, at the recommendation of the Committee, adopted an executive officer incentive compensation recovery policy in compliance with the requirements of the Dodd-Frank Act, final SEC rules and applicable Nasdaq listing standards, which covers our current and former executive officers, including all of our NEOs. If the Company is required to prepare an accounting restatement because of either (i)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(ii) an error that is not material to previously issued financial statements, but would result in a material misstatement if the error were corrected in the current period or left uncorrected in the current period, then all incentive compensation paid or credited to each current or former executive officer for the restated period (up to three years) will be recalculated based on the restated results. To the extent the recalculated incentive compensation is less than the incentive compensation actually paid or credited to such executive officer for that period, the excess amount must be returned to the Company or forfeited. In the event of an executive officer’s failure to repay any erroneously awarded compensation due under the clawback policy, the Company would enforce the clawback policy and pursue other remedies to the fullest extent permitted by applicable law, unless certain conditions are met and the Committee determines that recovery would be impracticable. The STI Plan and 2014 LTIP (and the award agreements under our 2014 LTIP) incorporate the provisions of any clawback policies maintained by the Company from time to time.</w:t>
      </w:r>
    </w:p>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Executive Stock Ownership Guidelines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We believe that the Company and our shareholders are best served when executive officers manage the business with a long-term perspective. In July 2022, the Board, at the recommendation of the Committee, adopted stock ownership guidelines (the “Guidelines”) to more closely align the financial interests of the Company’s directors and executive and other senior officers with those of the Company’s shareholders. Pursuant to the Guidelines, within five years of becoming subject to the Guidelines, (i) our Chief Executive Officer is required to beneficially own shares of common stock with a fair market value equivalent to five times his annual base salary, (ii) other executive officers and designated members of the senior management team of the Company are required to beneficially own shares of common stock with a fair market value equivalent to three times their annual base salary, and (iii) our non-employee directors are required to beneficially own shares of common stock with a fair market value equivalent to three times their annual cash retainer. The Committee reviews compliance with the Guidelines on an annual basis.</w:t>
      </w:r>
    </w:p>
    <w:tbl>
      <w:tblPr>
        <w:tblW w:w="5054" w:type="dxa"/>
        <w:jc w:val="center"/>
        <w:tblInd w:w="0" w:type="dxa"/>
        <w:tblLayout w:type="fixed"/>
        <w:tblCellMar>
          <w:top w:w="28" w:type="dxa"/>
          <w:left w:w="28" w:type="dxa"/>
          <w:bottom w:w="28" w:type="dxa"/>
          <w:right w:w="28" w:type="dxa"/>
        </w:tblCellMar>
      </w:tblPr>
      <w:tblGrid>
        <w:gridCol w:w="826"/>
        <w:gridCol w:w="722"/>
        <w:gridCol w:w="731"/>
        <w:gridCol w:w="812"/>
        <w:gridCol w:w="812"/>
        <w:gridCol w:w="1151"/>
      </w:tblGrid>
      <w:tr>
        <w:trPr/>
        <w:tc>
          <w:tcPr>
            <w:tcW w:w="82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24" w:space="0" w:color="053273"/>
            </w:tcBorders>
            <w:shd w:fill="F3F3F4"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273"/>
                <w:sz w:val="17"/>
              </w:rPr>
            </w:pPr>
            <w:r>
              <w:rPr>
                <w:rFonts w:ascii="Arial;sans-serif" w:hAnsi="Arial;sans-serif"/>
                <w:b/>
                <w:color w:val="003273"/>
                <w:sz w:val="17"/>
              </w:rPr>
              <w:t>POSITION</w:t>
            </w:r>
          </w:p>
        </w:tc>
        <w:tc>
          <w:tcPr>
            <w:tcW w:w="2775"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3273"/>
                <w:sz w:val="17"/>
              </w:rPr>
            </w:pPr>
            <w:r>
              <w:rPr>
                <w:rFonts w:ascii="Arial;sans-serif" w:hAnsi="Arial;sans-serif"/>
                <w:b/>
                <w:color w:val="003273"/>
                <w:sz w:val="17"/>
              </w:rPr>
              <w:t>MULTIPLE OF BASE SALARY OR</w:t>
              <w:br/>
              <w:t>CASH RETAINER</w:t>
            </w:r>
          </w:p>
        </w:tc>
      </w:tr>
      <w:tr>
        <w:trPr/>
        <w:tc>
          <w:tcPr>
            <w:tcW w:w="2279" w:type="dxa"/>
            <w:gridSpan w:val="3"/>
            <w:tcBorders>
              <w:top w:val="single" w:sz="12" w:space="0" w:color="636466"/>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Chief Executive Officer</w:t>
            </w:r>
          </w:p>
        </w:tc>
        <w:tc>
          <w:tcPr>
            <w:tcW w:w="2775"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5x</w:t>
            </w:r>
          </w:p>
        </w:tc>
      </w:tr>
      <w:tr>
        <w:trPr/>
        <w:tc>
          <w:tcPr>
            <w:tcW w:w="2279"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Other Executive Officers</w:t>
            </w:r>
          </w:p>
        </w:tc>
        <w:tc>
          <w:tcPr>
            <w:tcW w:w="277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3x</w:t>
            </w:r>
          </w:p>
        </w:tc>
      </w:tr>
      <w:tr>
        <w:trPr/>
        <w:tc>
          <w:tcPr>
            <w:tcW w:w="2279" w:type="dxa"/>
            <w:gridSpan w:val="3"/>
            <w:tcBorders>
              <w:top w:val="single" w:sz="4" w:space="0" w:color="C8C9CB"/>
              <w:bottom w:val="single" w:sz="4" w:space="0" w:color="C8C9CB"/>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Non-employee Directors</w:t>
            </w:r>
          </w:p>
        </w:tc>
        <w:tc>
          <w:tcPr>
            <w:tcW w:w="2775"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240" w:after="240"/>
        <w:jc w:val="both"/>
        <w:rPr>
          <w:rFonts w:ascii="Arial;sans-serif" w:hAnsi="Arial;sans-serif"/>
          <w:b w:val="false"/>
          <w:color w:val="000000"/>
          <w:sz w:val="19"/>
        </w:rPr>
      </w:pPr>
      <w:r>
        <w:rPr>
          <w:rFonts w:ascii="Arial;sans-serif" w:hAnsi="Arial;sans-serif"/>
          <w:b w:val="false"/>
          <w:color w:val="000000"/>
          <w:sz w:val="19"/>
        </w:rPr>
        <w:t>Pursuant to the Guidelines, (a) shares subject to eligible unvested Service-Based RSUs are valued at the greater of (i) the Market Price or (ii) the closing price on the Nasdaq Stock Market on the grant date, and (b) shares received upon the vesting of Service-Based RSUs are valued at the greatest of (i) the Market Price, (ii) the closing price on the Nasdaq Stock Market on the grant date, or (iii) the closing price on the Nasdaq Stock Market on the date of vesting. The value of shares subject to unvested PRSUs are not applied to determining whether the required value of shares of common stock is owned by any executive officer.</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For purposes of the Guidelines, the fair market value of the shares of common stock is established using the greater of (i) the average closing price of the shares of common stock on the Nasdaq Stock Market for the 30 trading day period immediately prior to the applicable determination date (the “Market Price”) or (ii) the price paid at the time of purchase, or, if the shares were not purchased (for example, if the shares were acquired on exercise of an equity award), the closing price of the shares of common stock on the Nasdaq Stock Market on the date of acquisition.</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Pursuant to the Guidelines, covered persons are required to retain 100% of the net-after-tax shares received for one year following the vesting or settlement of an equity award regardless of whether the Guidelines have been met, and additionally, until a covered participant comes into compliance with the applicable ownership level, such person must retain 75% of the net-after-tax shares received upon vesting or settlement of an equity award.</w:t>
      </w:r>
    </w:p>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Insider Trading Policy and Anti-Hedging and Anti-Pledging Policy</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Board has adopted an insider trading policy governing the purchase, sale and other dispositions of the Company’s securities. The policy applies to all personnel, including directors, officers, employees and other covered persons. The Board believes that the insider trading policy is reasonably designed to promote compliance with insider trading laws, rules and regulations and listing standards applicable to the Company. A copy of our insider trading policy is filed as an exhibit to our Annual Report on Form 10-K for the fiscal year ended December 31, 2025.</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Our insider trading policy also prohibits our directors, officers and employees from engaging in any pledging, hedging or monetization transactions or similar arrangements with respect to our securities. Such parties are also prohibited from engaging in any short sales, utilizing a margin account with respect to buying or selling our securities, or trading in exchange-traded options or other derivative securities.</w:t>
      </w:r>
    </w:p>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Compensation Risk Management</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We do not believe that our compensation policies and practices encourage excessive or unnecessary risk-taking, or are reasonably likely to have a material adverse effect on the Company. We believe that the combination of fixed base salaries, non-equity short-term incentive awards and awards of PRSUs and Service-Based RSUs represent an appropriate balance of fixed and variable compensation opportunities, and that the combination of short-term and long-term incentive awards provides an incentive for executives to maintain a long-term perspective in conducting business, rather than seeking short-term gain. This is particularly the case as the long-term incentive awards, awarded in the form of PRSUs and Service-Based RSUs, vest (i) in the case of PRSUs, based on financial performance metrics measured over a three-year performance period, and (ii) in the case of Service-Based RSUs, in annual installments over a three-year period. The use of a maximum payout for awards under the STI Plan and PRSUs also mitigates the risk employees may take because there are no opportunities for excessive awards. Further, the goals utilized in our STI Plan are primarily based upon companywide measures derived from our annual budget, with the performance metrics reviewed and approved by our Board following prior approval by the Committee. The fact that the performance objectives in the STI Plan and PRSUs are largely companywide reduces the likelihood that an employee could take actions to significantly influence performance in an attempt to increase the payout. We believe these practices are unlikely to create incentives for employees or executives to take excessive or unnecessary risks.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In 2025, we conducted an assessment of our executive compensation programs and practices. We concluded that the level of risk associated with the Company’s executive compensation programs is not reasonably likely to have a material adverse effect on the Company. The results of the risk assessment for 2025 executive compensation programs were reviewed by Aon and our enterprise management team. Our senior management will continue to monitor the effect of our compensation policies and practices on our employees and will make reports to our Committee if any concerns should arise.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Tax Considerations; Section 162(m)</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Section 162(m) of the Internal Revenue Code generally disallows a tax deduction for any publicly held corporation for individual compensation of more than $1.0 million to certain executive officers in any taxable year. The Committee may provide compensation to executive officers that may not be tax deductible if it believes that providing that compensation is in the best interests of our Company and its shareholders.</w:t>
      </w:r>
    </w:p>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Accounting Considerations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Compensation for share-based awards granted under the Company’s equity incentive plans is recognized in accordance with FASB ASC 718. For Service-Based RSUs, compensation is measured at the grant date and recognized on a straight-line basis over the service or vesting period, which is generally three years for awards under the 2014 LTIP and one year for awards under the 2014 Non-Employee Director Incentive Plan. Compensation for PRSUs depends upon the achievement of certain performance metrics during the performance period, generally three years, with payout for achievement of threshold, target and maximum performance levels set at 50%, 100%, and 200% of the target number of PRSUs, respectively. PRSUs are initially measured on the grant date at the 100% target performance level and the related compensation recognized over the performance period is periodically adjusted as necessary to reflect the projected achievement level. Compensation for cash awards granted under the 2014 LTIP are recognized on a straight-line basis over the service or vesting period, which is generally three years. Forfeitures of awards are recognized as they occur.</w:t>
      </w:r>
    </w:p>
    <w:p>
      <w:pPr>
        <w:pStyle w:val="TextBody"/>
        <w:bidi w:val="0"/>
        <w:spacing w:lineRule="auto" w:line="288" w:before="0" w:after="240"/>
        <w:jc w:val="both"/>
        <w:rPr>
          <w:rFonts w:ascii="Arial;sans-serif" w:hAnsi="Arial;sans-serif"/>
          <w:b w:val="false"/>
          <w:i/>
          <w:color w:val="003273"/>
          <w:sz w:val="20"/>
        </w:rPr>
      </w:pPr>
      <w:r>
        <w:rPr>
          <w:rFonts w:ascii="Arial;sans-serif" w:hAnsi="Arial;sans-serif"/>
          <w:b w:val="false"/>
          <w:i/>
          <w:color w:val="003273"/>
          <w:sz w:val="20"/>
        </w:rPr>
        <w:t>Policies on Timing of Equity Grants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We do not grant stock options or other equity awards during periods in which there is material nonpublic information about our Company, including (1) outside a “trading window” established in connection with the public release of quarterly results information or (2) at any time during the four business days prior to or the one business day following the filing of our periodic reports or the filing or furnishing of a Form 8-K that discloses material nonpublic information. The Committee does not take material nonpublic information into account when determining the timing and terms of equity awards. Annual equity awards to all officers, including the NEOs, are typically awarded by the Committee at a prescheduled meeting in February of each fiscal year with a grant date for such awards occurring on the second trading day following the Company’s release of earnings. Equity awards may occasionally be awarded on an off-cycle basis, including to new hires or promoted employees, with a grant date for such awards occurring on the second trading day following the Company’s release of earnings. The Company has not timed the disclosure of material nonpublic information to affect the value of executive compensation.</w:t>
      </w:r>
    </w:p>
    <w:p>
      <w:pPr>
        <w:pStyle w:val="TextBody"/>
        <w:bidi w:val="0"/>
        <w:spacing w:lineRule="auto" w:line="288" w:before="0" w:after="240"/>
        <w:jc w:val="both"/>
        <w:rPr>
          <w:rFonts w:ascii="Arial;sans-serif" w:hAnsi="Arial;sans-serif"/>
          <w:b/>
          <w:color w:val="003273"/>
          <w:sz w:val="20"/>
        </w:rPr>
      </w:pPr>
      <w:r>
        <w:rPr>
          <w:rFonts w:ascii="Arial;sans-serif" w:hAnsi="Arial;sans-serif"/>
          <w:b/>
          <w:color w:val="003273"/>
          <w:sz w:val="20"/>
        </w:rPr>
        <w:t>COMPENSATION AND HUMAN CAPITAL COMMITTEE REPORT</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information contained in this Compensation and Human Capital Committee report shall not be deemed to be “soliciting material,” “filed” with the SEC, subject to Regulations 14A or 14C of the Exchange Act, or subject to the liabilities of Section 18 of the Exchange Act. No portion of this Compensation and Human Capital Committee report shall be deemed to be incorporated by reference into any filing under the Securities Act, or the Exchange Act, through any general statement incorporating by reference in its entirety the Form 10-K/A in which this report appears, except to the extent that the Company specifically incorporates this report or a portion of it by reference. In addition, this report shall not be deemed filed under either the Securities Act or the Exchange Act.</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Compensation and Human Capital Committee (the “Committee”) has reviewed and discussed the CD&amp;A required by Item 402(b) of Regulation S-K with the management of the Company. Based on this review and these discussions, the Committee has recommended to the Board of Directors that the CD&amp;A be included in our Form 10-K/A and in the definitive proxy statement for our 2026 annual meeting of shareholders.</w:t>
      </w:r>
    </w:p>
    <w:p>
      <w:pPr>
        <w:pStyle w:val="TextBody"/>
        <w:bidi w:val="0"/>
        <w:spacing w:lineRule="auto" w:line="288" w:before="0" w:after="240"/>
        <w:jc w:val="right"/>
        <w:rPr>
          <w:rFonts w:ascii="Arial;sans-serif" w:hAnsi="Arial;sans-serif"/>
          <w:b/>
          <w:color w:val="053273"/>
          <w:sz w:val="19"/>
        </w:rPr>
      </w:pPr>
      <w:r>
        <w:rPr>
          <w:rFonts w:ascii="Arial;sans-serif" w:hAnsi="Arial;sans-serif"/>
          <w:b/>
          <w:color w:val="053273"/>
          <w:sz w:val="19"/>
        </w:rPr>
        <w:t>Compensation and Human Capital Committee</w:t>
      </w:r>
    </w:p>
    <w:p>
      <w:pPr>
        <w:pStyle w:val="TextBody"/>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Peter B. Migliorato (Chairman)</w:t>
      </w:r>
    </w:p>
    <w:p>
      <w:pPr>
        <w:pStyle w:val="TextBody"/>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Joel D. Cavaness</w:t>
      </w:r>
    </w:p>
    <w:p>
      <w:pPr>
        <w:pStyle w:val="TextBody"/>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Christine LaSala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240"/>
        <w:jc w:val="both"/>
        <w:rPr>
          <w:rFonts w:ascii="Arial;sans-serif" w:hAnsi="Arial;sans-serif"/>
          <w:b/>
          <w:color w:val="939598"/>
          <w:sz w:val="24"/>
        </w:rPr>
      </w:pPr>
      <w:r>
        <w:rPr>
          <w:rFonts w:ascii="Arial;sans-serif" w:hAnsi="Arial;sans-serif"/>
          <w:b/>
          <w:color w:val="939598"/>
          <w:sz w:val="24"/>
        </w:rPr>
        <w:t>Summary Compensation Table</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following table provides information regarding the compensation of our named executive officers:</w:t>
      </w:r>
    </w:p>
    <w:tbl>
      <w:tblPr>
        <w:tblW w:w="10205" w:type="dxa"/>
        <w:jc w:val="center"/>
        <w:tblInd w:w="0" w:type="dxa"/>
        <w:tblLayout w:type="fixed"/>
        <w:tblCellMar>
          <w:top w:w="28" w:type="dxa"/>
          <w:left w:w="28" w:type="dxa"/>
          <w:bottom w:w="28" w:type="dxa"/>
          <w:right w:w="28" w:type="dxa"/>
        </w:tblCellMar>
      </w:tblPr>
      <w:tblGrid>
        <w:gridCol w:w="875"/>
        <w:gridCol w:w="614"/>
        <w:gridCol w:w="618"/>
        <w:gridCol w:w="212"/>
        <w:gridCol w:w="212"/>
        <w:gridCol w:w="213"/>
        <w:gridCol w:w="303"/>
        <w:gridCol w:w="303"/>
        <w:gridCol w:w="308"/>
        <w:gridCol w:w="315"/>
        <w:gridCol w:w="315"/>
        <w:gridCol w:w="289"/>
        <w:gridCol w:w="338"/>
        <w:gridCol w:w="338"/>
        <w:gridCol w:w="339"/>
        <w:gridCol w:w="574"/>
        <w:gridCol w:w="574"/>
        <w:gridCol w:w="575"/>
        <w:gridCol w:w="574"/>
        <w:gridCol w:w="574"/>
        <w:gridCol w:w="575"/>
        <w:gridCol w:w="338"/>
        <w:gridCol w:w="338"/>
        <w:gridCol w:w="491"/>
      </w:tblGrid>
      <w:tr>
        <w:trPr/>
        <w:tc>
          <w:tcPr>
            <w:tcW w:w="87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top w:val="single" w:sz="24" w:space="0" w:color="053273"/>
              <w:bottom w:val="single" w:sz="12" w:space="0" w:color="636466"/>
            </w:tcBorders>
            <w:shd w:fill="F3F3F4"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3273"/>
                <w:sz w:val="16"/>
              </w:rPr>
            </w:pPr>
            <w:r>
              <w:rPr>
                <w:rFonts w:ascii="Arial;sans-serif" w:hAnsi="Arial;sans-serif"/>
                <w:b/>
                <w:color w:val="003273"/>
                <w:sz w:val="16"/>
              </w:rPr>
              <w:t>NAME AND PRINCIPAL POSITION</w:t>
            </w:r>
          </w:p>
        </w:tc>
        <w:tc>
          <w:tcPr>
            <w:tcW w:w="637"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3273"/>
                <w:sz w:val="16"/>
              </w:rPr>
            </w:pPr>
            <w:r>
              <w:rPr>
                <w:rFonts w:ascii="Arial;sans-serif" w:hAnsi="Arial;sans-serif"/>
                <w:b/>
                <w:color w:val="003273"/>
                <w:sz w:val="16"/>
              </w:rPr>
              <w:t>YEAR</w:t>
            </w:r>
          </w:p>
        </w:tc>
        <w:tc>
          <w:tcPr>
            <w:tcW w:w="914"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3273"/>
                <w:sz w:val="16"/>
              </w:rPr>
            </w:pPr>
            <w:r>
              <w:rPr>
                <w:rFonts w:ascii="Arial;sans-serif" w:hAnsi="Arial;sans-serif"/>
                <w:b/>
                <w:color w:val="003273"/>
                <w:sz w:val="16"/>
              </w:rPr>
              <w:t>SALARY</w:t>
              <w:br/>
              <w:t>($)</w:t>
            </w:r>
          </w:p>
        </w:tc>
        <w:tc>
          <w:tcPr>
            <w:tcW w:w="919"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003273"/>
                <w:sz w:val="16"/>
              </w:rPr>
              <w:t>BONUS</w:t>
            </w:r>
            <w:r>
              <w:rPr>
                <w:rFonts w:ascii="Arial;sans-serif" w:hAnsi="Arial;sans-serif"/>
                <w:b w:val="false"/>
                <w:color w:val="003273"/>
                <w:sz w:val="10"/>
              </w:rPr>
              <w:t>(1)</w:t>
            </w:r>
          </w:p>
          <w:p>
            <w:pPr>
              <w:pStyle w:val="TableContents"/>
              <w:bidi w:val="0"/>
              <w:spacing w:lineRule="auto" w:line="288" w:before="0" w:after="0"/>
              <w:jc w:val="center"/>
              <w:rPr>
                <w:rFonts w:ascii="Arial;sans-serif" w:hAnsi="Arial;sans-serif"/>
                <w:b/>
                <w:color w:val="003273"/>
                <w:sz w:val="16"/>
              </w:rPr>
            </w:pPr>
            <w:r>
              <w:rPr>
                <w:rFonts w:ascii="Arial;sans-serif" w:hAnsi="Arial;sans-serif"/>
                <w:b/>
                <w:color w:val="003273"/>
                <w:sz w:val="16"/>
              </w:rPr>
              <w:t>($)</w:t>
            </w:r>
          </w:p>
        </w:tc>
        <w:tc>
          <w:tcPr>
            <w:tcW w:w="1015"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STOCK</w:t>
            </w:r>
          </w:p>
          <w:p>
            <w:pPr>
              <w:pStyle w:val="TableContents"/>
              <w:bidi w:val="0"/>
              <w:spacing w:lineRule="auto" w:line="240" w:before="0" w:after="0"/>
              <w:jc w:val="center"/>
              <w:rPr/>
            </w:pPr>
            <w:r>
              <w:rPr>
                <w:rFonts w:ascii="Arial;sans-serif" w:hAnsi="Arial;sans-serif"/>
                <w:b/>
                <w:color w:val="003273"/>
                <w:sz w:val="16"/>
              </w:rPr>
              <w:t>AWARDS</w:t>
            </w:r>
            <w:r>
              <w:rPr>
                <w:rFonts w:ascii="Arial;sans-serif" w:hAnsi="Arial;sans-serif"/>
                <w:b w:val="false"/>
                <w:color w:val="003273"/>
                <w:sz w:val="10"/>
              </w:rPr>
              <w:t>(2)</w:t>
            </w:r>
          </w:p>
          <w:p>
            <w:pPr>
              <w:pStyle w:val="TableContents"/>
              <w:bidi w:val="0"/>
              <w:spacing w:lineRule="auto" w:line="288" w:before="0" w:after="0"/>
              <w:jc w:val="center"/>
              <w:rPr>
                <w:rFonts w:ascii="Arial;sans-serif" w:hAnsi="Arial;sans-serif"/>
                <w:b/>
                <w:color w:val="003273"/>
                <w:sz w:val="16"/>
              </w:rPr>
            </w:pPr>
            <w:r>
              <w:rPr>
                <w:rFonts w:ascii="Arial;sans-serif" w:hAnsi="Arial;sans-serif"/>
                <w:b/>
                <w:color w:val="003273"/>
                <w:sz w:val="16"/>
              </w:rPr>
              <w:t>($)</w:t>
            </w:r>
          </w:p>
        </w:tc>
        <w:tc>
          <w:tcPr>
            <w:tcW w:w="1723"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NON-EQUITY</w:t>
            </w:r>
          </w:p>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INCENTIVE PLAN</w:t>
            </w:r>
          </w:p>
          <w:p>
            <w:pPr>
              <w:pStyle w:val="TableContents"/>
              <w:bidi w:val="0"/>
              <w:spacing w:lineRule="auto" w:line="240" w:before="0" w:after="0"/>
              <w:jc w:val="center"/>
              <w:rPr/>
            </w:pPr>
            <w:r>
              <w:rPr>
                <w:rFonts w:ascii="Arial;sans-serif" w:hAnsi="Arial;sans-serif"/>
                <w:b/>
                <w:color w:val="003273"/>
                <w:sz w:val="16"/>
              </w:rPr>
              <w:t>COMPENSATION</w:t>
            </w:r>
            <w:r>
              <w:rPr>
                <w:rFonts w:ascii="Arial;sans-serif" w:hAnsi="Arial;sans-serif"/>
                <w:b w:val="false"/>
                <w:color w:val="003273"/>
                <w:sz w:val="10"/>
              </w:rPr>
              <w:t>(3)</w:t>
            </w:r>
          </w:p>
          <w:p>
            <w:pPr>
              <w:pStyle w:val="TableContents"/>
              <w:bidi w:val="0"/>
              <w:spacing w:lineRule="auto" w:line="288" w:before="0" w:after="0"/>
              <w:jc w:val="center"/>
              <w:rPr>
                <w:rFonts w:ascii="Arial;sans-serif" w:hAnsi="Arial;sans-serif"/>
                <w:b/>
                <w:color w:val="003273"/>
                <w:sz w:val="16"/>
              </w:rPr>
            </w:pPr>
            <w:r>
              <w:rPr>
                <w:rFonts w:ascii="Arial;sans-serif" w:hAnsi="Arial;sans-serif"/>
                <w:b/>
                <w:color w:val="003273"/>
                <w:sz w:val="16"/>
              </w:rPr>
              <w:t>($)</w:t>
            </w:r>
          </w:p>
        </w:tc>
        <w:tc>
          <w:tcPr>
            <w:tcW w:w="1723"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ALL OTHER</w:t>
            </w:r>
          </w:p>
          <w:p>
            <w:pPr>
              <w:pStyle w:val="TableContents"/>
              <w:bidi w:val="0"/>
              <w:spacing w:lineRule="auto" w:line="240" w:before="0" w:after="0"/>
              <w:jc w:val="center"/>
              <w:rPr/>
            </w:pPr>
            <w:r>
              <w:rPr>
                <w:rFonts w:ascii="Arial;sans-serif" w:hAnsi="Arial;sans-serif"/>
                <w:b/>
                <w:color w:val="003273"/>
                <w:sz w:val="16"/>
              </w:rPr>
              <w:t>COMPENSATION</w:t>
            </w:r>
            <w:r>
              <w:rPr>
                <w:rFonts w:ascii="Arial;sans-serif" w:hAnsi="Arial;sans-serif"/>
                <w:b w:val="false"/>
                <w:color w:val="003273"/>
                <w:sz w:val="10"/>
              </w:rPr>
              <w:t>(4)</w:t>
            </w:r>
          </w:p>
          <w:p>
            <w:pPr>
              <w:pStyle w:val="TableContents"/>
              <w:bidi w:val="0"/>
              <w:spacing w:lineRule="auto" w:line="288" w:before="0" w:after="0"/>
              <w:jc w:val="center"/>
              <w:rPr>
                <w:rFonts w:ascii="Arial;sans-serif" w:hAnsi="Arial;sans-serif"/>
                <w:b/>
                <w:color w:val="003273"/>
                <w:sz w:val="16"/>
              </w:rPr>
            </w:pPr>
            <w:r>
              <w:rPr>
                <w:rFonts w:ascii="Arial;sans-serif" w:hAnsi="Arial;sans-serif"/>
                <w:b/>
                <w:color w:val="003273"/>
                <w:sz w:val="16"/>
              </w:rPr>
              <w:t>($)</w:t>
            </w:r>
          </w:p>
        </w:tc>
        <w:tc>
          <w:tcPr>
            <w:tcW w:w="1167"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3273"/>
                <w:sz w:val="16"/>
              </w:rPr>
            </w:pPr>
            <w:r>
              <w:rPr>
                <w:rFonts w:ascii="Arial;sans-serif" w:hAnsi="Arial;sans-serif"/>
                <w:b/>
                <w:color w:val="003273"/>
                <w:sz w:val="16"/>
              </w:rPr>
              <w:t>TOTAL</w:t>
              <w:br/>
              <w:t>($)</w:t>
            </w:r>
          </w:p>
        </w:tc>
      </w:tr>
      <w:tr>
        <w:trPr/>
        <w:tc>
          <w:tcPr>
            <w:tcW w:w="2107" w:type="dxa"/>
            <w:gridSpan w:val="3"/>
            <w:vMerge w:val="restart"/>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3273"/>
                <w:sz w:val="19"/>
              </w:rPr>
            </w:pPr>
            <w:r>
              <w:rPr>
                <w:rFonts w:ascii="Arial;sans-serif" w:hAnsi="Arial;sans-serif"/>
                <w:b w:val="false"/>
                <w:color w:val="003273"/>
                <w:sz w:val="19"/>
              </w:rPr>
              <w:t>Frank N. D’Orazio,</w:t>
            </w:r>
          </w:p>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Chief Executive Officer</w:t>
            </w:r>
          </w:p>
        </w:tc>
        <w:tc>
          <w:tcPr>
            <w:tcW w:w="637"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914"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990,791</w:t>
            </w:r>
          </w:p>
        </w:tc>
        <w:tc>
          <w:tcPr>
            <w:tcW w:w="919"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5"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966,618</w:t>
            </w:r>
          </w:p>
        </w:tc>
        <w:tc>
          <w:tcPr>
            <w:tcW w:w="1723"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934,891</w:t>
            </w:r>
          </w:p>
        </w:tc>
        <w:tc>
          <w:tcPr>
            <w:tcW w:w="1723"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37,988</w:t>
            </w:r>
          </w:p>
        </w:tc>
        <w:tc>
          <w:tcPr>
            <w:tcW w:w="1167"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2,930,288</w:t>
            </w:r>
          </w:p>
        </w:tc>
      </w:tr>
      <w:tr>
        <w:trPr/>
        <w:tc>
          <w:tcPr>
            <w:tcW w:w="2107" w:type="dxa"/>
            <w:gridSpan w:val="3"/>
            <w:vMerge w:val="continue"/>
            <w:tcBorders/>
            <w:tcMar>
              <w:top w:w="0" w:type="dxa"/>
              <w:left w:w="0" w:type="dxa"/>
              <w:bottom w:w="0" w:type="dxa"/>
              <w:right w:w="0" w:type="dxa"/>
            </w:tcMar>
            <w:vAlign w:val="center"/>
          </w:tcPr>
          <w:p>
            <w:pPr>
              <w:pStyle w:val="Normal"/>
              <w:bidi w:val="0"/>
              <w:jc w:val="left"/>
              <w:rPr/>
            </w:pPr>
            <w:r>
              <w:rPr/>
            </w:r>
          </w:p>
        </w:tc>
        <w:tc>
          <w:tcPr>
            <w:tcW w:w="637"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2024</w:t>
            </w:r>
          </w:p>
        </w:tc>
        <w:tc>
          <w:tcPr>
            <w:tcW w:w="914"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966,625</w:t>
            </w:r>
          </w:p>
        </w:tc>
        <w:tc>
          <w:tcPr>
            <w:tcW w:w="919"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5"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966,613</w:t>
            </w:r>
          </w:p>
        </w:tc>
        <w:tc>
          <w:tcPr>
            <w:tcW w:w="1723"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745,268</w:t>
            </w:r>
          </w:p>
        </w:tc>
        <w:tc>
          <w:tcPr>
            <w:tcW w:w="1723"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30,747</w:t>
            </w:r>
          </w:p>
        </w:tc>
        <w:tc>
          <w:tcPr>
            <w:tcW w:w="1167"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2,709,253</w:t>
            </w:r>
          </w:p>
        </w:tc>
      </w:tr>
      <w:tr>
        <w:trPr/>
        <w:tc>
          <w:tcPr>
            <w:tcW w:w="2107" w:type="dxa"/>
            <w:gridSpan w:val="3"/>
            <w:vMerge w:val="continue"/>
            <w:tcBorders/>
            <w:tcMar>
              <w:top w:w="0" w:type="dxa"/>
              <w:left w:w="0" w:type="dxa"/>
              <w:bottom w:w="0" w:type="dxa"/>
              <w:right w:w="0" w:type="dxa"/>
            </w:tcMar>
            <w:vAlign w:val="center"/>
          </w:tcPr>
          <w:p>
            <w:pPr>
              <w:pStyle w:val="Normal"/>
              <w:bidi w:val="0"/>
              <w:jc w:val="left"/>
              <w:rPr/>
            </w:pPr>
            <w:r>
              <w:rPr/>
            </w:r>
          </w:p>
        </w:tc>
        <w:tc>
          <w:tcPr>
            <w:tcW w:w="637"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2023</w:t>
            </w:r>
          </w:p>
        </w:tc>
        <w:tc>
          <w:tcPr>
            <w:tcW w:w="914"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959,318</w:t>
            </w:r>
          </w:p>
        </w:tc>
        <w:tc>
          <w:tcPr>
            <w:tcW w:w="919"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5"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924,967</w:t>
            </w:r>
          </w:p>
        </w:tc>
        <w:tc>
          <w:tcPr>
            <w:tcW w:w="1723"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773,300</w:t>
            </w:r>
          </w:p>
        </w:tc>
        <w:tc>
          <w:tcPr>
            <w:tcW w:w="1723"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63,106</w:t>
            </w:r>
          </w:p>
        </w:tc>
        <w:tc>
          <w:tcPr>
            <w:tcW w:w="1167"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2,720,691</w:t>
            </w:r>
          </w:p>
        </w:tc>
      </w:tr>
      <w:tr>
        <w:trPr/>
        <w:tc>
          <w:tcPr>
            <w:tcW w:w="2107" w:type="dxa"/>
            <w:gridSpan w:val="3"/>
            <w:vMerge w:val="restart"/>
            <w:tcBorders>
              <w:top w:val="single" w:sz="4" w:space="0" w:color="C8C9CB"/>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3273"/>
                <w:sz w:val="19"/>
              </w:rPr>
            </w:pPr>
            <w:r>
              <w:rPr>
                <w:rFonts w:ascii="Arial;sans-serif" w:hAnsi="Arial;sans-serif"/>
                <w:b w:val="false"/>
                <w:color w:val="003273"/>
                <w:sz w:val="19"/>
              </w:rPr>
              <w:t>Sarah C. Doran,</w:t>
            </w:r>
          </w:p>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Chief Financial Officer</w:t>
            </w:r>
          </w:p>
        </w:tc>
        <w:tc>
          <w:tcPr>
            <w:tcW w:w="637"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91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586,300</w:t>
            </w:r>
          </w:p>
        </w:tc>
        <w:tc>
          <w:tcPr>
            <w:tcW w:w="91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286,000</w:t>
            </w:r>
          </w:p>
        </w:tc>
        <w:tc>
          <w:tcPr>
            <w:tcW w:w="101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571,997</w:t>
            </w:r>
          </w:p>
        </w:tc>
        <w:tc>
          <w:tcPr>
            <w:tcW w:w="1723"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553,221</w:t>
            </w:r>
          </w:p>
        </w:tc>
        <w:tc>
          <w:tcPr>
            <w:tcW w:w="1723"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29,773</w:t>
            </w:r>
          </w:p>
        </w:tc>
        <w:tc>
          <w:tcPr>
            <w:tcW w:w="1167"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2,027,291</w:t>
            </w:r>
          </w:p>
        </w:tc>
      </w:tr>
      <w:tr>
        <w:trPr/>
        <w:tc>
          <w:tcPr>
            <w:tcW w:w="2107"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637"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2024</w:t>
            </w:r>
          </w:p>
        </w:tc>
        <w:tc>
          <w:tcPr>
            <w:tcW w:w="914"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572,000</w:t>
            </w:r>
          </w:p>
        </w:tc>
        <w:tc>
          <w:tcPr>
            <w:tcW w:w="919"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286,000</w:t>
            </w:r>
          </w:p>
        </w:tc>
        <w:tc>
          <w:tcPr>
            <w:tcW w:w="1015"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571,987</w:t>
            </w:r>
          </w:p>
        </w:tc>
        <w:tc>
          <w:tcPr>
            <w:tcW w:w="1723"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441,012</w:t>
            </w:r>
          </w:p>
        </w:tc>
        <w:tc>
          <w:tcPr>
            <w:tcW w:w="1723"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28,444</w:t>
            </w:r>
          </w:p>
        </w:tc>
        <w:tc>
          <w:tcPr>
            <w:tcW w:w="1167"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1,899,443</w:t>
            </w:r>
          </w:p>
        </w:tc>
      </w:tr>
      <w:tr>
        <w:trPr/>
        <w:tc>
          <w:tcPr>
            <w:tcW w:w="2107"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637"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2023</w:t>
            </w:r>
          </w:p>
        </w:tc>
        <w:tc>
          <w:tcPr>
            <w:tcW w:w="914"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568,333</w:t>
            </w:r>
          </w:p>
        </w:tc>
        <w:tc>
          <w:tcPr>
            <w:tcW w:w="919"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5"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549,985</w:t>
            </w:r>
          </w:p>
        </w:tc>
        <w:tc>
          <w:tcPr>
            <w:tcW w:w="1723"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457,600</w:t>
            </w:r>
          </w:p>
        </w:tc>
        <w:tc>
          <w:tcPr>
            <w:tcW w:w="1723"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41,170</w:t>
            </w:r>
          </w:p>
        </w:tc>
        <w:tc>
          <w:tcPr>
            <w:tcW w:w="1167"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1,617,088</w:t>
            </w:r>
          </w:p>
        </w:tc>
      </w:tr>
      <w:tr>
        <w:trPr/>
        <w:tc>
          <w:tcPr>
            <w:tcW w:w="2107" w:type="dxa"/>
            <w:gridSpan w:val="3"/>
            <w:vMerge w:val="restart"/>
            <w:tcBorders>
              <w:top w:val="single" w:sz="4" w:space="0" w:color="C8C9CB"/>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3273"/>
                <w:sz w:val="19"/>
              </w:rPr>
            </w:pPr>
            <w:r>
              <w:rPr>
                <w:rFonts w:ascii="Arial;sans-serif" w:hAnsi="Arial;sans-serif"/>
                <w:b w:val="false"/>
                <w:color w:val="003273"/>
                <w:sz w:val="19"/>
              </w:rPr>
              <w:t>Richard J. Schmitzer,</w:t>
            </w:r>
          </w:p>
          <w:p>
            <w:pPr>
              <w:pStyle w:val="TableContents"/>
              <w:bidi w:val="0"/>
              <w:spacing w:lineRule="auto" w:line="288" w:before="0" w:after="0"/>
              <w:jc w:val="left"/>
              <w:rPr/>
            </w:pPr>
            <w:r>
              <w:rPr>
                <w:rFonts w:ascii="Arial;sans-serif" w:hAnsi="Arial;sans-serif"/>
                <w:b w:val="false"/>
                <w:color w:val="000000"/>
                <w:sz w:val="19"/>
              </w:rPr>
              <w:t>Former President and Chief Executive Officer, E&amp;S Segment</w:t>
            </w:r>
            <w:r>
              <w:rPr>
                <w:rFonts w:ascii="Arial;sans-serif" w:hAnsi="Arial;sans-serif"/>
                <w:b w:val="false"/>
                <w:color w:val="000000"/>
                <w:sz w:val="12"/>
              </w:rPr>
              <w:t>(5)</w:t>
            </w:r>
          </w:p>
        </w:tc>
        <w:tc>
          <w:tcPr>
            <w:tcW w:w="637"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91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463,479</w:t>
            </w:r>
          </w:p>
        </w:tc>
        <w:tc>
          <w:tcPr>
            <w:tcW w:w="91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334,978</w:t>
            </w:r>
          </w:p>
        </w:tc>
        <w:tc>
          <w:tcPr>
            <w:tcW w:w="101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669,951</w:t>
            </w:r>
          </w:p>
        </w:tc>
        <w:tc>
          <w:tcPr>
            <w:tcW w:w="1723"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421,869</w:t>
            </w:r>
          </w:p>
        </w:tc>
        <w:tc>
          <w:tcPr>
            <w:tcW w:w="1723"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35,533</w:t>
            </w:r>
          </w:p>
        </w:tc>
        <w:tc>
          <w:tcPr>
            <w:tcW w:w="1167"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1,925,810</w:t>
            </w:r>
          </w:p>
        </w:tc>
      </w:tr>
      <w:tr>
        <w:trPr/>
        <w:tc>
          <w:tcPr>
            <w:tcW w:w="2107"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637"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2024</w:t>
            </w:r>
          </w:p>
        </w:tc>
        <w:tc>
          <w:tcPr>
            <w:tcW w:w="914"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669,955</w:t>
            </w:r>
          </w:p>
        </w:tc>
        <w:tc>
          <w:tcPr>
            <w:tcW w:w="919"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334,978</w:t>
            </w:r>
          </w:p>
        </w:tc>
        <w:tc>
          <w:tcPr>
            <w:tcW w:w="1015"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669,948</w:t>
            </w:r>
          </w:p>
        </w:tc>
        <w:tc>
          <w:tcPr>
            <w:tcW w:w="1723"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395,943</w:t>
            </w:r>
          </w:p>
        </w:tc>
        <w:tc>
          <w:tcPr>
            <w:tcW w:w="1723"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29,763</w:t>
            </w:r>
          </w:p>
        </w:tc>
        <w:tc>
          <w:tcPr>
            <w:tcW w:w="1167"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2,100,587</w:t>
            </w:r>
          </w:p>
        </w:tc>
      </w:tr>
      <w:tr>
        <w:trPr/>
        <w:tc>
          <w:tcPr>
            <w:tcW w:w="2107"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637"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2023</w:t>
            </w:r>
          </w:p>
        </w:tc>
        <w:tc>
          <w:tcPr>
            <w:tcW w:w="914"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666,629</w:t>
            </w:r>
          </w:p>
        </w:tc>
        <w:tc>
          <w:tcPr>
            <w:tcW w:w="919"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5"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650,000</w:t>
            </w:r>
          </w:p>
        </w:tc>
        <w:tc>
          <w:tcPr>
            <w:tcW w:w="1723"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556,063</w:t>
            </w:r>
          </w:p>
        </w:tc>
        <w:tc>
          <w:tcPr>
            <w:tcW w:w="1723"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76,509</w:t>
            </w:r>
          </w:p>
        </w:tc>
        <w:tc>
          <w:tcPr>
            <w:tcW w:w="1167"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1,949,201</w:t>
            </w:r>
          </w:p>
        </w:tc>
      </w:tr>
      <w:tr>
        <w:trPr/>
        <w:tc>
          <w:tcPr>
            <w:tcW w:w="2107" w:type="dxa"/>
            <w:gridSpan w:val="3"/>
            <w:vMerge w:val="restart"/>
            <w:tcBorders>
              <w:top w:val="single" w:sz="4" w:space="0" w:color="C8C9CB"/>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3273"/>
                <w:sz w:val="19"/>
              </w:rPr>
            </w:pPr>
            <w:r>
              <w:rPr>
                <w:rFonts w:ascii="Arial;sans-serif" w:hAnsi="Arial;sans-serif"/>
                <w:b w:val="false"/>
                <w:color w:val="003273"/>
                <w:sz w:val="19"/>
              </w:rPr>
              <w:t>Michael J. Hoffmann,</w:t>
            </w:r>
          </w:p>
          <w:p>
            <w:pPr>
              <w:pStyle w:val="TableContents"/>
              <w:bidi w:val="0"/>
              <w:spacing w:lineRule="auto" w:line="276" w:before="0" w:after="0"/>
              <w:jc w:val="left"/>
              <w:rPr>
                <w:rFonts w:ascii="Arial;sans-serif" w:hAnsi="Arial;sans-serif"/>
                <w:b w:val="false"/>
                <w:color w:val="000000"/>
                <w:sz w:val="19"/>
              </w:rPr>
            </w:pPr>
            <w:r>
              <w:rPr>
                <w:rFonts w:ascii="Arial;sans-serif" w:hAnsi="Arial;sans-serif"/>
                <w:b w:val="false"/>
                <w:color w:val="000000"/>
                <w:sz w:val="19"/>
              </w:rPr>
              <w:t>Group Chief Underwriting Officer</w:t>
            </w:r>
          </w:p>
        </w:tc>
        <w:tc>
          <w:tcPr>
            <w:tcW w:w="637"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91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453,050</w:t>
            </w:r>
          </w:p>
        </w:tc>
        <w:tc>
          <w:tcPr>
            <w:tcW w:w="91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165,750</w:t>
            </w:r>
          </w:p>
        </w:tc>
        <w:tc>
          <w:tcPr>
            <w:tcW w:w="101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441,997</w:t>
            </w:r>
          </w:p>
        </w:tc>
        <w:tc>
          <w:tcPr>
            <w:tcW w:w="1723"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320,617</w:t>
            </w:r>
          </w:p>
        </w:tc>
        <w:tc>
          <w:tcPr>
            <w:tcW w:w="1723"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33,921</w:t>
            </w:r>
          </w:p>
        </w:tc>
        <w:tc>
          <w:tcPr>
            <w:tcW w:w="1167"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1,415,335</w:t>
            </w:r>
          </w:p>
        </w:tc>
      </w:tr>
      <w:tr>
        <w:trPr/>
        <w:tc>
          <w:tcPr>
            <w:tcW w:w="2107"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637"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2024</w:t>
            </w:r>
          </w:p>
        </w:tc>
        <w:tc>
          <w:tcPr>
            <w:tcW w:w="914"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442,000</w:t>
            </w:r>
          </w:p>
        </w:tc>
        <w:tc>
          <w:tcPr>
            <w:tcW w:w="919"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165,750</w:t>
            </w:r>
          </w:p>
        </w:tc>
        <w:tc>
          <w:tcPr>
            <w:tcW w:w="1015"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442,000</w:t>
            </w:r>
          </w:p>
        </w:tc>
        <w:tc>
          <w:tcPr>
            <w:tcW w:w="1723"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255,586</w:t>
            </w:r>
          </w:p>
        </w:tc>
        <w:tc>
          <w:tcPr>
            <w:tcW w:w="1723"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30,825</w:t>
            </w:r>
          </w:p>
        </w:tc>
        <w:tc>
          <w:tcPr>
            <w:tcW w:w="1167"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1,336,161</w:t>
            </w:r>
          </w:p>
        </w:tc>
      </w:tr>
      <w:tr>
        <w:trPr/>
        <w:tc>
          <w:tcPr>
            <w:tcW w:w="2107"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637"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2023</w:t>
            </w:r>
          </w:p>
        </w:tc>
        <w:tc>
          <w:tcPr>
            <w:tcW w:w="914"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439,167</w:t>
            </w:r>
          </w:p>
        </w:tc>
        <w:tc>
          <w:tcPr>
            <w:tcW w:w="919"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15"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424,990</w:t>
            </w:r>
          </w:p>
        </w:tc>
        <w:tc>
          <w:tcPr>
            <w:tcW w:w="1723"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265,200</w:t>
            </w:r>
          </w:p>
        </w:tc>
        <w:tc>
          <w:tcPr>
            <w:tcW w:w="1723"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27,884</w:t>
            </w:r>
          </w:p>
        </w:tc>
        <w:tc>
          <w:tcPr>
            <w:tcW w:w="1167"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1,157,241</w:t>
            </w:r>
          </w:p>
        </w:tc>
      </w:tr>
      <w:tr>
        <w:trPr/>
        <w:tc>
          <w:tcPr>
            <w:tcW w:w="2107"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3273"/>
                <w:sz w:val="19"/>
              </w:rPr>
            </w:pPr>
            <w:r>
              <w:rPr>
                <w:rFonts w:ascii="Arial;sans-serif" w:hAnsi="Arial;sans-serif"/>
                <w:b w:val="false"/>
                <w:color w:val="003273"/>
                <w:sz w:val="19"/>
              </w:rPr>
              <w:t>Jeanette L. Miller,</w:t>
            </w:r>
          </w:p>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Chief Legal Officer</w:t>
            </w:r>
          </w:p>
        </w:tc>
        <w:tc>
          <w:tcPr>
            <w:tcW w:w="637"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91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369,000</w:t>
            </w:r>
          </w:p>
        </w:tc>
        <w:tc>
          <w:tcPr>
            <w:tcW w:w="91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135,000</w:t>
            </w:r>
          </w:p>
        </w:tc>
        <w:tc>
          <w:tcPr>
            <w:tcW w:w="101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269,994</w:t>
            </w:r>
          </w:p>
        </w:tc>
        <w:tc>
          <w:tcPr>
            <w:tcW w:w="1723"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261,136</w:t>
            </w:r>
          </w:p>
        </w:tc>
        <w:tc>
          <w:tcPr>
            <w:tcW w:w="1723"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24,639</w:t>
            </w:r>
          </w:p>
        </w:tc>
        <w:tc>
          <w:tcPr>
            <w:tcW w:w="1167"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1,059,769</w:t>
            </w:r>
          </w:p>
        </w:tc>
      </w:tr>
      <w:tr>
        <w:trPr/>
        <w:tc>
          <w:tcPr>
            <w:tcW w:w="2107"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3273"/>
                <w:sz w:val="19"/>
              </w:rPr>
            </w:pPr>
            <w:r>
              <w:rPr>
                <w:rFonts w:ascii="Arial;sans-serif" w:hAnsi="Arial;sans-serif"/>
                <w:b w:val="false"/>
                <w:color w:val="003273"/>
                <w:sz w:val="19"/>
              </w:rPr>
              <w:t>Todd R. Sutherland,</w:t>
            </w:r>
          </w:p>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President of the E&amp;S Segment</w:t>
            </w:r>
          </w:p>
        </w:tc>
        <w:tc>
          <w:tcPr>
            <w:tcW w:w="637"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914"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375,119</w:t>
            </w:r>
          </w:p>
        </w:tc>
        <w:tc>
          <w:tcPr>
            <w:tcW w:w="919"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52,000</w:t>
            </w:r>
          </w:p>
        </w:tc>
        <w:tc>
          <w:tcPr>
            <w:tcW w:w="1015"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249,998</w:t>
            </w:r>
          </w:p>
        </w:tc>
        <w:tc>
          <w:tcPr>
            <w:tcW w:w="1723"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295,620</w:t>
            </w:r>
          </w:p>
        </w:tc>
        <w:tc>
          <w:tcPr>
            <w:tcW w:w="1723"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22,353</w:t>
            </w:r>
          </w:p>
        </w:tc>
        <w:tc>
          <w:tcPr>
            <w:tcW w:w="1167"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995,090</w:t>
            </w:r>
          </w:p>
        </w:tc>
      </w:tr>
      <w:tr>
        <w:trPr/>
        <w:tc>
          <w:tcPr>
            <w:tcW w:w="10205" w:type="dxa"/>
            <w:gridSpan w:val="24"/>
            <w:tcBorders>
              <w:top w:val="single" w:sz="4" w:space="0" w:color="C8C9C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jc w:val="both"/>
              <w:rPr/>
            </w:pPr>
            <w:r>
              <w:rPr>
                <w:rFonts w:ascii="Arial;sans-serif" w:hAnsi="Arial;sans-serif"/>
                <w:b w:val="false"/>
                <w:color w:val="000000"/>
                <w:sz w:val="19"/>
              </w:rPr>
              <w:t xml:space="preserve">(1) </w:t>
            </w:r>
            <w:r>
              <w:rPr>
                <w:rFonts w:ascii="Arial;sans-serif" w:hAnsi="Arial;sans-serif"/>
                <w:b w:val="false"/>
                <w:color w:val="000000"/>
                <w:sz w:val="19"/>
                <w:shd w:fill="FFFFFF" w:val="clear"/>
              </w:rPr>
              <w:t xml:space="preserve">Represents amount of retention award paid in 2025 to Ms. Doran, Mr. Schmitzer, Mr. Hoffmann and Ms. Miller pursuant to a cash retention award granted by the Board of Directors of the Company on July 25, 2024. </w:t>
            </w:r>
            <w:r>
              <w:rPr>
                <w:rFonts w:ascii="Arial;sans-serif" w:hAnsi="Arial;sans-serif"/>
                <w:b w:val="false"/>
                <w:color w:val="000000"/>
                <w:sz w:val="19"/>
              </w:rPr>
              <w:t xml:space="preserve">Please see “Item 11 – Compensation Discussion &amp; Analysis IV. Compensation Program Components – 2024 One-Time Retention Awards” for further detail. For Mr. Sutherland, this amount </w:t>
            </w:r>
            <w:r>
              <w:rPr>
                <w:rFonts w:ascii="Arial;sans-serif" w:hAnsi="Arial;sans-serif"/>
                <w:b w:val="false"/>
                <w:color w:val="000000"/>
                <w:sz w:val="19"/>
                <w:shd w:fill="FFFFFF" w:val="clear"/>
              </w:rPr>
              <w:t>represents the first vested tranche of the cash incentive award granted to him in 2024 under the 2014 LTIP prior to his appointment as President of the E&amp;S Segment, which award vests in equal annual installments over three years.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19"/>
              </w:rPr>
            </w:pPr>
            <w:r>
              <w:rPr>
                <w:rFonts w:ascii="Arial;sans-serif" w:hAnsi="Arial;sans-serif"/>
                <w:b w:val="false"/>
                <w:color w:val="000000"/>
                <w:sz w:val="19"/>
              </w:rPr>
              <w:t>(2) Represents the aggregate grant date fair value of PRSUs and Service-Based RSUs awarded to our named executive officers in 2025 under the 2014 LTIP, computed in accordance with FASB ASC Topic 718. For the PRSUs, the value at the grant date is based upon the probable outcome of the performance conditions, excluding the effect of estimated forfeitures. For the Service-Based RSUs, the value is based on the closing price of the Company’s common stock on the date of grant. Assuming the maximum level of performance is achieved, the value at the grant date for the PRSUs awarded to each of Mr. D’Orazio, Ms. Doran, Mr. Schmitzer, Mr. Hoffmann and Ms. Miller in 2025 would be $966,625, $572,000, $669,955, $442,000, and $270,000, respectively. Mr. Sutherland did not receive a PRSU award in 2025. See Note 14 — “Equity Awards” in the Company’s Annual Report on Form 10-K for the year ended December 31, 2025, for a description of the assumptions that were used in determining the dollar amounts recognized for financial statement reporting purposes of equity awards. Upon his retirement on October 15, 2025, Mr. Schmitzer forfeited a portion of the grant-date value of the PRSUs and Service-Based RSUs equal to $470,190 of his 2025 grant, $246,578 of his 2024 grant and $22,546 of his 2023 grant.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19"/>
              </w:rPr>
            </w:pPr>
            <w:r>
              <w:rPr>
                <w:rFonts w:ascii="Arial;sans-serif" w:hAnsi="Arial;sans-serif"/>
                <w:b w:val="false"/>
                <w:color w:val="000000"/>
                <w:sz w:val="19"/>
              </w:rPr>
              <w:t>(3) Represents the annual cash incentive awards paid to each of our named executive officers pursuant to the STI Plan, which are based on the achievement of financial and strategic performance metrics. See “Item 11 - Compensation Discussion &amp; Analysis IV. Compensation Program Components – Short-Term Incentives” for further detail. For Mr. Schmitzer, the amount for 2025 represents a pro-rated payment of his STI Plan award in connection with his retirement from the Company based upon the level of achievement of the performance goals for such fiscal year, with such pro-rated amounts determined based upon the period he was employed by the Company during 2025.</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9"/>
              </w:rPr>
            </w:pPr>
            <w:r>
              <w:rPr>
                <w:rFonts w:ascii="Arial;sans-serif" w:hAnsi="Arial;sans-serif"/>
                <w:b w:val="false"/>
                <w:color w:val="000000"/>
                <w:sz w:val="19"/>
              </w:rPr>
              <w:t>(4) See the immediately following table for a description of the compensation included in the “All Other Compensation” column.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19"/>
              </w:rPr>
            </w:pPr>
            <w:r>
              <w:rPr>
                <w:rFonts w:ascii="Arial;sans-serif" w:hAnsi="Arial;sans-serif"/>
                <w:b w:val="false"/>
                <w:color w:val="000000"/>
                <w:sz w:val="19"/>
              </w:rPr>
              <w:t>(5) Mr. Schmitzer stepped down as President and Chief Executive Officer of the E&amp;S Segment effective May 5, 2025 and July 31, 2025, respectively, and retired from the Company on October 15, 2025.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before="0" w:after="0"/>
        <w:jc w:val="center"/>
        <w:rPr/>
      </w:pPr>
      <w:r>
        <w:rPr/>
      </w:r>
    </w:p>
    <w:p>
      <w:pPr>
        <w:pStyle w:val="TextBody"/>
        <w:bidi w:val="0"/>
        <w:spacing w:lineRule="auto" w:line="288" w:before="120" w:after="240"/>
        <w:jc w:val="both"/>
        <w:rPr>
          <w:rFonts w:ascii="Arial;sans-serif" w:hAnsi="Arial;sans-serif"/>
          <w:b w:val="false"/>
          <w:color w:val="000000"/>
          <w:sz w:val="19"/>
        </w:rPr>
      </w:pPr>
      <w:r>
        <w:rPr>
          <w:rFonts w:ascii="Arial;sans-serif" w:hAnsi="Arial;sans-serif"/>
          <w:b w:val="false"/>
          <w:color w:val="000000"/>
          <w:sz w:val="19"/>
        </w:rPr>
        <w:t>The following table provides a description of the compensation included in the "All Other Compensation" column of the Summary Compensation Table:</w:t>
      </w:r>
    </w:p>
    <w:tbl>
      <w:tblPr>
        <w:tblW w:w="10205" w:type="dxa"/>
        <w:jc w:val="center"/>
        <w:tblInd w:w="0" w:type="dxa"/>
        <w:tblLayout w:type="fixed"/>
        <w:tblCellMar>
          <w:top w:w="28" w:type="dxa"/>
          <w:left w:w="28" w:type="dxa"/>
          <w:bottom w:w="28" w:type="dxa"/>
          <w:right w:w="28" w:type="dxa"/>
        </w:tblCellMar>
      </w:tblPr>
      <w:tblGrid>
        <w:gridCol w:w="936"/>
        <w:gridCol w:w="741"/>
        <w:gridCol w:w="755"/>
        <w:gridCol w:w="690"/>
        <w:gridCol w:w="690"/>
        <w:gridCol w:w="691"/>
        <w:gridCol w:w="770"/>
        <w:gridCol w:w="770"/>
        <w:gridCol w:w="773"/>
        <w:gridCol w:w="384"/>
        <w:gridCol w:w="384"/>
        <w:gridCol w:w="386"/>
        <w:gridCol w:w="651"/>
        <w:gridCol w:w="651"/>
        <w:gridCol w:w="933"/>
      </w:tblGrid>
      <w:tr>
        <w:trPr/>
        <w:tc>
          <w:tcPr>
            <w:tcW w:w="93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2432" w:type="dxa"/>
            <w:gridSpan w:val="3"/>
            <w:tcBorders>
              <w:top w:val="single" w:sz="24" w:space="0" w:color="053273"/>
            </w:tcBorders>
            <w:shd w:fill="F3F3F4"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273"/>
                <w:sz w:val="17"/>
              </w:rPr>
            </w:pPr>
            <w:r>
              <w:rPr>
                <w:rFonts w:ascii="Arial;sans-serif" w:hAnsi="Arial;sans-serif"/>
                <w:b/>
                <w:color w:val="003273"/>
                <w:sz w:val="17"/>
              </w:rPr>
              <w:t>NAME</w:t>
            </w:r>
          </w:p>
        </w:tc>
        <w:tc>
          <w:tcPr>
            <w:tcW w:w="2071"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3273"/>
                <w:sz w:val="17"/>
              </w:rPr>
            </w:pPr>
            <w:r>
              <w:rPr>
                <w:rFonts w:ascii="Arial;sans-serif" w:hAnsi="Arial;sans-serif"/>
                <w:b/>
                <w:color w:val="003273"/>
                <w:sz w:val="17"/>
              </w:rPr>
              <w:t>401(K) PLAN</w:t>
              <w:br/>
              <w:t>COMPANY</w:t>
              <w:br/>
              <w:t>CONTRIBUTION</w:t>
              <w:br/>
              <w:t>($)</w:t>
            </w:r>
          </w:p>
        </w:tc>
        <w:tc>
          <w:tcPr>
            <w:tcW w:w="2313"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3273"/>
                <w:sz w:val="17"/>
              </w:rPr>
            </w:pPr>
            <w:r>
              <w:rPr>
                <w:rFonts w:ascii="Arial;sans-serif" w:hAnsi="Arial;sans-serif"/>
                <w:b/>
                <w:color w:val="003273"/>
                <w:sz w:val="17"/>
              </w:rPr>
              <w:t>ACCRUED DIVIDENDS</w:t>
              <w:br/>
              <w:t>PAID UPON VESTING</w:t>
              <w:br/>
              <w:t>OF RSUS</w:t>
              <w:br/>
              <w:t>($)</w:t>
            </w:r>
          </w:p>
        </w:tc>
        <w:tc>
          <w:tcPr>
            <w:tcW w:w="1154"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color w:val="003273"/>
                <w:sz w:val="17"/>
              </w:rPr>
              <w:t>OTHER</w:t>
            </w:r>
            <w:r>
              <w:rPr>
                <w:rFonts w:ascii="Arial;sans-serif" w:hAnsi="Arial;sans-serif"/>
                <w:b/>
                <w:color w:val="003273"/>
                <w:sz w:val="11"/>
              </w:rPr>
              <w:t>(a)</w:t>
            </w:r>
          </w:p>
          <w:p>
            <w:pPr>
              <w:pStyle w:val="TableContents"/>
              <w:bidi w:val="0"/>
              <w:spacing w:lineRule="auto" w:line="240" w:before="0" w:after="0"/>
              <w:jc w:val="center"/>
              <w:rPr>
                <w:rFonts w:ascii="Arial;sans-serif" w:hAnsi="Arial;sans-serif"/>
                <w:b/>
                <w:color w:val="003273"/>
                <w:sz w:val="17"/>
              </w:rPr>
            </w:pPr>
            <w:r>
              <w:rPr>
                <w:rFonts w:ascii="Arial;sans-serif" w:hAnsi="Arial;sans-serif"/>
                <w:b/>
                <w:color w:val="003273"/>
                <w:sz w:val="17"/>
              </w:rPr>
              <w:t>($)</w:t>
            </w:r>
          </w:p>
        </w:tc>
        <w:tc>
          <w:tcPr>
            <w:tcW w:w="2235"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3273"/>
                <w:sz w:val="17"/>
              </w:rPr>
            </w:pPr>
            <w:r>
              <w:rPr>
                <w:rFonts w:ascii="Arial;sans-serif" w:hAnsi="Arial;sans-serif"/>
                <w:b/>
                <w:color w:val="003273"/>
                <w:sz w:val="17"/>
              </w:rPr>
              <w:t>TOTAL</w:t>
              <w:br/>
              <w:t>ALL OTHER</w:t>
              <w:br/>
              <w:t>COMPENSATION</w:t>
              <w:br/>
              <w:t>($)</w:t>
            </w:r>
          </w:p>
        </w:tc>
      </w:tr>
      <w:tr>
        <w:trPr/>
        <w:tc>
          <w:tcPr>
            <w:tcW w:w="2432" w:type="dxa"/>
            <w:gridSpan w:val="3"/>
            <w:tcBorders>
              <w:top w:val="single" w:sz="12" w:space="0" w:color="636466"/>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Frank N. D’Orazio</w:t>
            </w:r>
          </w:p>
        </w:tc>
        <w:tc>
          <w:tcPr>
            <w:tcW w:w="2071"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21,000</w:t>
            </w:r>
          </w:p>
        </w:tc>
        <w:tc>
          <w:tcPr>
            <w:tcW w:w="2313"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16,475</w:t>
            </w:r>
          </w:p>
        </w:tc>
        <w:tc>
          <w:tcPr>
            <w:tcW w:w="1154"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513</w:t>
            </w:r>
          </w:p>
        </w:tc>
        <w:tc>
          <w:tcPr>
            <w:tcW w:w="2235"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37,988</w:t>
            </w:r>
          </w:p>
        </w:tc>
      </w:tr>
      <w:tr>
        <w:trPr/>
        <w:tc>
          <w:tcPr>
            <w:tcW w:w="2432"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Sarah C. Doran</w:t>
            </w:r>
          </w:p>
        </w:tc>
        <w:tc>
          <w:tcPr>
            <w:tcW w:w="207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21,000</w:t>
            </w:r>
          </w:p>
        </w:tc>
        <w:tc>
          <w:tcPr>
            <w:tcW w:w="2313"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8,260</w:t>
            </w:r>
          </w:p>
        </w:tc>
        <w:tc>
          <w:tcPr>
            <w:tcW w:w="115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513</w:t>
            </w:r>
          </w:p>
        </w:tc>
        <w:tc>
          <w:tcPr>
            <w:tcW w:w="223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29,773</w:t>
            </w:r>
          </w:p>
        </w:tc>
      </w:tr>
      <w:tr>
        <w:trPr/>
        <w:tc>
          <w:tcPr>
            <w:tcW w:w="2432"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Richard J. Schmitzer</w:t>
            </w:r>
          </w:p>
        </w:tc>
        <w:tc>
          <w:tcPr>
            <w:tcW w:w="207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21,000</w:t>
            </w:r>
          </w:p>
        </w:tc>
        <w:tc>
          <w:tcPr>
            <w:tcW w:w="2313"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14,020</w:t>
            </w:r>
          </w:p>
        </w:tc>
        <w:tc>
          <w:tcPr>
            <w:tcW w:w="115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513</w:t>
            </w:r>
          </w:p>
        </w:tc>
        <w:tc>
          <w:tcPr>
            <w:tcW w:w="223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35,533</w:t>
            </w:r>
          </w:p>
        </w:tc>
      </w:tr>
      <w:tr>
        <w:trPr/>
        <w:tc>
          <w:tcPr>
            <w:tcW w:w="2432"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Michael J. Hoffmann</w:t>
            </w:r>
          </w:p>
        </w:tc>
        <w:tc>
          <w:tcPr>
            <w:tcW w:w="207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21,000</w:t>
            </w:r>
          </w:p>
        </w:tc>
        <w:tc>
          <w:tcPr>
            <w:tcW w:w="2313"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5,508</w:t>
            </w:r>
          </w:p>
        </w:tc>
        <w:tc>
          <w:tcPr>
            <w:tcW w:w="115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7,413</w:t>
            </w:r>
          </w:p>
        </w:tc>
        <w:tc>
          <w:tcPr>
            <w:tcW w:w="223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33,921</w:t>
            </w:r>
          </w:p>
        </w:tc>
      </w:tr>
      <w:tr>
        <w:trPr/>
        <w:tc>
          <w:tcPr>
            <w:tcW w:w="2432"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Jeanette L. Miller</w:t>
            </w:r>
          </w:p>
        </w:tc>
        <w:tc>
          <w:tcPr>
            <w:tcW w:w="207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21,000</w:t>
            </w:r>
          </w:p>
        </w:tc>
        <w:tc>
          <w:tcPr>
            <w:tcW w:w="2313"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3,126</w:t>
            </w:r>
          </w:p>
        </w:tc>
        <w:tc>
          <w:tcPr>
            <w:tcW w:w="115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513</w:t>
            </w:r>
          </w:p>
        </w:tc>
        <w:tc>
          <w:tcPr>
            <w:tcW w:w="223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24,639</w:t>
            </w:r>
          </w:p>
        </w:tc>
      </w:tr>
      <w:tr>
        <w:trPr/>
        <w:tc>
          <w:tcPr>
            <w:tcW w:w="2432" w:type="dxa"/>
            <w:gridSpan w:val="3"/>
            <w:tcBorders>
              <w:top w:val="single" w:sz="4" w:space="0" w:color="C8C9CB"/>
              <w:bottom w:val="single" w:sz="4" w:space="0" w:color="C8C9CB"/>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Todd R. Sutherland</w:t>
            </w:r>
          </w:p>
        </w:tc>
        <w:tc>
          <w:tcPr>
            <w:tcW w:w="2071"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21,000</w:t>
            </w:r>
          </w:p>
        </w:tc>
        <w:tc>
          <w:tcPr>
            <w:tcW w:w="2313"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840</w:t>
            </w:r>
          </w:p>
        </w:tc>
        <w:tc>
          <w:tcPr>
            <w:tcW w:w="1154"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513</w:t>
            </w:r>
          </w:p>
        </w:tc>
        <w:tc>
          <w:tcPr>
            <w:tcW w:w="2235"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22,353</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both"/>
              <w:rPr/>
            </w:pPr>
            <w:r>
              <w:rPr>
                <w:rFonts w:ascii="Arial;sans-serif" w:hAnsi="Arial;sans-serif"/>
                <w:b w:val="false"/>
                <w:color w:val="000000"/>
                <w:sz w:val="19"/>
              </w:rPr>
              <w:t xml:space="preserve">(a) </w:t>
            </w:r>
            <w:r>
              <w:rPr>
                <w:rFonts w:ascii="Arial;sans-serif" w:hAnsi="Arial;sans-serif"/>
                <w:b w:val="false"/>
                <w:color w:val="000000"/>
                <w:sz w:val="19"/>
                <w:shd w:fill="FFFFFF" w:val="clear"/>
              </w:rPr>
              <w:t>The amount shown for each named executive officer includes company-paid life insurance. The amount shown for Mr. Hoffmann also includes tax preparation services.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240"/>
        <w:jc w:val="both"/>
        <w:rPr>
          <w:rFonts w:ascii="Arial;sans-serif" w:hAnsi="Arial;sans-serif"/>
          <w:b/>
          <w:color w:val="939598"/>
          <w:sz w:val="24"/>
        </w:rPr>
      </w:pPr>
      <w:r>
        <w:rPr>
          <w:rFonts w:ascii="Arial;sans-serif" w:hAnsi="Arial;sans-serif"/>
          <w:b/>
          <w:color w:val="939598"/>
          <w:sz w:val="24"/>
        </w:rPr>
        <w:t>Grants of Plan-Based Awards</w: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The following table provides information regarding grants of non-equity awards to our named executive officers under the STI Plan and equity awards under the 2014 LTIP during 2025. All equity awards granted to our named executive officers in 2025 were in the form of Service-Based RSUs and PRSUs.</w:t>
      </w:r>
    </w:p>
    <w:tbl>
      <w:tblPr>
        <w:tblW w:w="10205" w:type="dxa"/>
        <w:jc w:val="center"/>
        <w:tblInd w:w="0" w:type="dxa"/>
        <w:tblLayout w:type="fixed"/>
        <w:tblCellMar>
          <w:top w:w="28" w:type="dxa"/>
          <w:left w:w="28" w:type="dxa"/>
          <w:bottom w:w="28" w:type="dxa"/>
          <w:right w:w="28" w:type="dxa"/>
        </w:tblCellMar>
      </w:tblPr>
      <w:tblGrid>
        <w:gridCol w:w="524"/>
        <w:gridCol w:w="305"/>
        <w:gridCol w:w="308"/>
        <w:gridCol w:w="221"/>
        <w:gridCol w:w="221"/>
        <w:gridCol w:w="222"/>
        <w:gridCol w:w="327"/>
        <w:gridCol w:w="327"/>
        <w:gridCol w:w="329"/>
        <w:gridCol w:w="359"/>
        <w:gridCol w:w="359"/>
        <w:gridCol w:w="360"/>
        <w:gridCol w:w="340"/>
        <w:gridCol w:w="340"/>
        <w:gridCol w:w="156"/>
        <w:gridCol w:w="340"/>
        <w:gridCol w:w="340"/>
        <w:gridCol w:w="321"/>
        <w:gridCol w:w="359"/>
        <w:gridCol w:w="359"/>
        <w:gridCol w:w="360"/>
        <w:gridCol w:w="276"/>
        <w:gridCol w:w="276"/>
        <w:gridCol w:w="274"/>
        <w:gridCol w:w="286"/>
        <w:gridCol w:w="286"/>
        <w:gridCol w:w="287"/>
        <w:gridCol w:w="299"/>
        <w:gridCol w:w="269"/>
        <w:gridCol w:w="270"/>
        <w:gridCol w:w="260"/>
        <w:gridCol w:w="260"/>
        <w:gridCol w:w="385"/>
      </w:tblGrid>
      <w:tr>
        <w:trPr/>
        <w:tc>
          <w:tcPr>
            <w:tcW w:w="52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137" w:type="dxa"/>
            <w:gridSpan w:val="3"/>
            <w:vMerge w:val="restart"/>
            <w:tcBorders>
              <w:top w:val="single" w:sz="24" w:space="0" w:color="053273"/>
              <w:right w:val="single" w:sz="4" w:space="0" w:color="C8C9CB"/>
            </w:tcBorders>
            <w:shd w:fill="F3F3F4" w:val="clear"/>
            <w:tcMar>
              <w:top w:w="30" w:type="dxa"/>
              <w:left w:w="0" w:type="dxa"/>
              <w:bottom w:w="0" w:type="dxa"/>
            </w:tcMar>
            <w:vAlign w:val="center"/>
          </w:tcPr>
          <w:p>
            <w:pPr>
              <w:pStyle w:val="TableContents"/>
              <w:bidi w:val="0"/>
              <w:spacing w:lineRule="auto" w:line="240" w:before="0" w:after="283"/>
              <w:jc w:val="left"/>
              <w:rPr>
                <w:rFonts w:ascii="Arial;sans-serif" w:hAnsi="Arial;sans-serif"/>
                <w:b/>
                <w:color w:val="003273"/>
                <w:sz w:val="15"/>
              </w:rPr>
            </w:pPr>
            <w:r>
              <w:rPr>
                <w:rFonts w:ascii="Arial;sans-serif" w:hAnsi="Arial;sans-serif"/>
                <w:b/>
                <w:color w:val="003273"/>
                <w:sz w:val="15"/>
              </w:rPr>
              <w:t>NAME</w:t>
            </w:r>
          </w:p>
        </w:tc>
        <w:tc>
          <w:tcPr>
            <w:tcW w:w="664" w:type="dxa"/>
            <w:gridSpan w:val="3"/>
            <w:vMerge w:val="restart"/>
            <w:tcBorders>
              <w:top w:val="single" w:sz="24" w:space="0" w:color="053273"/>
              <w:left w:val="single" w:sz="4" w:space="0" w:color="C8C9CB"/>
              <w:right w:val="single" w:sz="4" w:space="0" w:color="C8C9CB"/>
            </w:tcBorders>
            <w:shd w:fill="F3F3F4" w:val="clear"/>
            <w:tcMar>
              <w:top w:w="30" w:type="dxa"/>
              <w:bottom w:w="0" w:type="dxa"/>
            </w:tcMar>
            <w:vAlign w:val="center"/>
          </w:tcPr>
          <w:p>
            <w:pPr>
              <w:pStyle w:val="TableContents"/>
              <w:bidi w:val="0"/>
              <w:spacing w:lineRule="auto" w:line="240" w:before="0" w:after="283"/>
              <w:jc w:val="center"/>
              <w:rPr>
                <w:rFonts w:ascii="Arial;sans-serif" w:hAnsi="Arial;sans-serif"/>
                <w:b/>
                <w:color w:val="003273"/>
                <w:sz w:val="15"/>
              </w:rPr>
            </w:pPr>
            <w:r>
              <w:rPr>
                <w:rFonts w:ascii="Arial;sans-serif" w:hAnsi="Arial;sans-serif"/>
                <w:b/>
                <w:color w:val="003273"/>
                <w:sz w:val="15"/>
              </w:rPr>
              <w:t>GRANT</w:t>
              <w:br/>
              <w:t>DATE</w:t>
            </w:r>
          </w:p>
        </w:tc>
        <w:tc>
          <w:tcPr>
            <w:tcW w:w="983" w:type="dxa"/>
            <w:gridSpan w:val="3"/>
            <w:vMerge w:val="restart"/>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3273"/>
                <w:sz w:val="15"/>
              </w:rPr>
            </w:pPr>
            <w:r>
              <w:rPr>
                <w:rFonts w:ascii="Arial;sans-serif" w:hAnsi="Arial;sans-serif"/>
                <w:b/>
                <w:color w:val="003273"/>
                <w:sz w:val="15"/>
              </w:rPr>
              <w:t>DATE OF</w:t>
            </w:r>
          </w:p>
          <w:p>
            <w:pPr>
              <w:pStyle w:val="TableContents"/>
              <w:bidi w:val="0"/>
              <w:spacing w:lineRule="auto" w:line="240" w:before="0" w:after="0"/>
              <w:jc w:val="center"/>
              <w:rPr>
                <w:rFonts w:ascii="Arial;sans-serif" w:hAnsi="Arial;sans-serif"/>
                <w:b/>
                <w:color w:val="003273"/>
                <w:sz w:val="15"/>
              </w:rPr>
            </w:pPr>
            <w:r>
              <w:rPr>
                <w:rFonts w:ascii="Arial;sans-serif" w:hAnsi="Arial;sans-serif"/>
                <w:b/>
                <w:color w:val="003273"/>
                <w:sz w:val="15"/>
              </w:rPr>
              <w:t>BOARD</w:t>
            </w:r>
          </w:p>
          <w:p>
            <w:pPr>
              <w:pStyle w:val="TableContents"/>
              <w:bidi w:val="0"/>
              <w:spacing w:lineRule="auto" w:line="240" w:before="0" w:after="0"/>
              <w:jc w:val="center"/>
              <w:rPr>
                <w:rFonts w:ascii="Arial;sans-serif" w:hAnsi="Arial;sans-serif"/>
                <w:b/>
                <w:color w:val="003273"/>
                <w:sz w:val="15"/>
              </w:rPr>
            </w:pPr>
            <w:r>
              <w:rPr>
                <w:rFonts w:ascii="Arial;sans-serif" w:hAnsi="Arial;sans-serif"/>
                <w:b/>
                <w:color w:val="003273"/>
                <w:sz w:val="15"/>
              </w:rPr>
              <w:t>ACTION (IF</w:t>
            </w:r>
          </w:p>
          <w:p>
            <w:pPr>
              <w:pStyle w:val="TableContents"/>
              <w:bidi w:val="0"/>
              <w:spacing w:lineRule="auto" w:line="240" w:before="0" w:after="0"/>
              <w:jc w:val="center"/>
              <w:rPr>
                <w:rFonts w:ascii="Arial;sans-serif" w:hAnsi="Arial;sans-serif"/>
                <w:b/>
                <w:color w:val="003273"/>
                <w:sz w:val="15"/>
              </w:rPr>
            </w:pPr>
            <w:r>
              <w:rPr>
                <w:rFonts w:ascii="Arial;sans-serif" w:hAnsi="Arial;sans-serif"/>
                <w:b/>
                <w:color w:val="003273"/>
                <w:sz w:val="15"/>
              </w:rPr>
              <w:t>DIFFERENT</w:t>
            </w:r>
          </w:p>
          <w:p>
            <w:pPr>
              <w:pStyle w:val="TableContents"/>
              <w:bidi w:val="0"/>
              <w:spacing w:lineRule="auto" w:line="240" w:before="0" w:after="0"/>
              <w:jc w:val="center"/>
              <w:rPr>
                <w:rFonts w:ascii="Arial;sans-serif" w:hAnsi="Arial;sans-serif"/>
                <w:b/>
                <w:color w:val="003273"/>
                <w:sz w:val="15"/>
              </w:rPr>
            </w:pPr>
            <w:r>
              <w:rPr>
                <w:rFonts w:ascii="Arial;sans-serif" w:hAnsi="Arial;sans-serif"/>
                <w:b/>
                <w:color w:val="003273"/>
                <w:sz w:val="15"/>
              </w:rPr>
              <w:t>FROM</w:t>
            </w:r>
          </w:p>
          <w:p>
            <w:pPr>
              <w:pStyle w:val="TableContents"/>
              <w:bidi w:val="0"/>
              <w:spacing w:lineRule="auto" w:line="240" w:before="0" w:after="0"/>
              <w:jc w:val="center"/>
              <w:rPr>
                <w:rFonts w:ascii="Arial;sans-serif" w:hAnsi="Arial;sans-serif"/>
                <w:b/>
                <w:color w:val="003273"/>
                <w:sz w:val="15"/>
              </w:rPr>
            </w:pPr>
            <w:r>
              <w:rPr>
                <w:rFonts w:ascii="Arial;sans-serif" w:hAnsi="Arial;sans-serif"/>
                <w:b/>
                <w:color w:val="003273"/>
                <w:sz w:val="15"/>
              </w:rPr>
              <w:t>GRANT</w:t>
            </w:r>
          </w:p>
          <w:p>
            <w:pPr>
              <w:pStyle w:val="TableContents"/>
              <w:bidi w:val="0"/>
              <w:spacing w:lineRule="auto" w:line="240" w:before="0" w:after="0"/>
              <w:jc w:val="center"/>
              <w:rPr/>
            </w:pPr>
            <w:r>
              <w:rPr>
                <w:rFonts w:ascii="Arial;sans-serif" w:hAnsi="Arial;sans-serif"/>
                <w:b/>
                <w:color w:val="003273"/>
                <w:sz w:val="15"/>
              </w:rPr>
              <w:t>DATE)</w:t>
            </w:r>
            <w:r>
              <w:rPr>
                <w:rFonts w:ascii="Arial;sans-serif" w:hAnsi="Arial;sans-serif"/>
                <w:b/>
                <w:color w:val="003273"/>
                <w:sz w:val="10"/>
              </w:rPr>
              <w:t>(</w:t>
            </w:r>
            <w:r>
              <w:rPr>
                <w:rFonts w:ascii="Arial;sans-serif" w:hAnsi="Arial;sans-serif"/>
                <w:b w:val="false"/>
                <w:color w:val="003273"/>
                <w:sz w:val="10"/>
              </w:rPr>
              <w:t>1)</w:t>
            </w:r>
          </w:p>
        </w:tc>
        <w:tc>
          <w:tcPr>
            <w:tcW w:w="2915" w:type="dxa"/>
            <w:gridSpan w:val="9"/>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3273"/>
                <w:sz w:val="15"/>
              </w:rPr>
            </w:pPr>
            <w:r>
              <w:rPr>
                <w:rFonts w:ascii="Arial;sans-serif" w:hAnsi="Arial;sans-serif"/>
                <w:b/>
                <w:color w:val="003273"/>
                <w:sz w:val="15"/>
              </w:rPr>
              <w:t>ESTIMATED FUTURE PAYOUTS UNDER</w:t>
            </w:r>
          </w:p>
          <w:p>
            <w:pPr>
              <w:pStyle w:val="TableContents"/>
              <w:bidi w:val="0"/>
              <w:spacing w:lineRule="auto" w:line="240" w:before="0" w:after="0"/>
              <w:jc w:val="center"/>
              <w:rPr>
                <w:rFonts w:ascii="Arial;sans-serif" w:hAnsi="Arial;sans-serif"/>
                <w:b/>
                <w:color w:val="003273"/>
                <w:sz w:val="15"/>
              </w:rPr>
            </w:pPr>
            <w:r>
              <w:rPr>
                <w:rFonts w:ascii="Arial;sans-serif" w:hAnsi="Arial;sans-serif"/>
                <w:b/>
                <w:color w:val="003273"/>
                <w:sz w:val="15"/>
              </w:rPr>
              <w:t>NON-EQUITY INCENTIVE</w:t>
            </w:r>
          </w:p>
          <w:p>
            <w:pPr>
              <w:pStyle w:val="TableContents"/>
              <w:bidi w:val="0"/>
              <w:spacing w:lineRule="auto" w:line="240" w:before="0" w:after="0"/>
              <w:jc w:val="center"/>
              <w:rPr/>
            </w:pPr>
            <w:r>
              <w:rPr>
                <w:rFonts w:ascii="Arial;sans-serif" w:hAnsi="Arial;sans-serif"/>
                <w:b/>
                <w:color w:val="003273"/>
                <w:sz w:val="15"/>
              </w:rPr>
              <w:t>PLAN AWARDS</w:t>
            </w:r>
            <w:r>
              <w:rPr>
                <w:rFonts w:ascii="Arial;sans-serif" w:hAnsi="Arial;sans-serif"/>
                <w:b w:val="false"/>
                <w:color w:val="003273"/>
                <w:sz w:val="10"/>
              </w:rPr>
              <w:t>(2)</w:t>
            </w:r>
          </w:p>
        </w:tc>
        <w:tc>
          <w:tcPr>
            <w:tcW w:w="2763" w:type="dxa"/>
            <w:gridSpan w:val="9"/>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3273"/>
                <w:sz w:val="15"/>
              </w:rPr>
            </w:pPr>
            <w:r>
              <w:rPr>
                <w:rFonts w:ascii="Arial;sans-serif" w:hAnsi="Arial;sans-serif"/>
                <w:b/>
                <w:color w:val="003273"/>
                <w:sz w:val="15"/>
              </w:rPr>
              <w:t>ESTIMATED FUTURE PAYOUTS</w:t>
            </w:r>
          </w:p>
          <w:p>
            <w:pPr>
              <w:pStyle w:val="TableContents"/>
              <w:bidi w:val="0"/>
              <w:spacing w:lineRule="auto" w:line="240" w:before="0" w:after="0"/>
              <w:jc w:val="center"/>
              <w:rPr>
                <w:rFonts w:ascii="Arial;sans-serif" w:hAnsi="Arial;sans-serif"/>
                <w:b/>
                <w:color w:val="003273"/>
                <w:sz w:val="15"/>
              </w:rPr>
            </w:pPr>
            <w:r>
              <w:rPr>
                <w:rFonts w:ascii="Arial;sans-serif" w:hAnsi="Arial;sans-serif"/>
                <w:b/>
                <w:color w:val="003273"/>
                <w:sz w:val="15"/>
              </w:rPr>
              <w:t>UNDER EQUITY INCENTIVE</w:t>
            </w:r>
          </w:p>
          <w:p>
            <w:pPr>
              <w:pStyle w:val="TableContents"/>
              <w:bidi w:val="0"/>
              <w:spacing w:lineRule="auto" w:line="240" w:before="0" w:after="0"/>
              <w:jc w:val="center"/>
              <w:rPr/>
            </w:pPr>
            <w:r>
              <w:rPr>
                <w:rFonts w:ascii="Arial;sans-serif" w:hAnsi="Arial;sans-serif"/>
                <w:b/>
                <w:color w:val="003273"/>
                <w:sz w:val="15"/>
              </w:rPr>
              <w:t>PLAN AWARDS</w:t>
            </w:r>
            <w:r>
              <w:rPr>
                <w:rFonts w:ascii="Arial;sans-serif" w:hAnsi="Arial;sans-serif"/>
                <w:b w:val="false"/>
                <w:color w:val="003273"/>
                <w:sz w:val="10"/>
              </w:rPr>
              <w:t>(3)</w:t>
            </w:r>
          </w:p>
        </w:tc>
        <w:tc>
          <w:tcPr>
            <w:tcW w:w="838" w:type="dxa"/>
            <w:gridSpan w:val="3"/>
            <w:vMerge w:val="restart"/>
            <w:tcBorders>
              <w:top w:val="single" w:sz="24" w:space="0" w:color="053273"/>
              <w:left w:val="single" w:sz="4" w:space="0" w:color="C8C9CB"/>
              <w:right w:val="single" w:sz="4" w:space="0" w:color="C8C9CB"/>
            </w:tcBorders>
            <w:shd w:fill="F3F3F4" w:val="clear"/>
            <w:tcMar>
              <w:top w:w="30" w:type="dxa"/>
              <w:bottom w:w="0" w:type="dxa"/>
            </w:tcMar>
            <w:vAlign w:val="center"/>
          </w:tcPr>
          <w:p>
            <w:pPr>
              <w:pStyle w:val="TableContents"/>
              <w:bidi w:val="0"/>
              <w:spacing w:lineRule="auto" w:line="240" w:before="0" w:after="0"/>
              <w:jc w:val="center"/>
              <w:rPr>
                <w:rFonts w:ascii="Arial;sans-serif" w:hAnsi="Arial;sans-serif"/>
                <w:b/>
                <w:color w:val="003273"/>
                <w:sz w:val="15"/>
              </w:rPr>
            </w:pPr>
            <w:r>
              <w:rPr>
                <w:rFonts w:ascii="Arial;sans-serif" w:hAnsi="Arial;sans-serif"/>
                <w:b/>
                <w:color w:val="003273"/>
                <w:sz w:val="15"/>
              </w:rPr>
              <w:t>ALL OTHER</w:t>
            </w:r>
          </w:p>
          <w:p>
            <w:pPr>
              <w:pStyle w:val="TableContents"/>
              <w:bidi w:val="0"/>
              <w:spacing w:lineRule="auto" w:line="240" w:before="0" w:after="0"/>
              <w:jc w:val="center"/>
              <w:rPr>
                <w:rFonts w:ascii="Arial;sans-serif" w:hAnsi="Arial;sans-serif"/>
                <w:b/>
                <w:color w:val="003273"/>
                <w:sz w:val="15"/>
              </w:rPr>
            </w:pPr>
            <w:r>
              <w:rPr>
                <w:rFonts w:ascii="Arial;sans-serif" w:hAnsi="Arial;sans-serif"/>
                <w:b/>
                <w:color w:val="003273"/>
                <w:sz w:val="15"/>
              </w:rPr>
              <w:t>STOCK</w:t>
            </w:r>
          </w:p>
          <w:p>
            <w:pPr>
              <w:pStyle w:val="TableContents"/>
              <w:bidi w:val="0"/>
              <w:spacing w:lineRule="auto" w:line="240" w:before="0" w:after="0"/>
              <w:jc w:val="center"/>
              <w:rPr>
                <w:rFonts w:ascii="Arial;sans-serif" w:hAnsi="Arial;sans-serif"/>
                <w:b/>
                <w:color w:val="003273"/>
                <w:sz w:val="15"/>
              </w:rPr>
            </w:pPr>
            <w:r>
              <w:rPr>
                <w:rFonts w:ascii="Arial;sans-serif" w:hAnsi="Arial;sans-serif"/>
                <w:b/>
                <w:color w:val="003273"/>
                <w:sz w:val="15"/>
              </w:rPr>
              <w:t>AWARDS:</w:t>
            </w:r>
          </w:p>
          <w:p>
            <w:pPr>
              <w:pStyle w:val="TableContents"/>
              <w:bidi w:val="0"/>
              <w:spacing w:lineRule="auto" w:line="240" w:before="0" w:after="0"/>
              <w:jc w:val="center"/>
              <w:rPr>
                <w:rFonts w:ascii="Arial;sans-serif" w:hAnsi="Arial;sans-serif"/>
                <w:b/>
                <w:color w:val="003273"/>
                <w:sz w:val="15"/>
              </w:rPr>
            </w:pPr>
            <w:r>
              <w:rPr>
                <w:rFonts w:ascii="Arial;sans-serif" w:hAnsi="Arial;sans-serif"/>
                <w:b/>
                <w:color w:val="003273"/>
                <w:sz w:val="15"/>
              </w:rPr>
              <w:t>NUMBER OF</w:t>
            </w:r>
          </w:p>
          <w:p>
            <w:pPr>
              <w:pStyle w:val="TableContents"/>
              <w:bidi w:val="0"/>
              <w:spacing w:lineRule="auto" w:line="240" w:before="0" w:after="0"/>
              <w:jc w:val="center"/>
              <w:rPr>
                <w:rFonts w:ascii="Arial;sans-serif" w:hAnsi="Arial;sans-serif"/>
                <w:b/>
                <w:color w:val="003273"/>
                <w:sz w:val="15"/>
              </w:rPr>
            </w:pPr>
            <w:r>
              <w:rPr>
                <w:rFonts w:ascii="Arial;sans-serif" w:hAnsi="Arial;sans-serif"/>
                <w:b/>
                <w:color w:val="003273"/>
                <w:sz w:val="15"/>
              </w:rPr>
              <w:t>SHARES OF</w:t>
            </w:r>
          </w:p>
          <w:p>
            <w:pPr>
              <w:pStyle w:val="TableContents"/>
              <w:bidi w:val="0"/>
              <w:spacing w:lineRule="auto" w:line="240" w:before="0" w:after="0"/>
              <w:jc w:val="center"/>
              <w:rPr>
                <w:rFonts w:ascii="Arial;sans-serif" w:hAnsi="Arial;sans-serif"/>
                <w:b/>
                <w:color w:val="003273"/>
                <w:sz w:val="15"/>
              </w:rPr>
            </w:pPr>
            <w:r>
              <w:rPr>
                <w:rFonts w:ascii="Arial;sans-serif" w:hAnsi="Arial;sans-serif"/>
                <w:b/>
                <w:color w:val="003273"/>
                <w:sz w:val="15"/>
              </w:rPr>
              <w:t>STOCK OR</w:t>
            </w:r>
          </w:p>
          <w:p>
            <w:pPr>
              <w:pStyle w:val="TableContents"/>
              <w:bidi w:val="0"/>
              <w:spacing w:lineRule="auto" w:line="240" w:before="0" w:after="0"/>
              <w:jc w:val="center"/>
              <w:rPr/>
            </w:pPr>
            <w:r>
              <w:rPr>
                <w:rFonts w:ascii="Arial;sans-serif" w:hAnsi="Arial;sans-serif"/>
                <w:b/>
                <w:color w:val="003273"/>
                <w:sz w:val="15"/>
              </w:rPr>
              <w:t>UNITS</w:t>
            </w:r>
            <w:r>
              <w:rPr>
                <w:rFonts w:ascii="Arial;sans-serif" w:hAnsi="Arial;sans-serif"/>
                <w:b w:val="false"/>
                <w:color w:val="003273"/>
                <w:sz w:val="10"/>
              </w:rPr>
              <w:t>(4)</w:t>
            </w:r>
          </w:p>
          <w:p>
            <w:pPr>
              <w:pStyle w:val="TableContents"/>
              <w:bidi w:val="0"/>
              <w:spacing w:lineRule="auto" w:line="240" w:before="0" w:after="0"/>
              <w:jc w:val="center"/>
              <w:rPr>
                <w:rFonts w:ascii="Arial;sans-serif" w:hAnsi="Arial;sans-serif"/>
                <w:b w:val="false"/>
                <w:color w:val="003273"/>
                <w:sz w:val="15"/>
              </w:rPr>
            </w:pPr>
            <w:r>
              <w:rPr>
                <w:rFonts w:ascii="Arial;sans-serif" w:hAnsi="Arial;sans-serif"/>
                <w:b w:val="false"/>
                <w:color w:val="003273"/>
                <w:sz w:val="15"/>
              </w:rPr>
              <w:t>(#)</w:t>
            </w:r>
          </w:p>
        </w:tc>
        <w:tc>
          <w:tcPr>
            <w:tcW w:w="905" w:type="dxa"/>
            <w:gridSpan w:val="3"/>
            <w:vMerge w:val="restart"/>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3273"/>
                <w:sz w:val="15"/>
              </w:rPr>
            </w:pPr>
            <w:r>
              <w:rPr>
                <w:rFonts w:ascii="Arial;sans-serif" w:hAnsi="Arial;sans-serif"/>
                <w:b/>
                <w:color w:val="003273"/>
                <w:sz w:val="15"/>
              </w:rPr>
              <w:t>GRANT DATE</w:t>
            </w:r>
          </w:p>
          <w:p>
            <w:pPr>
              <w:pStyle w:val="TableContents"/>
              <w:bidi w:val="0"/>
              <w:spacing w:lineRule="auto" w:line="240" w:before="0" w:after="0"/>
              <w:jc w:val="center"/>
              <w:rPr>
                <w:rFonts w:ascii="Arial;sans-serif" w:hAnsi="Arial;sans-serif"/>
                <w:b/>
                <w:color w:val="003273"/>
                <w:sz w:val="15"/>
              </w:rPr>
            </w:pPr>
            <w:r>
              <w:rPr>
                <w:rFonts w:ascii="Arial;sans-serif" w:hAnsi="Arial;sans-serif"/>
                <w:b/>
                <w:color w:val="003273"/>
                <w:sz w:val="15"/>
              </w:rPr>
              <w:t>FAIR VALUE</w:t>
            </w:r>
          </w:p>
          <w:p>
            <w:pPr>
              <w:pStyle w:val="TableContents"/>
              <w:bidi w:val="0"/>
              <w:spacing w:lineRule="auto" w:line="240" w:before="0" w:after="0"/>
              <w:jc w:val="center"/>
              <w:rPr>
                <w:rFonts w:ascii="Arial;sans-serif" w:hAnsi="Arial;sans-serif"/>
                <w:b/>
                <w:color w:val="003273"/>
                <w:sz w:val="15"/>
              </w:rPr>
            </w:pPr>
            <w:r>
              <w:rPr>
                <w:rFonts w:ascii="Arial;sans-serif" w:hAnsi="Arial;sans-serif"/>
                <w:b/>
                <w:color w:val="003273"/>
                <w:sz w:val="15"/>
              </w:rPr>
              <w:t>OF STOCK</w:t>
            </w:r>
          </w:p>
          <w:p>
            <w:pPr>
              <w:pStyle w:val="TableContents"/>
              <w:bidi w:val="0"/>
              <w:spacing w:lineRule="auto" w:line="240" w:before="0" w:after="0"/>
              <w:jc w:val="center"/>
              <w:rPr>
                <w:rFonts w:ascii="Arial;sans-serif" w:hAnsi="Arial;sans-serif"/>
                <w:b/>
                <w:color w:val="003273"/>
                <w:sz w:val="15"/>
              </w:rPr>
            </w:pPr>
            <w:r>
              <w:rPr>
                <w:rFonts w:ascii="Arial;sans-serif" w:hAnsi="Arial;sans-serif"/>
                <w:b/>
                <w:color w:val="003273"/>
                <w:sz w:val="15"/>
              </w:rPr>
              <w:t>AND OPTION</w:t>
            </w:r>
          </w:p>
          <w:p>
            <w:pPr>
              <w:pStyle w:val="TableContents"/>
              <w:bidi w:val="0"/>
              <w:spacing w:lineRule="auto" w:line="240" w:before="0" w:after="0"/>
              <w:jc w:val="center"/>
              <w:rPr/>
            </w:pPr>
            <w:r>
              <w:rPr>
                <w:rFonts w:ascii="Arial;sans-serif" w:hAnsi="Arial;sans-serif"/>
                <w:b/>
                <w:color w:val="003273"/>
                <w:sz w:val="15"/>
              </w:rPr>
              <w:t>AWARDS</w:t>
            </w:r>
            <w:r>
              <w:rPr>
                <w:rFonts w:ascii="Arial;sans-serif" w:hAnsi="Arial;sans-serif"/>
                <w:b w:val="false"/>
                <w:color w:val="003273"/>
                <w:sz w:val="10"/>
              </w:rPr>
              <w:t>(5)</w:t>
            </w:r>
          </w:p>
          <w:p>
            <w:pPr>
              <w:pStyle w:val="TableContents"/>
              <w:bidi w:val="0"/>
              <w:spacing w:lineRule="auto" w:line="240" w:before="0" w:after="0"/>
              <w:jc w:val="center"/>
              <w:rPr>
                <w:rFonts w:ascii="Arial;sans-serif" w:hAnsi="Arial;sans-serif"/>
                <w:b w:val="false"/>
                <w:color w:val="003273"/>
                <w:sz w:val="15"/>
              </w:rPr>
            </w:pPr>
            <w:r>
              <w:rPr>
                <w:rFonts w:ascii="Arial;sans-serif" w:hAnsi="Arial;sans-serif"/>
                <w:b w:val="false"/>
                <w:color w:val="003273"/>
                <w:sz w:val="15"/>
              </w:rPr>
              <w:t>($)</w:t>
            </w:r>
          </w:p>
        </w:tc>
      </w:tr>
      <w:tr>
        <w:trPr/>
        <w:tc>
          <w:tcPr>
            <w:tcW w:w="1137" w:type="dxa"/>
            <w:gridSpan w:val="3"/>
            <w:vMerge w:val="continue"/>
            <w:tcBorders>
              <w:top w:val="single" w:sz="24" w:space="0" w:color="053273"/>
              <w:right w:val="single" w:sz="4" w:space="0" w:color="C8C9CB"/>
            </w:tcBorders>
            <w:shd w:fill="F3F3F4" w:val="clear"/>
            <w:tcMar>
              <w:top w:w="30" w:type="dxa"/>
              <w:left w:w="0" w:type="dxa"/>
              <w:bottom w:w="0" w:type="dxa"/>
            </w:tcMar>
            <w:vAlign w:val="center"/>
          </w:tcPr>
          <w:p>
            <w:pPr>
              <w:pStyle w:val="Normal"/>
              <w:bidi w:val="0"/>
              <w:jc w:val="left"/>
              <w:rPr/>
            </w:pPr>
            <w:r>
              <w:rPr/>
            </w:r>
          </w:p>
        </w:tc>
        <w:tc>
          <w:tcPr>
            <w:tcW w:w="664" w:type="dxa"/>
            <w:gridSpan w:val="3"/>
            <w:vMerge w:val="continue"/>
            <w:tcBorders>
              <w:top w:val="single" w:sz="24" w:space="0" w:color="053273"/>
              <w:left w:val="single" w:sz="4" w:space="0" w:color="C8C9CB"/>
              <w:right w:val="single" w:sz="4" w:space="0" w:color="C8C9CB"/>
            </w:tcBorders>
            <w:shd w:fill="F3F3F4" w:val="clear"/>
            <w:tcMar>
              <w:top w:w="30" w:type="dxa"/>
              <w:bottom w:w="0" w:type="dxa"/>
            </w:tcMar>
            <w:vAlign w:val="center"/>
          </w:tcPr>
          <w:p>
            <w:pPr>
              <w:pStyle w:val="Normal"/>
              <w:bidi w:val="0"/>
              <w:jc w:val="left"/>
              <w:rPr/>
            </w:pPr>
            <w:r>
              <w:rPr/>
            </w:r>
          </w:p>
        </w:tc>
        <w:tc>
          <w:tcPr>
            <w:tcW w:w="983" w:type="dxa"/>
            <w:gridSpan w:val="3"/>
            <w:vMerge w:val="continue"/>
            <w:tcBorders>
              <w:top w:val="single" w:sz="24" w:space="0" w:color="053273"/>
              <w:left w:val="single" w:sz="4" w:space="0" w:color="C8C9CB"/>
            </w:tcBorders>
            <w:shd w:fill="F3F3F4" w:val="clear"/>
            <w:tcMar>
              <w:top w:w="30" w:type="dxa"/>
              <w:bottom w:w="0" w:type="dxa"/>
              <w:right w:w="0" w:type="dxa"/>
            </w:tcMar>
            <w:vAlign w:val="center"/>
          </w:tcPr>
          <w:p>
            <w:pPr>
              <w:pStyle w:val="Normal"/>
              <w:bidi w:val="0"/>
              <w:jc w:val="left"/>
              <w:rPr/>
            </w:pPr>
            <w:r>
              <w:rPr/>
            </w:r>
          </w:p>
        </w:tc>
        <w:tc>
          <w:tcPr>
            <w:tcW w:w="1078" w:type="dxa"/>
            <w:gridSpan w:val="3"/>
            <w:tcBorders>
              <w:top w:val="single" w:sz="12" w:space="0" w:color="636466"/>
              <w:left w:val="single" w:sz="4" w:space="0" w:color="C8C9CB"/>
            </w:tcBorders>
            <w:shd w:fill="F3F3F4"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3273"/>
                <w:sz w:val="15"/>
              </w:rPr>
            </w:pPr>
            <w:r>
              <w:rPr>
                <w:rFonts w:ascii="Arial;sans-serif" w:hAnsi="Arial;sans-serif"/>
                <w:b/>
                <w:color w:val="003273"/>
                <w:sz w:val="15"/>
              </w:rPr>
              <w:t>THRESHOLD</w:t>
            </w:r>
          </w:p>
          <w:p>
            <w:pPr>
              <w:pStyle w:val="TableContents"/>
              <w:bidi w:val="0"/>
              <w:spacing w:lineRule="auto" w:line="240" w:before="0" w:after="0"/>
              <w:jc w:val="center"/>
              <w:rPr>
                <w:rFonts w:ascii="Arial;sans-serif" w:hAnsi="Arial;sans-serif"/>
                <w:b w:val="false"/>
                <w:color w:val="003273"/>
                <w:sz w:val="15"/>
              </w:rPr>
            </w:pPr>
            <w:r>
              <w:rPr>
                <w:rFonts w:ascii="Arial;sans-serif" w:hAnsi="Arial;sans-serif"/>
                <w:b w:val="false"/>
                <w:color w:val="003273"/>
                <w:sz w:val="15"/>
              </w:rPr>
              <w:t>($)</w:t>
            </w:r>
          </w:p>
        </w:tc>
        <w:tc>
          <w:tcPr>
            <w:tcW w:w="836" w:type="dxa"/>
            <w:gridSpan w:val="3"/>
            <w:tcBorders>
              <w:top w:val="single" w:sz="12" w:space="0" w:color="636466"/>
              <w:left w:val="single" w:sz="4" w:space="0" w:color="C8C9CB"/>
            </w:tcBorders>
            <w:shd w:fill="F3F3F4"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3273"/>
                <w:sz w:val="15"/>
              </w:rPr>
            </w:pPr>
            <w:r>
              <w:rPr>
                <w:rFonts w:ascii="Arial;sans-serif" w:hAnsi="Arial;sans-serif"/>
                <w:b/>
                <w:color w:val="003273"/>
                <w:sz w:val="15"/>
              </w:rPr>
              <w:t>TARGET</w:t>
            </w:r>
          </w:p>
          <w:p>
            <w:pPr>
              <w:pStyle w:val="TableContents"/>
              <w:bidi w:val="0"/>
              <w:spacing w:lineRule="auto" w:line="240" w:before="0" w:after="0"/>
              <w:jc w:val="center"/>
              <w:rPr>
                <w:rFonts w:ascii="Arial;sans-serif" w:hAnsi="Arial;sans-serif"/>
                <w:b w:val="false"/>
                <w:color w:val="003273"/>
                <w:sz w:val="15"/>
              </w:rPr>
            </w:pPr>
            <w:r>
              <w:rPr>
                <w:rFonts w:ascii="Arial;sans-serif" w:hAnsi="Arial;sans-serif"/>
                <w:b w:val="false"/>
                <w:color w:val="003273"/>
                <w:sz w:val="15"/>
              </w:rPr>
              <w:t>($)</w:t>
            </w:r>
          </w:p>
        </w:tc>
        <w:tc>
          <w:tcPr>
            <w:tcW w:w="1001" w:type="dxa"/>
            <w:gridSpan w:val="3"/>
            <w:tcBorders>
              <w:top w:val="single" w:sz="12" w:space="0" w:color="636466"/>
              <w:left w:val="single" w:sz="4" w:space="0" w:color="C8C9CB"/>
            </w:tcBorders>
            <w:shd w:fill="F3F3F4"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3273"/>
                <w:sz w:val="15"/>
              </w:rPr>
            </w:pPr>
            <w:r>
              <w:rPr>
                <w:rFonts w:ascii="Arial;sans-serif" w:hAnsi="Arial;sans-serif"/>
                <w:b/>
                <w:color w:val="003273"/>
                <w:sz w:val="15"/>
              </w:rPr>
              <w:t>MAXIMUM</w:t>
            </w:r>
          </w:p>
          <w:p>
            <w:pPr>
              <w:pStyle w:val="TableContents"/>
              <w:bidi w:val="0"/>
              <w:spacing w:lineRule="auto" w:line="240" w:before="0" w:after="0"/>
              <w:jc w:val="center"/>
              <w:rPr>
                <w:rFonts w:ascii="Arial;sans-serif" w:hAnsi="Arial;sans-serif"/>
                <w:b w:val="false"/>
                <w:color w:val="003273"/>
                <w:sz w:val="15"/>
              </w:rPr>
            </w:pPr>
            <w:r>
              <w:rPr>
                <w:rFonts w:ascii="Arial;sans-serif" w:hAnsi="Arial;sans-serif"/>
                <w:b w:val="false"/>
                <w:color w:val="003273"/>
                <w:sz w:val="15"/>
              </w:rPr>
              <w:t>($)</w:t>
            </w:r>
          </w:p>
        </w:tc>
        <w:tc>
          <w:tcPr>
            <w:tcW w:w="1078" w:type="dxa"/>
            <w:gridSpan w:val="3"/>
            <w:tcBorders>
              <w:top w:val="single" w:sz="12" w:space="0" w:color="636466"/>
              <w:left w:val="single" w:sz="4" w:space="0" w:color="C8C9CB"/>
            </w:tcBorders>
            <w:shd w:fill="F3F3F4"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3273"/>
                <w:sz w:val="15"/>
              </w:rPr>
            </w:pPr>
            <w:r>
              <w:rPr>
                <w:rFonts w:ascii="Arial;sans-serif" w:hAnsi="Arial;sans-serif"/>
                <w:b/>
                <w:color w:val="003273"/>
                <w:sz w:val="15"/>
              </w:rPr>
              <w:t>THRESHOLD</w:t>
            </w:r>
          </w:p>
          <w:p>
            <w:pPr>
              <w:pStyle w:val="TableContents"/>
              <w:bidi w:val="0"/>
              <w:spacing w:lineRule="auto" w:line="240" w:before="0" w:after="0"/>
              <w:jc w:val="center"/>
              <w:rPr>
                <w:rFonts w:ascii="Arial;sans-serif" w:hAnsi="Arial;sans-serif"/>
                <w:b w:val="false"/>
                <w:color w:val="003273"/>
                <w:sz w:val="15"/>
              </w:rPr>
            </w:pPr>
            <w:r>
              <w:rPr>
                <w:rFonts w:ascii="Arial;sans-serif" w:hAnsi="Arial;sans-serif"/>
                <w:b w:val="false"/>
                <w:color w:val="003273"/>
                <w:sz w:val="15"/>
              </w:rPr>
              <w:t>(#)</w:t>
            </w:r>
          </w:p>
        </w:tc>
        <w:tc>
          <w:tcPr>
            <w:tcW w:w="826" w:type="dxa"/>
            <w:gridSpan w:val="3"/>
            <w:tcBorders>
              <w:top w:val="single" w:sz="12" w:space="0" w:color="636466"/>
              <w:left w:val="single" w:sz="4" w:space="0" w:color="C8C9CB"/>
            </w:tcBorders>
            <w:shd w:fill="F3F3F4"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3273"/>
                <w:sz w:val="15"/>
              </w:rPr>
            </w:pPr>
            <w:r>
              <w:rPr>
                <w:rFonts w:ascii="Arial;sans-serif" w:hAnsi="Arial;sans-serif"/>
                <w:b/>
                <w:color w:val="003273"/>
                <w:sz w:val="15"/>
              </w:rPr>
              <w:t>TARGET</w:t>
            </w:r>
          </w:p>
          <w:p>
            <w:pPr>
              <w:pStyle w:val="TableContents"/>
              <w:bidi w:val="0"/>
              <w:spacing w:lineRule="auto" w:line="240" w:before="0" w:after="0"/>
              <w:jc w:val="center"/>
              <w:rPr>
                <w:rFonts w:ascii="Arial;sans-serif" w:hAnsi="Arial;sans-serif"/>
                <w:b w:val="false"/>
                <w:color w:val="003273"/>
                <w:sz w:val="15"/>
              </w:rPr>
            </w:pPr>
            <w:r>
              <w:rPr>
                <w:rFonts w:ascii="Arial;sans-serif" w:hAnsi="Arial;sans-serif"/>
                <w:b w:val="false"/>
                <w:color w:val="003273"/>
                <w:sz w:val="15"/>
              </w:rPr>
              <w:t>(#)</w:t>
            </w:r>
          </w:p>
        </w:tc>
        <w:tc>
          <w:tcPr>
            <w:tcW w:w="859" w:type="dxa"/>
            <w:gridSpan w:val="3"/>
            <w:tcBorders>
              <w:top w:val="single" w:sz="12" w:space="0" w:color="636466"/>
              <w:left w:val="single" w:sz="4" w:space="0" w:color="C8C9CB"/>
              <w:right w:val="single" w:sz="4" w:space="0" w:color="C8C9CB"/>
            </w:tcBorders>
            <w:shd w:fill="F3F3F4" w:val="clear"/>
            <w:tcMar>
              <w:top w:w="30" w:type="dxa"/>
              <w:bottom w:w="0" w:type="dxa"/>
            </w:tcMar>
            <w:vAlign w:val="center"/>
          </w:tcPr>
          <w:p>
            <w:pPr>
              <w:pStyle w:val="TableContents"/>
              <w:bidi w:val="0"/>
              <w:spacing w:lineRule="auto" w:line="240" w:before="0" w:after="0"/>
              <w:jc w:val="center"/>
              <w:rPr>
                <w:rFonts w:ascii="Arial;sans-serif" w:hAnsi="Arial;sans-serif"/>
                <w:b/>
                <w:color w:val="003273"/>
                <w:sz w:val="15"/>
              </w:rPr>
            </w:pPr>
            <w:r>
              <w:rPr>
                <w:rFonts w:ascii="Arial;sans-serif" w:hAnsi="Arial;sans-serif"/>
                <w:b/>
                <w:color w:val="003273"/>
                <w:sz w:val="15"/>
              </w:rPr>
              <w:t>MAXIMUM</w:t>
            </w:r>
          </w:p>
          <w:p>
            <w:pPr>
              <w:pStyle w:val="TableContents"/>
              <w:bidi w:val="0"/>
              <w:spacing w:lineRule="auto" w:line="240" w:before="0" w:after="0"/>
              <w:jc w:val="center"/>
              <w:rPr>
                <w:rFonts w:ascii="Arial;sans-serif" w:hAnsi="Arial;sans-serif"/>
                <w:b w:val="false"/>
                <w:color w:val="003273"/>
                <w:sz w:val="15"/>
              </w:rPr>
            </w:pPr>
            <w:r>
              <w:rPr>
                <w:rFonts w:ascii="Arial;sans-serif" w:hAnsi="Arial;sans-serif"/>
                <w:b w:val="false"/>
                <w:color w:val="003273"/>
                <w:sz w:val="15"/>
              </w:rPr>
              <w:t>(#)</w:t>
            </w:r>
          </w:p>
        </w:tc>
        <w:tc>
          <w:tcPr>
            <w:tcW w:w="838" w:type="dxa"/>
            <w:gridSpan w:val="3"/>
            <w:vMerge w:val="continue"/>
            <w:tcBorders>
              <w:top w:val="single" w:sz="24" w:space="0" w:color="053273"/>
              <w:left w:val="single" w:sz="4" w:space="0" w:color="C8C9CB"/>
              <w:right w:val="single" w:sz="4" w:space="0" w:color="C8C9CB"/>
            </w:tcBorders>
            <w:shd w:fill="F3F3F4" w:val="clear"/>
            <w:tcMar>
              <w:top w:w="30" w:type="dxa"/>
              <w:bottom w:w="0" w:type="dxa"/>
            </w:tcMar>
            <w:vAlign w:val="center"/>
          </w:tcPr>
          <w:p>
            <w:pPr>
              <w:pStyle w:val="Normal"/>
              <w:bidi w:val="0"/>
              <w:jc w:val="left"/>
              <w:rPr/>
            </w:pPr>
            <w:r>
              <w:rPr/>
            </w:r>
          </w:p>
        </w:tc>
        <w:tc>
          <w:tcPr>
            <w:tcW w:w="905" w:type="dxa"/>
            <w:gridSpan w:val="3"/>
            <w:vMerge w:val="continue"/>
            <w:tcBorders>
              <w:top w:val="single" w:sz="24" w:space="0" w:color="053273"/>
              <w:left w:val="single" w:sz="4" w:space="0" w:color="C8C9CB"/>
            </w:tcBorders>
            <w:shd w:fill="F3F3F4" w:val="clear"/>
            <w:tcMar>
              <w:top w:w="30" w:type="dxa"/>
              <w:bottom w:w="0" w:type="dxa"/>
              <w:right w:w="0" w:type="dxa"/>
            </w:tcMar>
            <w:vAlign w:val="center"/>
          </w:tcPr>
          <w:p>
            <w:pPr>
              <w:pStyle w:val="Normal"/>
              <w:bidi w:val="0"/>
              <w:jc w:val="left"/>
              <w:rPr/>
            </w:pPr>
            <w:r>
              <w:rPr/>
            </w:r>
          </w:p>
        </w:tc>
      </w:tr>
      <w:tr>
        <w:trPr/>
        <w:tc>
          <w:tcPr>
            <w:tcW w:w="1137" w:type="dxa"/>
            <w:gridSpan w:val="3"/>
            <w:vMerge w:val="restart"/>
            <w:tcBorders>
              <w:top w:val="single" w:sz="12" w:space="0" w:color="63646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Frank N. D’Orazio</w:t>
            </w:r>
          </w:p>
        </w:tc>
        <w:tc>
          <w:tcPr>
            <w:tcW w:w="664"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3/5/2025</w:t>
            </w:r>
          </w:p>
        </w:tc>
        <w:tc>
          <w:tcPr>
            <w:tcW w:w="983"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2/20/2025</w:t>
            </w:r>
          </w:p>
        </w:tc>
        <w:tc>
          <w:tcPr>
            <w:tcW w:w="1078" w:type="dxa"/>
            <w:gridSpan w:val="3"/>
            <w:tcBorders>
              <w:top w:val="single" w:sz="12" w:space="0" w:color="636466"/>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12" w:space="0" w:color="636466"/>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12" w:space="0" w:color="636466"/>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65,667</w:t>
            </w:r>
          </w:p>
        </w:tc>
        <w:tc>
          <w:tcPr>
            <w:tcW w:w="826"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131,334</w:t>
            </w:r>
          </w:p>
        </w:tc>
        <w:tc>
          <w:tcPr>
            <w:tcW w:w="859"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262,668</w:t>
            </w:r>
          </w:p>
        </w:tc>
        <w:tc>
          <w:tcPr>
            <w:tcW w:w="838" w:type="dxa"/>
            <w:gridSpan w:val="3"/>
            <w:tcBorders>
              <w:top w:val="single" w:sz="12" w:space="0" w:color="636466"/>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483,309</w:t>
            </w:r>
          </w:p>
        </w:tc>
      </w:tr>
      <w:tr>
        <w:trPr/>
        <w:tc>
          <w:tcPr>
            <w:tcW w:w="1137" w:type="dxa"/>
            <w:gridSpan w:val="3"/>
            <w:vMerge w:val="continue"/>
            <w:tcBorders>
              <w:top w:val="single" w:sz="12" w:space="0" w:color="636466"/>
            </w:tcBorders>
            <w:tcMar>
              <w:top w:w="30" w:type="dxa"/>
              <w:left w:w="0" w:type="dxa"/>
              <w:bottom w:w="0" w:type="dxa"/>
              <w:right w:w="0" w:type="dxa"/>
            </w:tcMar>
            <w:vAlign w:val="center"/>
          </w:tcPr>
          <w:p>
            <w:pPr>
              <w:pStyle w:val="Normal"/>
              <w:bidi w:val="0"/>
              <w:jc w:val="left"/>
              <w:rPr/>
            </w:pPr>
            <w:r>
              <w:rPr/>
            </w:r>
          </w:p>
        </w:tc>
        <w:tc>
          <w:tcPr>
            <w:tcW w:w="664"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3/5/2025</w:t>
            </w:r>
          </w:p>
        </w:tc>
        <w:tc>
          <w:tcPr>
            <w:tcW w:w="983"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2/20/2025</w:t>
            </w:r>
          </w:p>
        </w:tc>
        <w:tc>
          <w:tcPr>
            <w:tcW w:w="1078"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131,334</w:t>
            </w:r>
          </w:p>
        </w:tc>
        <w:tc>
          <w:tcPr>
            <w:tcW w:w="905"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483,309</w:t>
            </w:r>
          </w:p>
        </w:tc>
      </w:tr>
      <w:tr>
        <w:trPr/>
        <w:tc>
          <w:tcPr>
            <w:tcW w:w="1137" w:type="dxa"/>
            <w:gridSpan w:val="3"/>
            <w:vMerge w:val="continue"/>
            <w:tcBorders>
              <w:top w:val="single" w:sz="12" w:space="0" w:color="636466"/>
            </w:tcBorders>
            <w:tcMar>
              <w:top w:w="30" w:type="dxa"/>
              <w:left w:w="0" w:type="dxa"/>
              <w:bottom w:w="0" w:type="dxa"/>
              <w:right w:w="0" w:type="dxa"/>
            </w:tcMar>
            <w:vAlign w:val="center"/>
          </w:tcPr>
          <w:p>
            <w:pPr>
              <w:pStyle w:val="Normal"/>
              <w:bidi w:val="0"/>
              <w:jc w:val="left"/>
              <w:rPr/>
            </w:pPr>
            <w:r>
              <w:rPr/>
            </w:r>
          </w:p>
        </w:tc>
        <w:tc>
          <w:tcPr>
            <w:tcW w:w="664"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497,812</w:t>
            </w:r>
          </w:p>
        </w:tc>
        <w:tc>
          <w:tcPr>
            <w:tcW w:w="836"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995,624</w:t>
            </w:r>
          </w:p>
        </w:tc>
        <w:tc>
          <w:tcPr>
            <w:tcW w:w="1001"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1,493,436</w:t>
            </w:r>
          </w:p>
        </w:tc>
        <w:tc>
          <w:tcPr>
            <w:tcW w:w="1078"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7" w:type="dxa"/>
            <w:gridSpan w:val="3"/>
            <w:vMerge w:val="restart"/>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Sarah C. Doran</w:t>
            </w:r>
          </w:p>
        </w:tc>
        <w:tc>
          <w:tcPr>
            <w:tcW w:w="66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3/5/2025</w:t>
            </w:r>
          </w:p>
        </w:tc>
        <w:tc>
          <w:tcPr>
            <w:tcW w:w="983"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2/20/2025</w:t>
            </w:r>
          </w:p>
        </w:tc>
        <w:tc>
          <w:tcPr>
            <w:tcW w:w="1078"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38,858</w:t>
            </w:r>
          </w:p>
        </w:tc>
        <w:tc>
          <w:tcPr>
            <w:tcW w:w="826"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77,717</w:t>
            </w:r>
          </w:p>
        </w:tc>
        <w:tc>
          <w:tcPr>
            <w:tcW w:w="85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155,434</w:t>
            </w:r>
          </w:p>
        </w:tc>
        <w:tc>
          <w:tcPr>
            <w:tcW w:w="838"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285,999</w:t>
            </w:r>
          </w:p>
        </w:tc>
      </w:tr>
      <w:tr>
        <w:trPr/>
        <w:tc>
          <w:tcPr>
            <w:tcW w:w="1137"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664"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3/5/2025</w:t>
            </w:r>
          </w:p>
        </w:tc>
        <w:tc>
          <w:tcPr>
            <w:tcW w:w="983"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2/20/2025</w:t>
            </w:r>
          </w:p>
        </w:tc>
        <w:tc>
          <w:tcPr>
            <w:tcW w:w="1078"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77,717</w:t>
            </w:r>
          </w:p>
        </w:tc>
        <w:tc>
          <w:tcPr>
            <w:tcW w:w="905"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285,999</w:t>
            </w:r>
          </w:p>
        </w:tc>
      </w:tr>
      <w:tr>
        <w:trPr/>
        <w:tc>
          <w:tcPr>
            <w:tcW w:w="1137"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664"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294,580</w:t>
            </w:r>
          </w:p>
        </w:tc>
        <w:tc>
          <w:tcPr>
            <w:tcW w:w="836"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589,160</w:t>
            </w:r>
          </w:p>
        </w:tc>
        <w:tc>
          <w:tcPr>
            <w:tcW w:w="1001"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883,740</w:t>
            </w:r>
          </w:p>
        </w:tc>
        <w:tc>
          <w:tcPr>
            <w:tcW w:w="1078"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7" w:type="dxa"/>
            <w:gridSpan w:val="3"/>
            <w:vMerge w:val="restart"/>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Richard J. Schmitzer</w:t>
            </w:r>
          </w:p>
        </w:tc>
        <w:tc>
          <w:tcPr>
            <w:tcW w:w="66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3/5/2025</w:t>
            </w:r>
          </w:p>
        </w:tc>
        <w:tc>
          <w:tcPr>
            <w:tcW w:w="983"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2/20/2025</w:t>
            </w:r>
          </w:p>
        </w:tc>
        <w:tc>
          <w:tcPr>
            <w:tcW w:w="1078"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45,513</w:t>
            </w:r>
          </w:p>
        </w:tc>
        <w:tc>
          <w:tcPr>
            <w:tcW w:w="826"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91,026</w:t>
            </w:r>
          </w:p>
        </w:tc>
        <w:tc>
          <w:tcPr>
            <w:tcW w:w="85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182,052</w:t>
            </w:r>
          </w:p>
        </w:tc>
        <w:tc>
          <w:tcPr>
            <w:tcW w:w="838"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334,976</w:t>
            </w:r>
          </w:p>
        </w:tc>
      </w:tr>
      <w:tr>
        <w:trPr/>
        <w:tc>
          <w:tcPr>
            <w:tcW w:w="1137"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664"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3/5/2025</w:t>
            </w:r>
          </w:p>
        </w:tc>
        <w:tc>
          <w:tcPr>
            <w:tcW w:w="983"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2/20/2025</w:t>
            </w:r>
          </w:p>
        </w:tc>
        <w:tc>
          <w:tcPr>
            <w:tcW w:w="1078"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91,026</w:t>
            </w:r>
          </w:p>
        </w:tc>
        <w:tc>
          <w:tcPr>
            <w:tcW w:w="905"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334,976</w:t>
            </w:r>
          </w:p>
        </w:tc>
      </w:tr>
      <w:tr>
        <w:trPr/>
        <w:tc>
          <w:tcPr>
            <w:tcW w:w="1137"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664"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334,978</w:t>
            </w:r>
          </w:p>
        </w:tc>
        <w:tc>
          <w:tcPr>
            <w:tcW w:w="836"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669,955</w:t>
            </w:r>
          </w:p>
        </w:tc>
        <w:tc>
          <w:tcPr>
            <w:tcW w:w="1001"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1,004,933</w:t>
            </w:r>
          </w:p>
        </w:tc>
        <w:tc>
          <w:tcPr>
            <w:tcW w:w="1078"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7" w:type="dxa"/>
            <w:gridSpan w:val="3"/>
            <w:vMerge w:val="restart"/>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Michael J. Hoffmann</w:t>
            </w:r>
          </w:p>
        </w:tc>
        <w:tc>
          <w:tcPr>
            <w:tcW w:w="66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3/5/2025</w:t>
            </w:r>
          </w:p>
        </w:tc>
        <w:tc>
          <w:tcPr>
            <w:tcW w:w="983"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2/20/2025</w:t>
            </w:r>
          </w:p>
        </w:tc>
        <w:tc>
          <w:tcPr>
            <w:tcW w:w="1078"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30,027</w:t>
            </w:r>
          </w:p>
        </w:tc>
        <w:tc>
          <w:tcPr>
            <w:tcW w:w="826"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60,054</w:t>
            </w:r>
          </w:p>
        </w:tc>
        <w:tc>
          <w:tcPr>
            <w:tcW w:w="85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120,108</w:t>
            </w:r>
          </w:p>
        </w:tc>
        <w:tc>
          <w:tcPr>
            <w:tcW w:w="838"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220,999</w:t>
            </w:r>
          </w:p>
        </w:tc>
      </w:tr>
      <w:tr>
        <w:trPr/>
        <w:tc>
          <w:tcPr>
            <w:tcW w:w="1137"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664"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3/5/2025</w:t>
            </w:r>
          </w:p>
        </w:tc>
        <w:tc>
          <w:tcPr>
            <w:tcW w:w="983"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2/20/2025</w:t>
            </w:r>
          </w:p>
        </w:tc>
        <w:tc>
          <w:tcPr>
            <w:tcW w:w="1078"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60,054</w:t>
            </w:r>
          </w:p>
        </w:tc>
        <w:tc>
          <w:tcPr>
            <w:tcW w:w="905"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220,999</w:t>
            </w:r>
          </w:p>
        </w:tc>
      </w:tr>
      <w:tr>
        <w:trPr/>
        <w:tc>
          <w:tcPr>
            <w:tcW w:w="1137"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664"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170,723</w:t>
            </w:r>
          </w:p>
        </w:tc>
        <w:tc>
          <w:tcPr>
            <w:tcW w:w="836"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341,445</w:t>
            </w:r>
          </w:p>
        </w:tc>
        <w:tc>
          <w:tcPr>
            <w:tcW w:w="1001"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512,168</w:t>
            </w:r>
          </w:p>
        </w:tc>
        <w:tc>
          <w:tcPr>
            <w:tcW w:w="1078"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7" w:type="dxa"/>
            <w:gridSpan w:val="3"/>
            <w:vMerge w:val="restart"/>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Jeanette L. Miller</w:t>
            </w:r>
          </w:p>
        </w:tc>
        <w:tc>
          <w:tcPr>
            <w:tcW w:w="66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3/5/2025</w:t>
            </w:r>
          </w:p>
        </w:tc>
        <w:tc>
          <w:tcPr>
            <w:tcW w:w="983"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2/20/2025</w:t>
            </w:r>
          </w:p>
        </w:tc>
        <w:tc>
          <w:tcPr>
            <w:tcW w:w="1078"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18,342</w:t>
            </w:r>
          </w:p>
        </w:tc>
        <w:tc>
          <w:tcPr>
            <w:tcW w:w="826"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36,684</w:t>
            </w:r>
          </w:p>
        </w:tc>
        <w:tc>
          <w:tcPr>
            <w:tcW w:w="85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73,368</w:t>
            </w:r>
          </w:p>
        </w:tc>
        <w:tc>
          <w:tcPr>
            <w:tcW w:w="838"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134,997</w:t>
            </w:r>
          </w:p>
        </w:tc>
      </w:tr>
      <w:tr>
        <w:trPr/>
        <w:tc>
          <w:tcPr>
            <w:tcW w:w="1137"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664"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3/5/2025</w:t>
            </w:r>
          </w:p>
        </w:tc>
        <w:tc>
          <w:tcPr>
            <w:tcW w:w="983"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2/20/2025</w:t>
            </w:r>
          </w:p>
        </w:tc>
        <w:tc>
          <w:tcPr>
            <w:tcW w:w="1078"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36,684</w:t>
            </w:r>
          </w:p>
        </w:tc>
        <w:tc>
          <w:tcPr>
            <w:tcW w:w="905"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134,997</w:t>
            </w:r>
          </w:p>
        </w:tc>
      </w:tr>
      <w:tr>
        <w:trPr/>
        <w:tc>
          <w:tcPr>
            <w:tcW w:w="1137"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664"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139,050</w:t>
            </w:r>
          </w:p>
        </w:tc>
        <w:tc>
          <w:tcPr>
            <w:tcW w:w="836"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278,100</w:t>
            </w:r>
          </w:p>
        </w:tc>
        <w:tc>
          <w:tcPr>
            <w:tcW w:w="1001"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417,150</w:t>
            </w:r>
          </w:p>
        </w:tc>
        <w:tc>
          <w:tcPr>
            <w:tcW w:w="1078"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left w:val="single" w:sz="4" w:space="0" w:color="C8C9C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7" w:type="dxa"/>
            <w:gridSpan w:val="3"/>
            <w:vMerge w:val="restart"/>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Todd R. Sutherland</w:t>
            </w:r>
          </w:p>
        </w:tc>
        <w:tc>
          <w:tcPr>
            <w:tcW w:w="66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8/6/2025</w:t>
            </w:r>
          </w:p>
        </w:tc>
        <w:tc>
          <w:tcPr>
            <w:tcW w:w="983"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7/24/2025</w:t>
            </w:r>
          </w:p>
        </w:tc>
        <w:tc>
          <w:tcPr>
            <w:tcW w:w="1078"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9"/>
              </w:rPr>
            </w:pPr>
            <w:r>
              <w:rPr>
                <w:rFonts w:ascii="Arial;sans-serif" w:hAnsi="Arial;sans-serif"/>
                <w:b w:val="false"/>
                <w:color w:val="000000"/>
                <w:sz w:val="19"/>
              </w:rPr>
              <w:t>42,955</w:t>
            </w:r>
          </w:p>
        </w:tc>
        <w:tc>
          <w:tcPr>
            <w:tcW w:w="90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249,998</w:t>
            </w:r>
          </w:p>
        </w:tc>
      </w:tr>
      <w:tr>
        <w:trPr/>
        <w:tc>
          <w:tcPr>
            <w:tcW w:w="1137"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664" w:type="dxa"/>
            <w:gridSpan w:val="3"/>
            <w:tcBorders>
              <w:left w:val="single" w:sz="4" w:space="0" w:color="C8C9CB"/>
              <w:bottom w:val="single" w:sz="4" w:space="0" w:color="C8C9CB"/>
            </w:tcBorders>
            <w:tcMar>
              <w:top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left w:val="single" w:sz="4" w:space="0" w:color="C8C9CB"/>
              <w:bottom w:val="single" w:sz="4" w:space="0" w:color="C8C9CB"/>
            </w:tcBorders>
            <w:tcMar>
              <w:top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left w:val="single" w:sz="4" w:space="0" w:color="C8C9CB"/>
              <w:bottom w:val="single" w:sz="4" w:space="0" w:color="C8C9CB"/>
            </w:tcBorders>
            <w:tcMar>
              <w:top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160,489</w:t>
            </w:r>
          </w:p>
        </w:tc>
        <w:tc>
          <w:tcPr>
            <w:tcW w:w="836" w:type="dxa"/>
            <w:gridSpan w:val="3"/>
            <w:tcBorders>
              <w:left w:val="single" w:sz="4" w:space="0" w:color="C8C9CB"/>
              <w:bottom w:val="single" w:sz="4" w:space="0" w:color="C8C9CB"/>
            </w:tcBorders>
            <w:tcMar>
              <w:top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320,977</w:t>
            </w:r>
          </w:p>
        </w:tc>
        <w:tc>
          <w:tcPr>
            <w:tcW w:w="1001" w:type="dxa"/>
            <w:gridSpan w:val="3"/>
            <w:tcBorders>
              <w:left w:val="single" w:sz="4" w:space="0" w:color="C8C9CB"/>
              <w:bottom w:val="single" w:sz="4" w:space="0" w:color="C8C9CB"/>
            </w:tcBorders>
            <w:tcMar>
              <w:top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481,466</w:t>
            </w:r>
          </w:p>
        </w:tc>
        <w:tc>
          <w:tcPr>
            <w:tcW w:w="1078" w:type="dxa"/>
            <w:gridSpan w:val="3"/>
            <w:tcBorders>
              <w:left w:val="single" w:sz="4" w:space="0" w:color="C8C9CB"/>
              <w:bottom w:val="single" w:sz="4" w:space="0" w:color="C8C9CB"/>
            </w:tcBorders>
            <w:tcMar>
              <w:top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left w:val="single" w:sz="4" w:space="0" w:color="C8C9CB"/>
              <w:bottom w:val="single" w:sz="4" w:space="0" w:color="C8C9CB"/>
            </w:tcBorders>
            <w:tcMar>
              <w:top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left w:val="single" w:sz="4" w:space="0" w:color="C8C9CB"/>
              <w:bottom w:val="single" w:sz="4" w:space="0" w:color="C8C9CB"/>
            </w:tcBorders>
            <w:tcMar>
              <w:top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left w:val="single" w:sz="4" w:space="0" w:color="C8C9CB"/>
              <w:bottom w:val="single" w:sz="4" w:space="0" w:color="C8C9CB"/>
            </w:tcBorders>
            <w:tcMar>
              <w:top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left w:val="single" w:sz="4" w:space="0" w:color="C8C9CB"/>
              <w:bottom w:val="single" w:sz="4" w:space="0" w:color="C8C9CB"/>
            </w:tcBorders>
            <w:tcMar>
              <w:top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op w:val="single" w:sz="4" w:space="0" w:color="C8C9C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(1) On February 20, 2025 and July 24, 2025, the Board, at the recommendation of the Committee, approved the equity awards to be granted to the named executive officers. In accordance with the Committee and Board’s equity award policy, the grant date was delayed until the second trading day following the public dissemination of the Company’s 2024 fiscal year-end and second quarter 2025 earnings releases.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(2) The amounts shown represent each named executive officer’s threshold, target and maximum annual cash incentive opportunities for performance in 2025, pursuant to the STI Plan. The actual amount of each named executive officer’s award is determined after completion of the performance period as discussed in our Compensation Discussion and Analysis, and in the case of Mr. Schmitzer was subject to pro-ration of his salary (both before and after the August 2025 amendment to his employment agreement as described in Item 11 - Compensation Discussion &amp; Analysis V. Post-Employment Compensation and Other Benefits - Retirement of Mr. Schmitzer) for time worked during the 2025 performance year. The annual cash incentive awards earned by our named executive officers for performance in 2025 were paid during the first quarter of 2026 and are reflected in the Summary Compensation Table.</w:t>
            </w:r>
          </w:p>
        </w:tc>
      </w:tr>
      <w:tr>
        <w:trPr/>
        <w:tc>
          <w:tcPr>
            <w:tcW w:w="10205" w:type="dxa"/>
            <w:gridSpan w:val="3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(3) The amounts shown represent the threshold, target and maximum number of PRSUs granted to each named executive officer in 2025 pursuant to the 2014 LTIP, except for Mr. Sutherland, who did not receive a PRSU award in 2025. The PRSUs granted in 2025 have a performance period of January 1, 2025 to December 31, 2027. The actual amount of each named executive officer’s award will be based on the achievement of certain performance goals, as discussed in “Item 11 - Compensation Discussion and Analysis IV. Compensation Program Components – Long-Term Incentives.”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(4) The amounts shown represent the Service-Based RSUs granted to each of our named executive officers in 2025 pursuant to the 2014 LTIP, which vest in equal annual installments over three years based on the named executive officers’ continued service with the Company, as discussed in “Item 11 - Compensation Discussion and Analysis IV. Compensation Program Components – Long-Term Incentives.”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(5) The grant date fair value of the Service-Based RSUs and PRSUs, as applicable, was calculated in accordance with FASB ASC Topic 718, and reflects the assumptions set forth in Note 14 — “Equity Awards” in the Company’s Annual Report on Form 10-K for the year ended December 31, 2025. The grant date fair value of the Service-Based RSUs is based on the closing price of the Company’s common stock on the date of grant. The grant date fair value of the PRSUs is determined based upon the probable outcome of the performance conditions, excluding the effect of estimated forfeitures.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180"/>
        <w:ind w:left="0" w:right="0" w:hanging="540"/>
        <w:jc w:val="both"/>
        <w:rPr>
          <w:rFonts w:ascii="Arial;sans-serif" w:hAnsi="Arial;sans-serif"/>
          <w:b/>
          <w:color w:val="939598"/>
          <w:sz w:val="24"/>
        </w:rPr>
      </w:pPr>
      <w:r>
        <w:rPr>
          <w:rFonts w:ascii="Arial;sans-serif" w:hAnsi="Arial;sans-serif"/>
          <w:b/>
          <w:color w:val="939598"/>
          <w:sz w:val="24"/>
        </w:rPr>
        <w:t>Outstanding Equity Awards at Fiscal Year-End</w:t>
      </w:r>
    </w:p>
    <w:p>
      <w:pPr>
        <w:pStyle w:val="TextBody"/>
        <w:bidi w:val="0"/>
        <w:spacing w:lineRule="auto" w:line="288" w:before="0" w:after="180"/>
        <w:jc w:val="both"/>
        <w:rPr>
          <w:rFonts w:ascii="Arial;sans-serif" w:hAnsi="Arial;sans-serif"/>
          <w:b w:val="false"/>
          <w:color w:val="000000"/>
          <w:sz w:val="19"/>
        </w:rPr>
      </w:pPr>
      <w:r>
        <w:rPr>
          <w:rFonts w:ascii="Arial;sans-serif" w:hAnsi="Arial;sans-serif"/>
          <w:b w:val="false"/>
          <w:color w:val="000000"/>
          <w:sz w:val="19"/>
        </w:rPr>
        <w:t>The following table sets forth the outstanding equity awards held by our named executive officers on December 31, 2025, which consisted of Service-Based RSUs and PRSUs.</w:t>
      </w:r>
    </w:p>
    <w:tbl>
      <w:tblPr>
        <w:tblW w:w="10205" w:type="dxa"/>
        <w:jc w:val="center"/>
        <w:tblInd w:w="0" w:type="dxa"/>
        <w:tblLayout w:type="fixed"/>
        <w:tblCellMar>
          <w:top w:w="28" w:type="dxa"/>
          <w:left w:w="28" w:type="dxa"/>
          <w:bottom w:w="28" w:type="dxa"/>
          <w:right w:w="28" w:type="dxa"/>
        </w:tblCellMar>
      </w:tblPr>
      <w:tblGrid>
        <w:gridCol w:w="852"/>
        <w:gridCol w:w="602"/>
        <w:gridCol w:w="611"/>
        <w:gridCol w:w="441"/>
        <w:gridCol w:w="441"/>
        <w:gridCol w:w="443"/>
        <w:gridCol w:w="494"/>
        <w:gridCol w:w="494"/>
        <w:gridCol w:w="496"/>
        <w:gridCol w:w="542"/>
        <w:gridCol w:w="542"/>
        <w:gridCol w:w="544"/>
        <w:gridCol w:w="603"/>
        <w:gridCol w:w="603"/>
        <w:gridCol w:w="605"/>
        <w:gridCol w:w="550"/>
        <w:gridCol w:w="550"/>
        <w:gridCol w:w="792"/>
      </w:tblGrid>
      <w:tr>
        <w:trPr/>
        <w:tc>
          <w:tcPr>
            <w:tcW w:w="85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2065" w:type="dxa"/>
            <w:gridSpan w:val="3"/>
            <w:tcBorders>
              <w:top w:val="single" w:sz="24" w:space="0" w:color="053273"/>
              <w:bottom w:val="single" w:sz="12" w:space="0" w:color="636466"/>
            </w:tcBorders>
            <w:shd w:fill="F3F3F4"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273"/>
                <w:sz w:val="16"/>
              </w:rPr>
            </w:pPr>
            <w:r>
              <w:rPr>
                <w:rFonts w:ascii="Arial;sans-serif" w:hAnsi="Arial;sans-serif"/>
                <w:b/>
                <w:color w:val="003273"/>
                <w:sz w:val="16"/>
              </w:rPr>
              <w:t>NAME</w:t>
            </w:r>
          </w:p>
        </w:tc>
        <w:tc>
          <w:tcPr>
            <w:tcW w:w="1325"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3273"/>
                <w:sz w:val="16"/>
              </w:rPr>
            </w:pPr>
            <w:r>
              <w:rPr>
                <w:rFonts w:ascii="Arial;sans-serif" w:hAnsi="Arial;sans-serif"/>
                <w:b/>
                <w:color w:val="003273"/>
                <w:sz w:val="16"/>
              </w:rPr>
              <w:t>GRANT</w:t>
              <w:br/>
              <w:t>DATE</w:t>
            </w:r>
          </w:p>
        </w:tc>
        <w:tc>
          <w:tcPr>
            <w:tcW w:w="1484"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3273"/>
                <w:sz w:val="16"/>
              </w:rPr>
            </w:pPr>
            <w:r>
              <w:rPr>
                <w:rFonts w:ascii="Arial;sans-serif" w:hAnsi="Arial;sans-serif"/>
                <w:b/>
                <w:color w:val="003273"/>
                <w:sz w:val="16"/>
              </w:rPr>
              <w:t>NUMBER OF</w:t>
              <w:br/>
              <w:t>SHARES OR</w:t>
              <w:br/>
              <w:t>UNITS OF</w:t>
              <w:br/>
              <w:t>STOCK</w:t>
              <w:br/>
              <w:t>THAT HAVE</w:t>
              <w:br/>
              <w:t>NOT VESTED</w:t>
              <w:br/>
              <w:t>(#)</w:t>
            </w:r>
          </w:p>
        </w:tc>
        <w:tc>
          <w:tcPr>
            <w:tcW w:w="1628"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MARKET VALUE</w:t>
            </w:r>
          </w:p>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OF SHARES</w:t>
            </w:r>
          </w:p>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OR UNITS OF</w:t>
            </w:r>
          </w:p>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STOCK THAT</w:t>
            </w:r>
          </w:p>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HAVE NOT</w:t>
            </w:r>
          </w:p>
          <w:p>
            <w:pPr>
              <w:pStyle w:val="TableContents"/>
              <w:bidi w:val="0"/>
              <w:spacing w:lineRule="auto" w:line="240" w:before="0" w:after="0"/>
              <w:jc w:val="center"/>
              <w:rPr/>
            </w:pPr>
            <w:r>
              <w:rPr>
                <w:rFonts w:ascii="Arial;sans-serif" w:hAnsi="Arial;sans-serif"/>
                <w:b/>
                <w:color w:val="003273"/>
                <w:sz w:val="16"/>
              </w:rPr>
              <w:t>VESTED</w:t>
            </w:r>
            <w:r>
              <w:rPr>
                <w:rFonts w:ascii="Arial;sans-serif" w:hAnsi="Arial;sans-serif"/>
                <w:b w:val="false"/>
                <w:color w:val="003273"/>
                <w:sz w:val="10"/>
              </w:rPr>
              <w:t>(3)</w:t>
            </w:r>
          </w:p>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w:t>
            </w:r>
          </w:p>
        </w:tc>
        <w:tc>
          <w:tcPr>
            <w:tcW w:w="1811"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EQUITY</w:t>
            </w:r>
          </w:p>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INCENTIVE</w:t>
            </w:r>
          </w:p>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PLAN</w:t>
            </w:r>
          </w:p>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AWARDS:</w:t>
            </w:r>
          </w:p>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NUMBER OF</w:t>
            </w:r>
          </w:p>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UNEARNED</w:t>
            </w:r>
          </w:p>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SHARES,</w:t>
            </w:r>
          </w:p>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UNITS OR</w:t>
            </w:r>
          </w:p>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OTHER RIGHTS</w:t>
            </w:r>
          </w:p>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THAT HAVE</w:t>
            </w:r>
          </w:p>
          <w:p>
            <w:pPr>
              <w:pStyle w:val="TableContents"/>
              <w:bidi w:val="0"/>
              <w:spacing w:lineRule="auto" w:line="240" w:before="0" w:after="0"/>
              <w:jc w:val="center"/>
              <w:rPr/>
            </w:pPr>
            <w:r>
              <w:rPr>
                <w:rFonts w:ascii="Arial;sans-serif" w:hAnsi="Arial;sans-serif"/>
                <w:b/>
                <w:color w:val="003273"/>
                <w:sz w:val="16"/>
              </w:rPr>
              <w:t>NOT VESTED</w:t>
            </w:r>
            <w:r>
              <w:rPr>
                <w:rFonts w:ascii="Arial;sans-serif" w:hAnsi="Arial;sans-serif"/>
                <w:b w:val="false"/>
                <w:color w:val="003273"/>
                <w:sz w:val="10"/>
              </w:rPr>
              <w:t>(4)</w:t>
            </w:r>
          </w:p>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w:t>
            </w:r>
          </w:p>
        </w:tc>
        <w:tc>
          <w:tcPr>
            <w:tcW w:w="1892"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EQUITY</w:t>
            </w:r>
          </w:p>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INCENTIVE</w:t>
            </w:r>
          </w:p>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PLAN</w:t>
            </w:r>
          </w:p>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AWARDS:</w:t>
            </w:r>
          </w:p>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MARKET OR</w:t>
            </w:r>
          </w:p>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PAYOUT</w:t>
            </w:r>
          </w:p>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VALUE OF</w:t>
            </w:r>
          </w:p>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UNEARNED</w:t>
            </w:r>
          </w:p>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SHARES,</w:t>
            </w:r>
          </w:p>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UNITS OR</w:t>
            </w:r>
          </w:p>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OTHER RIGHTS</w:t>
            </w:r>
          </w:p>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THAT HAVE</w:t>
            </w:r>
          </w:p>
          <w:p>
            <w:pPr>
              <w:pStyle w:val="TableContents"/>
              <w:bidi w:val="0"/>
              <w:spacing w:lineRule="auto" w:line="240" w:before="0" w:after="0"/>
              <w:jc w:val="center"/>
              <w:rPr/>
            </w:pPr>
            <w:r>
              <w:rPr>
                <w:rFonts w:ascii="Arial;sans-serif" w:hAnsi="Arial;sans-serif"/>
                <w:b/>
                <w:color w:val="003273"/>
                <w:sz w:val="16"/>
              </w:rPr>
              <w:t>NOT VESTED</w:t>
            </w:r>
            <w:r>
              <w:rPr>
                <w:rFonts w:ascii="Arial;sans-serif" w:hAnsi="Arial;sans-serif"/>
                <w:b w:val="false"/>
                <w:color w:val="003273"/>
                <w:sz w:val="10"/>
              </w:rPr>
              <w:t>(5)</w:t>
            </w:r>
          </w:p>
          <w:p>
            <w:pPr>
              <w:pStyle w:val="TableContents"/>
              <w:bidi w:val="0"/>
              <w:spacing w:lineRule="auto" w:line="240" w:before="0" w:after="0"/>
              <w:jc w:val="center"/>
              <w:rPr>
                <w:rFonts w:ascii="Arial;sans-serif" w:hAnsi="Arial;sans-serif"/>
                <w:b/>
                <w:color w:val="003273"/>
                <w:sz w:val="16"/>
              </w:rPr>
            </w:pPr>
            <w:r>
              <w:rPr>
                <w:rFonts w:ascii="Arial;sans-serif" w:hAnsi="Arial;sans-serif"/>
                <w:b/>
                <w:color w:val="003273"/>
                <w:sz w:val="16"/>
              </w:rPr>
              <w:t>($)</w:t>
            </w:r>
          </w:p>
        </w:tc>
      </w:tr>
      <w:tr>
        <w:trPr/>
        <w:tc>
          <w:tcPr>
            <w:tcW w:w="20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Frank N. D’Orazio</w:t>
            </w:r>
          </w:p>
        </w:tc>
        <w:tc>
          <w:tcPr>
            <w:tcW w:w="1325"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3/1/2023</w:t>
            </w:r>
            <w:r>
              <w:rPr>
                <w:rFonts w:ascii="Arial;sans-serif" w:hAnsi="Arial;sans-serif"/>
                <w:b w:val="false"/>
                <w:color w:val="000000"/>
                <w:sz w:val="12"/>
              </w:rPr>
              <w:t>(1)</w:t>
            </w:r>
          </w:p>
        </w:tc>
        <w:tc>
          <w:tcPr>
            <w:tcW w:w="1484"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6,209</w:t>
            </w:r>
          </w:p>
        </w:tc>
        <w:tc>
          <w:tcPr>
            <w:tcW w:w="1628"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39,489</w:t>
            </w:r>
          </w:p>
        </w:tc>
        <w:tc>
          <w:tcPr>
            <w:tcW w:w="1811"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92"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5" w:type="dxa"/>
            <w:gridSpan w:val="3"/>
            <w:vMerge w:val="continue"/>
            <w:tcBorders/>
            <w:tcMar>
              <w:top w:w="0" w:type="dxa"/>
              <w:left w:w="0" w:type="dxa"/>
              <w:bottom w:w="0" w:type="dxa"/>
              <w:right w:w="0" w:type="dxa"/>
            </w:tcMar>
            <w:vAlign w:val="center"/>
          </w:tcPr>
          <w:p>
            <w:pPr>
              <w:pStyle w:val="Normal"/>
              <w:bidi w:val="0"/>
              <w:jc w:val="left"/>
              <w:rPr/>
            </w:pPr>
            <w:r>
              <w:rPr/>
            </w:r>
          </w:p>
        </w:tc>
        <w:tc>
          <w:tcPr>
            <w:tcW w:w="1325"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3/1/2023</w:t>
            </w:r>
            <w:r>
              <w:rPr>
                <w:rFonts w:ascii="Arial;sans-serif" w:hAnsi="Arial;sans-serif"/>
                <w:b w:val="false"/>
                <w:color w:val="000000"/>
                <w:sz w:val="12"/>
              </w:rPr>
              <w:t>(2)</w:t>
            </w:r>
          </w:p>
        </w:tc>
        <w:tc>
          <w:tcPr>
            <w:tcW w:w="1484"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13,597</w:t>
            </w:r>
          </w:p>
        </w:tc>
        <w:tc>
          <w:tcPr>
            <w:tcW w:w="1628"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86,477</w:t>
            </w:r>
          </w:p>
        </w:tc>
        <w:tc>
          <w:tcPr>
            <w:tcW w:w="1811"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92"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5" w:type="dxa"/>
            <w:gridSpan w:val="3"/>
            <w:vMerge w:val="continue"/>
            <w:tcBorders/>
            <w:tcMar>
              <w:top w:w="0" w:type="dxa"/>
              <w:left w:w="0" w:type="dxa"/>
              <w:bottom w:w="0" w:type="dxa"/>
              <w:right w:w="0" w:type="dxa"/>
            </w:tcMar>
            <w:vAlign w:val="center"/>
          </w:tcPr>
          <w:p>
            <w:pPr>
              <w:pStyle w:val="Normal"/>
              <w:bidi w:val="0"/>
              <w:jc w:val="left"/>
              <w:rPr/>
            </w:pPr>
            <w:r>
              <w:rPr/>
            </w:r>
          </w:p>
        </w:tc>
        <w:tc>
          <w:tcPr>
            <w:tcW w:w="1325"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3/1/2024</w:t>
            </w:r>
            <w:r>
              <w:rPr>
                <w:rFonts w:ascii="Arial;sans-serif" w:hAnsi="Arial;sans-serif"/>
                <w:b w:val="false"/>
                <w:color w:val="000000"/>
                <w:sz w:val="12"/>
              </w:rPr>
              <w:t>(1)</w:t>
            </w:r>
          </w:p>
        </w:tc>
        <w:tc>
          <w:tcPr>
            <w:tcW w:w="1484"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32,878</w:t>
            </w:r>
          </w:p>
        </w:tc>
        <w:tc>
          <w:tcPr>
            <w:tcW w:w="1628"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209,104</w:t>
            </w:r>
          </w:p>
        </w:tc>
        <w:tc>
          <w:tcPr>
            <w:tcW w:w="1811"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92"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5" w:type="dxa"/>
            <w:gridSpan w:val="3"/>
            <w:vMerge w:val="continue"/>
            <w:tcBorders/>
            <w:tcMar>
              <w:top w:w="0" w:type="dxa"/>
              <w:left w:w="0" w:type="dxa"/>
              <w:bottom w:w="0" w:type="dxa"/>
              <w:right w:w="0" w:type="dxa"/>
            </w:tcMar>
            <w:vAlign w:val="center"/>
          </w:tcPr>
          <w:p>
            <w:pPr>
              <w:pStyle w:val="Normal"/>
              <w:bidi w:val="0"/>
              <w:jc w:val="left"/>
              <w:rPr/>
            </w:pPr>
            <w:r>
              <w:rPr/>
            </w:r>
          </w:p>
        </w:tc>
        <w:tc>
          <w:tcPr>
            <w:tcW w:w="1325"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3/1/2024</w:t>
            </w:r>
          </w:p>
        </w:tc>
        <w:tc>
          <w:tcPr>
            <w:tcW w:w="1484"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28"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11"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49,317</w:t>
            </w:r>
          </w:p>
        </w:tc>
        <w:tc>
          <w:tcPr>
            <w:tcW w:w="1892"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313,656</w:t>
            </w:r>
          </w:p>
        </w:tc>
      </w:tr>
      <w:tr>
        <w:trPr/>
        <w:tc>
          <w:tcPr>
            <w:tcW w:w="2065" w:type="dxa"/>
            <w:gridSpan w:val="3"/>
            <w:vMerge w:val="continue"/>
            <w:tcBorders/>
            <w:tcMar>
              <w:top w:w="0" w:type="dxa"/>
              <w:left w:w="0" w:type="dxa"/>
              <w:bottom w:w="0" w:type="dxa"/>
              <w:right w:w="0" w:type="dxa"/>
            </w:tcMar>
            <w:vAlign w:val="center"/>
          </w:tcPr>
          <w:p>
            <w:pPr>
              <w:pStyle w:val="Normal"/>
              <w:bidi w:val="0"/>
              <w:jc w:val="left"/>
              <w:rPr/>
            </w:pPr>
            <w:r>
              <w:rPr/>
            </w:r>
          </w:p>
        </w:tc>
        <w:tc>
          <w:tcPr>
            <w:tcW w:w="1325"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3/5/2025</w:t>
            </w:r>
            <w:r>
              <w:rPr>
                <w:rFonts w:ascii="Arial;sans-serif" w:hAnsi="Arial;sans-serif"/>
                <w:b w:val="false"/>
                <w:color w:val="000000"/>
                <w:sz w:val="12"/>
              </w:rPr>
              <w:t>(1)</w:t>
            </w:r>
          </w:p>
        </w:tc>
        <w:tc>
          <w:tcPr>
            <w:tcW w:w="1484"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131,334</w:t>
            </w:r>
          </w:p>
        </w:tc>
        <w:tc>
          <w:tcPr>
            <w:tcW w:w="1628"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835,284</w:t>
            </w:r>
          </w:p>
        </w:tc>
        <w:tc>
          <w:tcPr>
            <w:tcW w:w="1811"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92"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5" w:type="dxa"/>
            <w:gridSpan w:val="3"/>
            <w:vMerge w:val="continue"/>
            <w:tcBorders/>
            <w:tcMar>
              <w:top w:w="0" w:type="dxa"/>
              <w:left w:w="0" w:type="dxa"/>
              <w:bottom w:w="0" w:type="dxa"/>
              <w:right w:w="0" w:type="dxa"/>
            </w:tcMar>
            <w:vAlign w:val="center"/>
          </w:tcPr>
          <w:p>
            <w:pPr>
              <w:pStyle w:val="Normal"/>
              <w:bidi w:val="0"/>
              <w:jc w:val="left"/>
              <w:rPr/>
            </w:pPr>
            <w:r>
              <w:rPr/>
            </w:r>
          </w:p>
        </w:tc>
        <w:tc>
          <w:tcPr>
            <w:tcW w:w="1325"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3/5/2025</w:t>
            </w:r>
          </w:p>
        </w:tc>
        <w:tc>
          <w:tcPr>
            <w:tcW w:w="1484"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28"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11"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131,334</w:t>
            </w:r>
          </w:p>
        </w:tc>
        <w:tc>
          <w:tcPr>
            <w:tcW w:w="1892"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835,284</w:t>
            </w:r>
          </w:p>
        </w:tc>
      </w:tr>
      <w:tr>
        <w:trPr/>
        <w:tc>
          <w:tcPr>
            <w:tcW w:w="2065" w:type="dxa"/>
            <w:gridSpan w:val="3"/>
            <w:vMerge w:val="restart"/>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Sarah C. Doran</w:t>
            </w:r>
          </w:p>
        </w:tc>
        <w:tc>
          <w:tcPr>
            <w:tcW w:w="132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3/1/2023</w:t>
            </w:r>
            <w:r>
              <w:rPr>
                <w:rFonts w:ascii="Arial;sans-serif" w:hAnsi="Arial;sans-serif"/>
                <w:b w:val="false"/>
                <w:color w:val="000000"/>
                <w:sz w:val="12"/>
              </w:rPr>
              <w:t>(1)</w:t>
            </w:r>
          </w:p>
        </w:tc>
        <w:tc>
          <w:tcPr>
            <w:tcW w:w="148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3,692</w:t>
            </w:r>
          </w:p>
        </w:tc>
        <w:tc>
          <w:tcPr>
            <w:tcW w:w="162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23,481</w:t>
            </w:r>
          </w:p>
        </w:tc>
        <w:tc>
          <w:tcPr>
            <w:tcW w:w="181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9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5"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1325"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3/1/2023</w:t>
            </w:r>
            <w:r>
              <w:rPr>
                <w:rFonts w:ascii="Arial;sans-serif" w:hAnsi="Arial;sans-serif"/>
                <w:b w:val="false"/>
                <w:color w:val="000000"/>
                <w:sz w:val="12"/>
              </w:rPr>
              <w:t>(2)</w:t>
            </w:r>
          </w:p>
        </w:tc>
        <w:tc>
          <w:tcPr>
            <w:tcW w:w="1484"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8,085</w:t>
            </w:r>
          </w:p>
        </w:tc>
        <w:tc>
          <w:tcPr>
            <w:tcW w:w="1628"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51,421</w:t>
            </w:r>
          </w:p>
        </w:tc>
        <w:tc>
          <w:tcPr>
            <w:tcW w:w="1811"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92"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5"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1325"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3/1/2024</w:t>
            </w:r>
            <w:r>
              <w:rPr>
                <w:rFonts w:ascii="Arial;sans-serif" w:hAnsi="Arial;sans-serif"/>
                <w:b w:val="false"/>
                <w:color w:val="000000"/>
                <w:sz w:val="12"/>
              </w:rPr>
              <w:t>(1)</w:t>
            </w:r>
          </w:p>
        </w:tc>
        <w:tc>
          <w:tcPr>
            <w:tcW w:w="1484"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19,456</w:t>
            </w:r>
          </w:p>
        </w:tc>
        <w:tc>
          <w:tcPr>
            <w:tcW w:w="1628"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123,740</w:t>
            </w:r>
          </w:p>
        </w:tc>
        <w:tc>
          <w:tcPr>
            <w:tcW w:w="1811"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92"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5"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1325"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3/1/2024</w:t>
            </w:r>
          </w:p>
        </w:tc>
        <w:tc>
          <w:tcPr>
            <w:tcW w:w="1484"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28"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11"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29,183</w:t>
            </w:r>
          </w:p>
        </w:tc>
        <w:tc>
          <w:tcPr>
            <w:tcW w:w="1892"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185,604</w:t>
            </w:r>
          </w:p>
        </w:tc>
      </w:tr>
      <w:tr>
        <w:trPr/>
        <w:tc>
          <w:tcPr>
            <w:tcW w:w="2065"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1325"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3/5/2025</w:t>
            </w:r>
            <w:r>
              <w:rPr>
                <w:rFonts w:ascii="Arial;sans-serif" w:hAnsi="Arial;sans-serif"/>
                <w:b w:val="false"/>
                <w:color w:val="000000"/>
                <w:sz w:val="12"/>
              </w:rPr>
              <w:t>(1)</w:t>
            </w:r>
          </w:p>
        </w:tc>
        <w:tc>
          <w:tcPr>
            <w:tcW w:w="1484"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77,717</w:t>
            </w:r>
          </w:p>
        </w:tc>
        <w:tc>
          <w:tcPr>
            <w:tcW w:w="1628"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494,280</w:t>
            </w:r>
          </w:p>
        </w:tc>
        <w:tc>
          <w:tcPr>
            <w:tcW w:w="1811"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92"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5"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1325"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3/5/2025</w:t>
            </w:r>
          </w:p>
        </w:tc>
        <w:tc>
          <w:tcPr>
            <w:tcW w:w="1484"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28"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11"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77,717</w:t>
            </w:r>
          </w:p>
        </w:tc>
        <w:tc>
          <w:tcPr>
            <w:tcW w:w="1892"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494,280</w:t>
            </w:r>
          </w:p>
        </w:tc>
      </w:tr>
      <w:tr>
        <w:trPr/>
        <w:tc>
          <w:tcPr>
            <w:tcW w:w="2065" w:type="dxa"/>
            <w:gridSpan w:val="3"/>
            <w:vMerge w:val="restart"/>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Richard J. Schmitzer</w:t>
            </w:r>
          </w:p>
        </w:tc>
        <w:tc>
          <w:tcPr>
            <w:tcW w:w="132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3/1/2023</w:t>
            </w:r>
            <w:r>
              <w:rPr>
                <w:rFonts w:ascii="Arial;sans-serif" w:hAnsi="Arial;sans-serif"/>
                <w:b w:val="false"/>
                <w:color w:val="000000"/>
                <w:sz w:val="12"/>
              </w:rPr>
              <w:t>(2)</w:t>
            </w:r>
          </w:p>
        </w:tc>
        <w:tc>
          <w:tcPr>
            <w:tcW w:w="148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8,892</w:t>
            </w:r>
          </w:p>
        </w:tc>
        <w:tc>
          <w:tcPr>
            <w:tcW w:w="162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56,553</w:t>
            </w:r>
          </w:p>
        </w:tc>
        <w:tc>
          <w:tcPr>
            <w:tcW w:w="181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9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5"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1325"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3/1/2024</w:t>
            </w:r>
          </w:p>
        </w:tc>
        <w:tc>
          <w:tcPr>
            <w:tcW w:w="1484"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28"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11"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20,415</w:t>
            </w:r>
          </w:p>
        </w:tc>
        <w:tc>
          <w:tcPr>
            <w:tcW w:w="1892"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129,839</w:t>
            </w:r>
          </w:p>
        </w:tc>
      </w:tr>
      <w:tr>
        <w:trPr/>
        <w:tc>
          <w:tcPr>
            <w:tcW w:w="2065"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1325"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3/5/2025</w:t>
            </w:r>
          </w:p>
        </w:tc>
        <w:tc>
          <w:tcPr>
            <w:tcW w:w="1484"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28"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11"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23,941</w:t>
            </w:r>
          </w:p>
        </w:tc>
        <w:tc>
          <w:tcPr>
            <w:tcW w:w="1892"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152,265</w:t>
            </w:r>
          </w:p>
        </w:tc>
      </w:tr>
      <w:tr>
        <w:trPr/>
        <w:tc>
          <w:tcPr>
            <w:tcW w:w="2065" w:type="dxa"/>
            <w:gridSpan w:val="3"/>
            <w:vMerge w:val="restart"/>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Michael J. Hoffmann</w:t>
            </w:r>
          </w:p>
        </w:tc>
        <w:tc>
          <w:tcPr>
            <w:tcW w:w="132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3/1/2023</w:t>
            </w:r>
            <w:r>
              <w:rPr>
                <w:rFonts w:ascii="Arial;sans-serif" w:hAnsi="Arial;sans-serif"/>
                <w:b w:val="false"/>
                <w:color w:val="000000"/>
                <w:sz w:val="12"/>
              </w:rPr>
              <w:t>(1)</w:t>
            </w:r>
          </w:p>
        </w:tc>
        <w:tc>
          <w:tcPr>
            <w:tcW w:w="148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2,853</w:t>
            </w:r>
          </w:p>
        </w:tc>
        <w:tc>
          <w:tcPr>
            <w:tcW w:w="162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18,145</w:t>
            </w:r>
          </w:p>
        </w:tc>
        <w:tc>
          <w:tcPr>
            <w:tcW w:w="181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9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5"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1325"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3/1/2023</w:t>
            </w:r>
            <w:r>
              <w:rPr>
                <w:rFonts w:ascii="Arial;sans-serif" w:hAnsi="Arial;sans-serif"/>
                <w:b w:val="false"/>
                <w:color w:val="000000"/>
                <w:sz w:val="12"/>
              </w:rPr>
              <w:t>(2)</w:t>
            </w:r>
          </w:p>
        </w:tc>
        <w:tc>
          <w:tcPr>
            <w:tcW w:w="1484"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6,247</w:t>
            </w:r>
          </w:p>
        </w:tc>
        <w:tc>
          <w:tcPr>
            <w:tcW w:w="1628"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39,731</w:t>
            </w:r>
          </w:p>
        </w:tc>
        <w:tc>
          <w:tcPr>
            <w:tcW w:w="1811"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92"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5"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1325"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3/1/2024</w:t>
            </w:r>
            <w:r>
              <w:rPr>
                <w:rFonts w:ascii="Arial;sans-serif" w:hAnsi="Arial;sans-serif"/>
                <w:b w:val="false"/>
                <w:color w:val="000000"/>
                <w:sz w:val="12"/>
              </w:rPr>
              <w:t>(1)</w:t>
            </w:r>
          </w:p>
        </w:tc>
        <w:tc>
          <w:tcPr>
            <w:tcW w:w="1484"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15,034</w:t>
            </w:r>
          </w:p>
        </w:tc>
        <w:tc>
          <w:tcPr>
            <w:tcW w:w="1628"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95,616</w:t>
            </w:r>
          </w:p>
        </w:tc>
        <w:tc>
          <w:tcPr>
            <w:tcW w:w="1811"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92"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5"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1325"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3/1/2024</w:t>
            </w:r>
          </w:p>
        </w:tc>
        <w:tc>
          <w:tcPr>
            <w:tcW w:w="1484"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28"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11"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22,551</w:t>
            </w:r>
          </w:p>
        </w:tc>
        <w:tc>
          <w:tcPr>
            <w:tcW w:w="1892"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143,424</w:t>
            </w:r>
          </w:p>
        </w:tc>
      </w:tr>
      <w:tr>
        <w:trPr/>
        <w:tc>
          <w:tcPr>
            <w:tcW w:w="2065"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1325"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3/5/2025</w:t>
            </w:r>
            <w:r>
              <w:rPr>
                <w:rFonts w:ascii="Arial;sans-serif" w:hAnsi="Arial;sans-serif"/>
                <w:b w:val="false"/>
                <w:color w:val="000000"/>
                <w:sz w:val="12"/>
              </w:rPr>
              <w:t>(1)</w:t>
            </w:r>
          </w:p>
        </w:tc>
        <w:tc>
          <w:tcPr>
            <w:tcW w:w="1484"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60,054</w:t>
            </w:r>
          </w:p>
        </w:tc>
        <w:tc>
          <w:tcPr>
            <w:tcW w:w="1628"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381,943</w:t>
            </w:r>
          </w:p>
        </w:tc>
        <w:tc>
          <w:tcPr>
            <w:tcW w:w="1811"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92"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5"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1325"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3/5/2025</w:t>
            </w:r>
          </w:p>
        </w:tc>
        <w:tc>
          <w:tcPr>
            <w:tcW w:w="1484"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28"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11"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60,054</w:t>
            </w:r>
          </w:p>
        </w:tc>
        <w:tc>
          <w:tcPr>
            <w:tcW w:w="1892"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381,943</w:t>
            </w:r>
          </w:p>
        </w:tc>
      </w:tr>
      <w:tr>
        <w:trPr/>
        <w:tc>
          <w:tcPr>
            <w:tcW w:w="2065" w:type="dxa"/>
            <w:gridSpan w:val="3"/>
            <w:vMerge w:val="restart"/>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Jeanette L. Miller</w:t>
            </w:r>
          </w:p>
        </w:tc>
        <w:tc>
          <w:tcPr>
            <w:tcW w:w="132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3/1/2023</w:t>
            </w:r>
            <w:r>
              <w:rPr>
                <w:rFonts w:ascii="Arial;sans-serif" w:hAnsi="Arial;sans-serif"/>
                <w:b w:val="false"/>
                <w:color w:val="000000"/>
                <w:sz w:val="12"/>
              </w:rPr>
              <w:t>(1)</w:t>
            </w:r>
          </w:p>
        </w:tc>
        <w:tc>
          <w:tcPr>
            <w:tcW w:w="148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1,426</w:t>
            </w:r>
          </w:p>
        </w:tc>
        <w:tc>
          <w:tcPr>
            <w:tcW w:w="162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9,069</w:t>
            </w:r>
          </w:p>
        </w:tc>
        <w:tc>
          <w:tcPr>
            <w:tcW w:w="181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9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5"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1325"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3/1/2023</w:t>
            </w:r>
            <w:r>
              <w:rPr>
                <w:rFonts w:ascii="Arial;sans-serif" w:hAnsi="Arial;sans-serif"/>
                <w:b w:val="false"/>
                <w:color w:val="000000"/>
                <w:sz w:val="12"/>
              </w:rPr>
              <w:t>(2)</w:t>
            </w:r>
          </w:p>
        </w:tc>
        <w:tc>
          <w:tcPr>
            <w:tcW w:w="1484"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3,122</w:t>
            </w:r>
          </w:p>
        </w:tc>
        <w:tc>
          <w:tcPr>
            <w:tcW w:w="1628"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19,856</w:t>
            </w:r>
          </w:p>
        </w:tc>
        <w:tc>
          <w:tcPr>
            <w:tcW w:w="1811"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92"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5"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1325"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3/1/2024</w:t>
            </w:r>
            <w:r>
              <w:rPr>
                <w:rFonts w:ascii="Arial;sans-serif" w:hAnsi="Arial;sans-serif"/>
                <w:b w:val="false"/>
                <w:color w:val="000000"/>
                <w:sz w:val="12"/>
              </w:rPr>
              <w:t>(1)</w:t>
            </w:r>
          </w:p>
        </w:tc>
        <w:tc>
          <w:tcPr>
            <w:tcW w:w="1484"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9,184</w:t>
            </w:r>
          </w:p>
        </w:tc>
        <w:tc>
          <w:tcPr>
            <w:tcW w:w="1628"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58,410</w:t>
            </w:r>
          </w:p>
        </w:tc>
        <w:tc>
          <w:tcPr>
            <w:tcW w:w="1811"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92"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5"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1325"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3/1/2024</w:t>
            </w:r>
          </w:p>
        </w:tc>
        <w:tc>
          <w:tcPr>
            <w:tcW w:w="1484"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28"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11"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13,775</w:t>
            </w:r>
          </w:p>
        </w:tc>
        <w:tc>
          <w:tcPr>
            <w:tcW w:w="1892"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87,609</w:t>
            </w:r>
          </w:p>
        </w:tc>
      </w:tr>
      <w:tr>
        <w:trPr/>
        <w:tc>
          <w:tcPr>
            <w:tcW w:w="2065"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1325"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3/5/2025</w:t>
            </w:r>
            <w:r>
              <w:rPr>
                <w:rFonts w:ascii="Arial;sans-serif" w:hAnsi="Arial;sans-serif"/>
                <w:b w:val="false"/>
                <w:color w:val="000000"/>
                <w:sz w:val="12"/>
              </w:rPr>
              <w:t>(1)</w:t>
            </w:r>
          </w:p>
        </w:tc>
        <w:tc>
          <w:tcPr>
            <w:tcW w:w="1484"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36,684</w:t>
            </w:r>
          </w:p>
        </w:tc>
        <w:tc>
          <w:tcPr>
            <w:tcW w:w="1628" w:type="dxa"/>
            <w:gridSpan w:val="3"/>
            <w:tcBorders>
              <w:left w:val="single" w:sz="4" w:space="0" w:color="C8C9CB"/>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233,310</w:t>
            </w:r>
          </w:p>
        </w:tc>
        <w:tc>
          <w:tcPr>
            <w:tcW w:w="1811"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92"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5"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1325"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3/5/2025</w:t>
            </w:r>
          </w:p>
        </w:tc>
        <w:tc>
          <w:tcPr>
            <w:tcW w:w="1484"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28"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11"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36,684</w:t>
            </w:r>
          </w:p>
        </w:tc>
        <w:tc>
          <w:tcPr>
            <w:tcW w:w="1892" w:type="dxa"/>
            <w:gridSpan w:val="3"/>
            <w:tcBorders>
              <w:left w:val="single" w:sz="4" w:space="0" w:color="C8C9CB"/>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233,310</w:t>
            </w:r>
          </w:p>
        </w:tc>
      </w:tr>
      <w:tr>
        <w:trPr/>
        <w:tc>
          <w:tcPr>
            <w:tcW w:w="2065" w:type="dxa"/>
            <w:gridSpan w:val="3"/>
            <w:vMerge w:val="restart"/>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Todd R. Sutherland</w:t>
            </w:r>
          </w:p>
        </w:tc>
        <w:tc>
          <w:tcPr>
            <w:tcW w:w="132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7/27/2023</w:t>
            </w:r>
            <w:r>
              <w:rPr>
                <w:rFonts w:ascii="Arial;sans-serif" w:hAnsi="Arial;sans-serif"/>
                <w:b w:val="false"/>
                <w:color w:val="000000"/>
                <w:sz w:val="12"/>
              </w:rPr>
              <w:t>(1)</w:t>
            </w:r>
          </w:p>
        </w:tc>
        <w:tc>
          <w:tcPr>
            <w:tcW w:w="148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3,111</w:t>
            </w:r>
          </w:p>
        </w:tc>
        <w:tc>
          <w:tcPr>
            <w:tcW w:w="162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19,786</w:t>
            </w:r>
          </w:p>
        </w:tc>
        <w:tc>
          <w:tcPr>
            <w:tcW w:w="181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9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65" w:type="dxa"/>
            <w:gridSpan w:val="3"/>
            <w:vMerge w:val="continue"/>
            <w:tcBorders>
              <w:top w:val="single" w:sz="4" w:space="0" w:color="C8C9CB"/>
            </w:tcBorders>
            <w:tcMar>
              <w:top w:w="30" w:type="dxa"/>
              <w:left w:w="0" w:type="dxa"/>
              <w:bottom w:w="0" w:type="dxa"/>
              <w:right w:w="0" w:type="dxa"/>
            </w:tcMar>
            <w:vAlign w:val="center"/>
          </w:tcPr>
          <w:p>
            <w:pPr>
              <w:pStyle w:val="Normal"/>
              <w:bidi w:val="0"/>
              <w:jc w:val="left"/>
              <w:rPr/>
            </w:pPr>
            <w:r>
              <w:rPr/>
            </w:r>
          </w:p>
        </w:tc>
        <w:tc>
          <w:tcPr>
            <w:tcW w:w="1325" w:type="dxa"/>
            <w:gridSpan w:val="3"/>
            <w:tcBorders>
              <w:left w:val="single" w:sz="4" w:space="0" w:color="C8C9CB"/>
              <w:bottom w:val="single" w:sz="4" w:space="0" w:color="C8C9CB"/>
            </w:tcBorders>
            <w:tcMar>
              <w:top w:w="0" w:type="dxa"/>
              <w:bottom w:w="3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8/6/2025</w:t>
            </w:r>
            <w:r>
              <w:rPr>
                <w:rFonts w:ascii="Arial;sans-serif" w:hAnsi="Arial;sans-serif"/>
                <w:b w:val="false"/>
                <w:color w:val="000000"/>
                <w:sz w:val="12"/>
              </w:rPr>
              <w:t>(1)</w:t>
            </w:r>
          </w:p>
        </w:tc>
        <w:tc>
          <w:tcPr>
            <w:tcW w:w="1484" w:type="dxa"/>
            <w:gridSpan w:val="3"/>
            <w:tcBorders>
              <w:left w:val="single" w:sz="4" w:space="0" w:color="C8C9CB"/>
              <w:bottom w:val="single" w:sz="4" w:space="0" w:color="C8C9CB"/>
            </w:tcBorders>
            <w:tcMar>
              <w:top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42,955</w:t>
            </w:r>
          </w:p>
        </w:tc>
        <w:tc>
          <w:tcPr>
            <w:tcW w:w="1628" w:type="dxa"/>
            <w:gridSpan w:val="3"/>
            <w:tcBorders>
              <w:left w:val="single" w:sz="4" w:space="0" w:color="C8C9CB"/>
              <w:bottom w:val="single" w:sz="4" w:space="0" w:color="C8C9CB"/>
            </w:tcBorders>
            <w:tcMar>
              <w:top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273,194</w:t>
            </w:r>
          </w:p>
        </w:tc>
        <w:tc>
          <w:tcPr>
            <w:tcW w:w="1811" w:type="dxa"/>
            <w:gridSpan w:val="3"/>
            <w:tcBorders>
              <w:left w:val="single" w:sz="4" w:space="0" w:color="C8C9CB"/>
              <w:bottom w:val="single" w:sz="4" w:space="0" w:color="C8C9CB"/>
            </w:tcBorders>
            <w:tcMar>
              <w:top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892" w:type="dxa"/>
            <w:gridSpan w:val="3"/>
            <w:tcBorders>
              <w:left w:val="single" w:sz="4" w:space="0" w:color="C8C9CB"/>
              <w:bottom w:val="single" w:sz="4" w:space="0" w:color="C8C9CB"/>
            </w:tcBorders>
            <w:tcMar>
              <w:top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205" w:type="dxa"/>
            <w:gridSpan w:val="18"/>
            <w:tcBorders>
              <w:top w:val="single" w:sz="4" w:space="0" w:color="C8C9C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 Represents the number of Service-Based RSUs granted to each of our named executive officers pursuant to the 2014 LTIP, which vest in equal annual installments over three years based on the named executive officers continued service with the Company. The vesting dates for each unvested Service-Based RSU is as follows: for awards granted in 2023: March 1, 2026 for the awards granted on March 1, 2023 and May 4, 2026 for Mr. Sutherland’s award granted on July 27, 2023; for awards granted in 2024: March 1 of each the years 2026 and 2027; and for awards granted in 2025: March 5 of each of the years 2026 through 2028 for the awards granted on March 5, 2025 and August 6 of each of the years 2026 through 2028 for Mr. Sutherland’s award granted on August 6, 2025. The vesting of the Service-Based RSUs may be accelerated or otherwise subject to special treatment in the circumstances described in the section below titled “Potential Payments upon Termination or Change in Control – Equity Awards.”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625"/>
        <w:gridCol w:w="550"/>
        <w:gridCol w:w="550"/>
        <w:gridCol w:w="550"/>
        <w:gridCol w:w="550"/>
        <w:gridCol w:w="550"/>
        <w:gridCol w:w="550"/>
        <w:gridCol w:w="550"/>
        <w:gridCol w:w="550"/>
        <w:gridCol w:w="550"/>
        <w:gridCol w:w="550"/>
        <w:gridCol w:w="550"/>
        <w:gridCol w:w="550"/>
        <w:gridCol w:w="550"/>
        <w:gridCol w:w="550"/>
        <w:gridCol w:w="550"/>
        <w:gridCol w:w="550"/>
        <w:gridCol w:w="780"/>
      </w:tblGrid>
      <w:tr>
        <w:trPr/>
        <w:tc>
          <w:tcPr>
            <w:tcW w:w="62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8"/>
              </w:rPr>
              <w:t xml:space="preserve">(2) </w:t>
            </w:r>
            <w:r>
              <w:rPr>
                <w:rFonts w:ascii="Arial;sans-serif" w:hAnsi="Arial;sans-serif"/>
                <w:b w:val="false"/>
                <w:color w:val="000000"/>
                <w:sz w:val="18"/>
                <w:shd w:fill="FFFFFF" w:val="clear"/>
              </w:rPr>
              <w:t xml:space="preserve">Represents the number of PRSUs earned by Mr. </w:t>
            </w:r>
            <w:r>
              <w:rPr>
                <w:rFonts w:ascii="Arial;sans-serif" w:hAnsi="Arial;sans-serif"/>
                <w:b w:val="false"/>
                <w:color w:val="000000"/>
                <w:sz w:val="18"/>
              </w:rPr>
              <w:t>D’Orazio</w:t>
            </w:r>
            <w:r>
              <w:rPr>
                <w:rFonts w:ascii="Arial;sans-serif" w:hAnsi="Arial;sans-serif"/>
                <w:b w:val="false"/>
                <w:color w:val="000000"/>
                <w:sz w:val="18"/>
                <w:shd w:fill="FFFFFF" w:val="clear"/>
              </w:rPr>
              <w:t>, Ms. Doran, Mr. Schmitzer, Mr. Hoffmann and Ms. Miller, which PRSUs were granted in 2023 pursuant to the 2014 LTIP with a performance period of January 1, 2023 through December 31, 2025 and which vested on March 2, 2026 based on the named executive officers’ continued employment on such date.</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8"/>
              </w:rPr>
              <w:t xml:space="preserve">(3) </w:t>
            </w:r>
            <w:r>
              <w:rPr>
                <w:rFonts w:ascii="Arial;sans-serif" w:hAnsi="Arial;sans-serif"/>
                <w:b w:val="false"/>
                <w:color w:val="000000"/>
                <w:sz w:val="18"/>
                <w:shd w:fill="FFFFFF" w:val="clear"/>
              </w:rPr>
              <w:t>Market value is determined based on the number of shares of common stock indicated multiplied by the closing price of the Company’s common stock of $6.36 on December 31, 2025, as reported by the Nasdaq Stock Market.</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8"/>
              </w:rPr>
              <w:t xml:space="preserve">(4) </w:t>
            </w:r>
            <w:r>
              <w:rPr>
                <w:rFonts w:ascii="Arial;sans-serif" w:hAnsi="Arial;sans-serif"/>
                <w:b w:val="false"/>
                <w:color w:val="000000"/>
                <w:sz w:val="18"/>
                <w:shd w:fill="FFFFFF" w:val="clear"/>
              </w:rPr>
              <w:t>Represents the number of PRSUs based on achievement of target level performance for the applicable three-year performance period.</w:t>
            </w:r>
            <w:r>
              <w:rPr>
                <w:color w:val="000000"/>
              </w:rPr>
              <w:t xml:space="preserve"> </w:t>
            </w:r>
            <w:r>
              <w:rPr>
                <w:rFonts w:ascii="Arial;sans-serif" w:hAnsi="Arial;sans-serif"/>
                <w:b w:val="false"/>
                <w:color w:val="000000"/>
                <w:sz w:val="18"/>
              </w:rPr>
              <w:t xml:space="preserve">The PRSUs vest following the end of a three-year performance period beginning on the first anniversary of the grant date, </w:t>
            </w:r>
            <w:r>
              <w:rPr>
                <w:rFonts w:ascii="Arial;sans-serif" w:hAnsi="Arial;sans-serif"/>
                <w:b w:val="false"/>
                <w:color w:val="000000"/>
                <w:sz w:val="18"/>
                <w:shd w:fill="FFFFFF" w:val="clear"/>
              </w:rPr>
              <w:t>based upon the level of achievement of specified performance metrics</w:t>
            </w:r>
            <w:r>
              <w:rPr>
                <w:rFonts w:ascii="Arial;sans-serif" w:hAnsi="Arial;sans-serif"/>
                <w:b w:val="false"/>
                <w:color w:val="000000"/>
                <w:sz w:val="18"/>
              </w:rPr>
              <w:t>, and the number of shares that ultimately vest may range from 0 to 200% of the target depending on actual performance during the applicable performance period. See “Item 11 - Compensation Discussion and Analysis IV. Compensation Program Components – Long-Term Incentives” for further detail. The vesting of the PRSUs may be accelerated or otherwise subject to special treatment in the circumstances described in the section below titled “Potential Payments upon Termination or Change in Control – Equity Awards.”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8"/>
              </w:rPr>
              <w:t xml:space="preserve">(5) </w:t>
            </w:r>
            <w:r>
              <w:rPr>
                <w:rFonts w:ascii="Arial;sans-serif" w:hAnsi="Arial;sans-serif"/>
                <w:b w:val="false"/>
                <w:color w:val="000000"/>
                <w:sz w:val="18"/>
                <w:shd w:fill="FFFFFF" w:val="clear"/>
              </w:rPr>
              <w:t>Market value is determined based on target level performance multiplied by the closing price of the Company's common stock of $6.36 on December 31, 2025, as reported by the Nasdaq Stock Market.</w:t>
            </w:r>
          </w:p>
        </w:tc>
      </w:tr>
    </w:tbl>
    <w:p>
      <w:pPr>
        <w:pStyle w:val="TextBody"/>
        <w:bidi w:val="0"/>
        <w:spacing w:lineRule="auto" w:line="288" w:before="120" w:after="240"/>
        <w:jc w:val="both"/>
        <w:rPr>
          <w:rFonts w:ascii="Arial;sans-serif" w:hAnsi="Arial;sans-serif"/>
          <w:b/>
          <w:color w:val="939598"/>
          <w:sz w:val="24"/>
        </w:rPr>
      </w:pPr>
      <w:r>
        <w:rPr>
          <w:rFonts w:ascii="Arial;sans-serif" w:hAnsi="Arial;sans-serif"/>
          <w:b/>
          <w:color w:val="939598"/>
          <w:sz w:val="24"/>
        </w:rPr>
        <w:t>Option Exercises and Stock Vested</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following table presents certain information concerning the vesting of stock awards held by our named executive officers during 2025. There were no stock option exercises during 2025, and no stock options were outstanding as of December 31, 2025.</w:t>
      </w:r>
    </w:p>
    <w:tbl>
      <w:tblPr>
        <w:tblW w:w="10205" w:type="dxa"/>
        <w:jc w:val="center"/>
        <w:tblInd w:w="0" w:type="dxa"/>
        <w:tblLayout w:type="fixed"/>
        <w:tblCellMar>
          <w:top w:w="28" w:type="dxa"/>
          <w:left w:w="28" w:type="dxa"/>
          <w:bottom w:w="28" w:type="dxa"/>
          <w:right w:w="28" w:type="dxa"/>
        </w:tblCellMar>
      </w:tblPr>
      <w:tblGrid>
        <w:gridCol w:w="1369"/>
        <w:gridCol w:w="1058"/>
        <w:gridCol w:w="1079"/>
        <w:gridCol w:w="1248"/>
        <w:gridCol w:w="1248"/>
        <w:gridCol w:w="1251"/>
        <w:gridCol w:w="861"/>
        <w:gridCol w:w="861"/>
        <w:gridCol w:w="1230"/>
      </w:tblGrid>
      <w:tr>
        <w:trPr/>
        <w:tc>
          <w:tcPr>
            <w:tcW w:w="136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3506" w:type="dxa"/>
            <w:gridSpan w:val="3"/>
            <w:tcBorders>
              <w:top w:val="single" w:sz="24" w:space="0" w:color="053273"/>
            </w:tcBorders>
            <w:shd w:fill="F3F3F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273"/>
                <w:sz w:val="17"/>
              </w:rPr>
            </w:pPr>
            <w:r>
              <w:rPr>
                <w:rFonts w:ascii="Arial;sans-serif" w:hAnsi="Arial;sans-serif"/>
                <w:b/>
                <w:color w:val="003273"/>
                <w:sz w:val="17"/>
              </w:rPr>
              <w:t>NAME</w:t>
            </w:r>
          </w:p>
        </w:tc>
        <w:tc>
          <w:tcPr>
            <w:tcW w:w="3747"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3273"/>
                <w:sz w:val="17"/>
              </w:rPr>
            </w:pPr>
            <w:r>
              <w:rPr>
                <w:rFonts w:ascii="Arial;sans-serif" w:hAnsi="Arial;sans-serif"/>
                <w:b/>
                <w:color w:val="003273"/>
                <w:sz w:val="17"/>
              </w:rPr>
              <w:t>NUMBER OF SHARES</w:t>
            </w:r>
          </w:p>
          <w:p>
            <w:pPr>
              <w:pStyle w:val="TableContents"/>
              <w:bidi w:val="0"/>
              <w:spacing w:lineRule="auto" w:line="240" w:before="0" w:after="0"/>
              <w:jc w:val="center"/>
              <w:rPr/>
            </w:pPr>
            <w:r>
              <w:rPr>
                <w:rFonts w:ascii="Arial;sans-serif" w:hAnsi="Arial;sans-serif"/>
                <w:b/>
                <w:color w:val="003273"/>
                <w:sz w:val="17"/>
              </w:rPr>
              <w:t>ACQUIRED ON VESTING</w:t>
            </w:r>
            <w:r>
              <w:rPr>
                <w:rFonts w:ascii="Arial;sans-serif" w:hAnsi="Arial;sans-serif"/>
                <w:b w:val="false"/>
                <w:color w:val="003273"/>
                <w:sz w:val="11"/>
              </w:rPr>
              <w:t>(1)</w:t>
            </w:r>
          </w:p>
          <w:p>
            <w:pPr>
              <w:pStyle w:val="TableContents"/>
              <w:bidi w:val="0"/>
              <w:spacing w:lineRule="auto" w:line="240" w:before="0" w:after="0"/>
              <w:jc w:val="center"/>
              <w:rPr>
                <w:rFonts w:ascii="Arial;sans-serif" w:hAnsi="Arial;sans-serif"/>
                <w:b/>
                <w:color w:val="003273"/>
                <w:sz w:val="17"/>
              </w:rPr>
            </w:pPr>
            <w:r>
              <w:rPr>
                <w:rFonts w:ascii="Arial;sans-serif" w:hAnsi="Arial;sans-serif"/>
                <w:b/>
                <w:color w:val="003273"/>
                <w:sz w:val="17"/>
              </w:rPr>
              <w:t>(#)</w:t>
            </w:r>
          </w:p>
        </w:tc>
        <w:tc>
          <w:tcPr>
            <w:tcW w:w="2952"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3273"/>
                <w:sz w:val="17"/>
              </w:rPr>
            </w:pPr>
            <w:r>
              <w:rPr>
                <w:rFonts w:ascii="Arial;sans-serif" w:hAnsi="Arial;sans-serif"/>
                <w:b/>
                <w:color w:val="003273"/>
                <w:sz w:val="17"/>
              </w:rPr>
              <w:t>VALUE REALIZED</w:t>
            </w:r>
          </w:p>
          <w:p>
            <w:pPr>
              <w:pStyle w:val="TableContents"/>
              <w:bidi w:val="0"/>
              <w:spacing w:lineRule="auto" w:line="240" w:before="0" w:after="0"/>
              <w:jc w:val="center"/>
              <w:rPr/>
            </w:pPr>
            <w:r>
              <w:rPr>
                <w:rFonts w:ascii="Arial;sans-serif" w:hAnsi="Arial;sans-serif"/>
                <w:b/>
                <w:color w:val="003273"/>
                <w:sz w:val="17"/>
              </w:rPr>
              <w:t>ON VESTING</w:t>
            </w:r>
            <w:r>
              <w:rPr>
                <w:rFonts w:ascii="Arial;sans-serif" w:hAnsi="Arial;sans-serif"/>
                <w:b w:val="false"/>
                <w:color w:val="003273"/>
                <w:sz w:val="11"/>
              </w:rPr>
              <w:t>(2)</w:t>
            </w:r>
          </w:p>
          <w:p>
            <w:pPr>
              <w:pStyle w:val="TableContents"/>
              <w:bidi w:val="0"/>
              <w:spacing w:lineRule="auto" w:line="240" w:before="0" w:after="0"/>
              <w:jc w:val="center"/>
              <w:rPr>
                <w:rFonts w:ascii="Arial;sans-serif" w:hAnsi="Arial;sans-serif"/>
                <w:b/>
                <w:color w:val="003273"/>
                <w:sz w:val="17"/>
              </w:rPr>
            </w:pPr>
            <w:r>
              <w:rPr>
                <w:rFonts w:ascii="Arial;sans-serif" w:hAnsi="Arial;sans-serif"/>
                <w:b/>
                <w:color w:val="003273"/>
                <w:sz w:val="17"/>
              </w:rPr>
              <w:t>($)</w:t>
            </w:r>
          </w:p>
        </w:tc>
      </w:tr>
      <w:tr>
        <w:trPr/>
        <w:tc>
          <w:tcPr>
            <w:tcW w:w="3506" w:type="dxa"/>
            <w:gridSpan w:val="3"/>
            <w:tcBorders>
              <w:top w:val="single" w:sz="12" w:space="0" w:color="63646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Frank N. D’Orazio</w:t>
            </w:r>
          </w:p>
        </w:tc>
        <w:tc>
          <w:tcPr>
            <w:tcW w:w="3747"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56,977</w:t>
            </w:r>
          </w:p>
        </w:tc>
        <w:tc>
          <w:tcPr>
            <w:tcW w:w="2952"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311,678</w:t>
            </w:r>
          </w:p>
        </w:tc>
      </w:tr>
      <w:tr>
        <w:trPr/>
        <w:tc>
          <w:tcPr>
            <w:tcW w:w="3506"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Sarah C. Doran</w:t>
            </w:r>
          </w:p>
        </w:tc>
        <w:tc>
          <w:tcPr>
            <w:tcW w:w="3747"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31,102</w:t>
            </w:r>
          </w:p>
        </w:tc>
        <w:tc>
          <w:tcPr>
            <w:tcW w:w="295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171,580</w:t>
            </w:r>
          </w:p>
        </w:tc>
      </w:tr>
      <w:tr>
        <w:trPr/>
        <w:tc>
          <w:tcPr>
            <w:tcW w:w="3506"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Richard J. Schmitzer</w:t>
            </w:r>
          </w:p>
        </w:tc>
        <w:tc>
          <w:tcPr>
            <w:tcW w:w="3747"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81,192</w:t>
            </w:r>
          </w:p>
        </w:tc>
        <w:tc>
          <w:tcPr>
            <w:tcW w:w="295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440,646</w:t>
            </w:r>
          </w:p>
        </w:tc>
      </w:tr>
      <w:tr>
        <w:trPr/>
        <w:tc>
          <w:tcPr>
            <w:tcW w:w="3506" w:type="dxa"/>
            <w:gridSpan w:val="3"/>
            <w:tcBorders>
              <w:top w:val="single" w:sz="4" w:space="0" w:color="C8C9CB"/>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Michael J. Hoffmann</w:t>
            </w:r>
          </w:p>
        </w:tc>
        <w:tc>
          <w:tcPr>
            <w:tcW w:w="3747" w:type="dxa"/>
            <w:gridSpan w:val="3"/>
            <w:tcBorders>
              <w:top w:val="single" w:sz="4" w:space="0" w:color="C8C9CB"/>
              <w:left w:val="single" w:sz="4" w:space="0" w:color="C8C9CB"/>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22,471</w:t>
            </w:r>
          </w:p>
        </w:tc>
        <w:tc>
          <w:tcPr>
            <w:tcW w:w="2952" w:type="dxa"/>
            <w:gridSpan w:val="3"/>
            <w:tcBorders>
              <w:top w:val="single" w:sz="4" w:space="0" w:color="C8C9CB"/>
              <w:left w:val="single" w:sz="4" w:space="0" w:color="C8C9CB"/>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124,850</w:t>
            </w:r>
          </w:p>
        </w:tc>
      </w:tr>
      <w:tr>
        <w:trPr/>
        <w:tc>
          <w:tcPr>
            <w:tcW w:w="3506"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Jeanette L. Miller</w:t>
            </w:r>
          </w:p>
        </w:tc>
        <w:tc>
          <w:tcPr>
            <w:tcW w:w="3747"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12,493</w:t>
            </w:r>
          </w:p>
        </w:tc>
        <w:tc>
          <w:tcPr>
            <w:tcW w:w="295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68,646</w:t>
            </w:r>
          </w:p>
        </w:tc>
      </w:tr>
      <w:tr>
        <w:trPr/>
        <w:tc>
          <w:tcPr>
            <w:tcW w:w="3506" w:type="dxa"/>
            <w:gridSpan w:val="3"/>
            <w:tcBorders>
              <w:top w:val="single" w:sz="4" w:space="0" w:color="C8C9CB"/>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Todd R. Sutherland</w:t>
            </w:r>
          </w:p>
        </w:tc>
        <w:tc>
          <w:tcPr>
            <w:tcW w:w="3747" w:type="dxa"/>
            <w:gridSpan w:val="3"/>
            <w:tcBorders>
              <w:top w:val="single" w:sz="4" w:space="0" w:color="C8C9CB"/>
              <w:left w:val="single" w:sz="4" w:space="0" w:color="C8C9CB"/>
              <w:bottom w:val="single" w:sz="4" w:space="0" w:color="C8C9CB"/>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3,110</w:t>
            </w:r>
          </w:p>
        </w:tc>
        <w:tc>
          <w:tcPr>
            <w:tcW w:w="2952" w:type="dxa"/>
            <w:gridSpan w:val="3"/>
            <w:tcBorders>
              <w:top w:val="single" w:sz="4" w:space="0" w:color="C8C9CB"/>
              <w:left w:val="single" w:sz="4" w:space="0" w:color="C8C9CB"/>
              <w:bottom w:val="single" w:sz="4" w:space="0" w:color="C8C9CB"/>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14,897</w:t>
            </w:r>
          </w:p>
        </w:tc>
      </w:tr>
      <w:tr>
        <w:trPr/>
        <w:tc>
          <w:tcPr>
            <w:tcW w:w="10205" w:type="dxa"/>
            <w:gridSpan w:val="9"/>
            <w:tcBorders>
              <w:top w:val="single" w:sz="4" w:space="0" w:color="C8C9C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Arial;sans-serif" w:hAnsi="Arial;sans-serif"/>
                <w:b w:val="false"/>
                <w:color w:val="000000"/>
                <w:sz w:val="19"/>
              </w:rPr>
              <w:t xml:space="preserve">(1) </w:t>
            </w:r>
            <w:r>
              <w:rPr>
                <w:rFonts w:ascii="Arial;sans-serif" w:hAnsi="Arial;sans-serif"/>
                <w:b w:val="false"/>
                <w:color w:val="000000"/>
                <w:sz w:val="19"/>
                <w:shd w:fill="FFFFFF" w:val="clear"/>
              </w:rPr>
              <w:t>For each of our named executive officers, other than Messrs. Schmitzer and Sutherland, this amount represents (a) Service-Based RSUs granted in each of 2024, 2023 and 2022 that vested on March 1, 2025 and March 2, 2025, and (b) the PRSUs granted in 2023 that satisfied the applicable performance conditions as of December 31, 2025 and were settled on March 2, 2026.</w:t>
            </w:r>
            <w:r>
              <w:rPr>
                <w:color w:val="000000"/>
              </w:rPr>
              <w:t xml:space="preserve"> </w:t>
            </w:r>
            <w:r>
              <w:rPr>
                <w:rFonts w:ascii="Arial;sans-serif" w:hAnsi="Arial;sans-serif"/>
                <w:b w:val="false"/>
                <w:color w:val="000000"/>
                <w:sz w:val="19"/>
                <w:shd w:fill="FFFFFF" w:val="clear"/>
              </w:rPr>
              <w:t>For Mr. Sutherland, this amount represents the Service-Based RSUs granted in 2023 that vested on May 4, 2025. For Mr. Schmitzer, this number represents the Service-Based RSUs granted in each of 2024, 2023 and 2022 that vested on March 1, 2025 and March 2, 2025, the portion of the Service-Based RSUs granted in each of 2025, 2024 and 2023 that became vested as of his retirement date, and the pro-rated portion of the PRSUs granted in 2023 that satisfied the applicable performance conditions as of December 31, 2025 and were settled on March 2, 2026.</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Arial;sans-serif" w:hAnsi="Arial;sans-serif"/>
                <w:b w:val="false"/>
                <w:color w:val="000000"/>
                <w:sz w:val="19"/>
              </w:rPr>
              <w:t xml:space="preserve">(2) </w:t>
            </w:r>
            <w:r>
              <w:rPr>
                <w:rFonts w:ascii="Arial;sans-serif" w:hAnsi="Arial;sans-serif"/>
                <w:b w:val="false"/>
                <w:color w:val="000000"/>
                <w:sz w:val="19"/>
                <w:shd w:fill="FFFFFF" w:val="clear"/>
              </w:rPr>
              <w:t>The value realized is determined based on the closing sales price of our common stock on the vesting date as reported on the Nasdaq Stock Market, multiplied by the number of shares of common stock underlying the Service-Based RSUs and PRSUs that vested.</w:t>
            </w:r>
          </w:p>
        </w:tc>
      </w:tr>
    </w:tbl>
    <w:p>
      <w:pPr>
        <w:pStyle w:val="TextBody"/>
        <w:bidi w:val="0"/>
        <w:spacing w:lineRule="auto" w:line="288" w:before="120" w:after="240"/>
        <w:jc w:val="both"/>
        <w:rPr>
          <w:rFonts w:ascii="Arial;sans-serif" w:hAnsi="Arial;sans-serif"/>
          <w:b/>
          <w:color w:val="939598"/>
          <w:sz w:val="24"/>
        </w:rPr>
      </w:pPr>
      <w:r>
        <w:rPr>
          <w:rFonts w:ascii="Arial;sans-serif" w:hAnsi="Arial;sans-serif"/>
          <w:b/>
          <w:color w:val="939598"/>
          <w:sz w:val="24"/>
        </w:rPr>
        <w:t>Pension Benefits &amp; Nonqualified Deferred Compensation</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We do not provide a pension plan for any of our employees and no named executive officers participated in a nonqualified deferred compensation plan during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240"/>
        <w:jc w:val="both"/>
        <w:rPr>
          <w:rFonts w:ascii="Arial;sans-serif" w:hAnsi="Arial;sans-serif"/>
          <w:b/>
          <w:color w:val="939598"/>
          <w:sz w:val="24"/>
        </w:rPr>
      </w:pPr>
      <w:r>
        <w:rPr>
          <w:rFonts w:ascii="Arial;sans-serif" w:hAnsi="Arial;sans-serif"/>
          <w:b/>
          <w:color w:val="939598"/>
          <w:sz w:val="24"/>
        </w:rPr>
        <w:t>Potential Payments upon Termination or Change in Control</w:t>
      </w:r>
    </w:p>
    <w:p>
      <w:pPr>
        <w:pStyle w:val="TextBody"/>
        <w:bidi w:val="0"/>
        <w:spacing w:lineRule="auto" w:line="288" w:before="0" w:after="240"/>
        <w:jc w:val="both"/>
        <w:rPr>
          <w:rFonts w:ascii="Arial;sans-serif" w:hAnsi="Arial;sans-serif"/>
          <w:b/>
          <w:color w:val="003273"/>
          <w:sz w:val="20"/>
        </w:rPr>
      </w:pPr>
      <w:r>
        <w:rPr>
          <w:rFonts w:ascii="Arial;sans-serif" w:hAnsi="Arial;sans-serif"/>
          <w:b/>
          <w:color w:val="003273"/>
          <w:sz w:val="20"/>
        </w:rPr>
        <w:t>EMPLOYMENT AGREEMENTS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We are a party to an employment agreement with each of our named executive officers other than Mr. Schmitzer, whose employment with the Company ended October 15, 2025. The employment agreements generally provide for certain payments and benefits to be provided to our continuing named executive officer if his or her employment is terminated by us without Cause (as defined in each employment agreement) or by the continuing named executive officer for Good Reason (as defined in each employment agreement), or if we give notice that we do not intend to renew the term of the named executive officer’s employment when the term ends (a “Non-Renewal Termination”). The benefits are (i) continuation of salary or like payments (“Separation Payments”) for a specified period, paid in accordance with our normal payroll practices, (ii) post-employment coverage under our health, dental and vision plans, to the extent that such coverage is available under the plans, with the Company continuing to pay the same amount for such coverage as was paid when the executive officer was employed (with the executive officer paying the remaining cost of the coverage) for a twelve month period (except in the case of Mr. D’Orazio, who will receive such benefit for eighteen months); provided that, in the case of Mr. D’Orazio, Ms. Doran and Mr. Hoffmann, in the event that post-employment health care coverage is not available under the Company’s health insurance plan, then the Company will pay the applicable executive officer the premium cost for such insurance that the Company would have paid if the executive officer had been permitted to continue coverage thereafter, and (iii) for Mr. D’Orazio, Ms. Doran and Mr. Hoffmann, any unpaid discretionary cash bonus awarded for the year prior to the year in which the named executive’s termination of employment occurs, which shall be paid in a lump sum on the normal bonus payment date. The compensation provided for in the foregoing sentence is referred to as the “Separation Benefits”. The Separation Benefits are in addition to our obligation to pay the applicable named executive officer accrued but not paid base salary and any accrued but unused vacation, as well as accrued but not paid Tax Equalization Payments, in each case, through the date of termination of the applicable executive officer’s employment.</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Additionally, Ms. Doran is entitled to reimbursement for relocation expenses from North Carolina under the circumstances specified in her chart set forth below under “Quantification of Termination Benefits”.</w:t>
      </w:r>
    </w:p>
    <w:p>
      <w:pPr>
        <w:pStyle w:val="TextBody"/>
        <w:bidi w:val="0"/>
        <w:spacing w:lineRule="auto" w:line="288" w:before="0" w:after="240"/>
        <w:jc w:val="both"/>
        <w:rPr>
          <w:rFonts w:ascii="Arial;sans-serif" w:hAnsi="Arial;sans-serif"/>
          <w:b/>
          <w:color w:val="003273"/>
          <w:sz w:val="20"/>
        </w:rPr>
      </w:pPr>
      <w:r>
        <w:rPr>
          <w:rFonts w:ascii="Arial;sans-serif" w:hAnsi="Arial;sans-serif"/>
          <w:b/>
          <w:color w:val="003273"/>
          <w:sz w:val="20"/>
        </w:rPr>
        <w:t>SEPARATION PAYMENTS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table below sets forth the manner to calculate the Separation Payments pursuant to each named executive officer’s employment agreement, and the period after termination that he or she will be eligible to receive Separation Payments. Mr. Schmitzer is excluded from this table, since his employment with the Company ended before December 31, 2025. All capitalized terms in the table below have the definitions set forth in the applicable employment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before="0" w:after="240"/>
        <w:jc w:val="both"/>
        <w:rPr/>
      </w:pPr>
      <w:r>
        <w:rPr/>
      </w:r>
    </w:p>
    <w:tbl>
      <w:tblPr>
        <w:tblW w:w="10205" w:type="dxa"/>
        <w:jc w:val="center"/>
        <w:tblInd w:w="0" w:type="dxa"/>
        <w:tblLayout w:type="fixed"/>
        <w:tblCellMar>
          <w:top w:w="28" w:type="dxa"/>
          <w:left w:w="28" w:type="dxa"/>
          <w:bottom w:w="28" w:type="dxa"/>
          <w:right w:w="28" w:type="dxa"/>
        </w:tblCellMar>
      </w:tblPr>
      <w:tblGrid>
        <w:gridCol w:w="508"/>
        <w:gridCol w:w="314"/>
        <w:gridCol w:w="319"/>
        <w:gridCol w:w="2650"/>
        <w:gridCol w:w="2650"/>
        <w:gridCol w:w="3764"/>
      </w:tblGrid>
      <w:tr>
        <w:trPr/>
        <w:tc>
          <w:tcPr>
            <w:tcW w:w="50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376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24" w:space="0" w:color="053273"/>
            </w:tcBorders>
            <w:shd w:fill="F3F3F4"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53273"/>
                <w:sz w:val="17"/>
              </w:rPr>
            </w:pPr>
            <w:r>
              <w:rPr>
                <w:rFonts w:ascii="Arial;sans-serif" w:hAnsi="Arial;sans-serif"/>
                <w:b/>
                <w:color w:val="053273"/>
                <w:sz w:val="17"/>
              </w:rPr>
              <w:t>NAME</w:t>
            </w:r>
          </w:p>
        </w:tc>
        <w:tc>
          <w:tcPr>
            <w:tcW w:w="9064"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53273"/>
                <w:sz w:val="17"/>
              </w:rPr>
            </w:pPr>
            <w:r>
              <w:rPr>
                <w:rFonts w:ascii="Arial;sans-serif" w:hAnsi="Arial;sans-serif"/>
                <w:b/>
                <w:color w:val="053273"/>
                <w:sz w:val="17"/>
              </w:rPr>
              <w:t>MANNER TO CALCULATE SEPARATION PAYMENT AND PERIOD OF PAYMENT</w:t>
            </w:r>
          </w:p>
        </w:tc>
      </w:tr>
      <w:tr>
        <w:trPr/>
        <w:tc>
          <w:tcPr>
            <w:tcW w:w="1141" w:type="dxa"/>
            <w:gridSpan w:val="3"/>
            <w:tcBorders>
              <w:top w:val="single" w:sz="12" w:space="0" w:color="636466"/>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Frank N. D’Orazio</w:t>
            </w:r>
          </w:p>
        </w:tc>
        <w:tc>
          <w:tcPr>
            <w:tcW w:w="9064"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1.Amount per month equal to base salary in effect on the date of termination divided by 12, for 18 months in the event of termination by the Company without Cause, by Mr. D’Orazio for Good Reason or as a result of a Non-Renewal Termination before a Change in Control or more than 12 months thereafter; or</w:t>
            </w:r>
          </w:p>
          <w:p>
            <w:pPr>
              <w:pStyle w:val="TableContents"/>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2.Amount per month equal to base salary in effect on the date of termination plus the amount of his short-term incentive target award for the performance period in which a Change in Control occurs (or if no performance period has been established or a target award has not been approved for the relevant performance period, then the target amount of his award for the most recent performance period) divided by 12, for 36 months in the event of termination by the Company without Cause, by Mr. D’Orazio for Good Reason or as a result of a Non-Renewal Termination, in each case within 12 months after a Change in Control.</w:t>
            </w:r>
          </w:p>
        </w:tc>
      </w:tr>
      <w:tr>
        <w:trPr/>
        <w:tc>
          <w:tcPr>
            <w:tcW w:w="1141"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Sarah C. Doran</w:t>
            </w:r>
          </w:p>
        </w:tc>
        <w:tc>
          <w:tcPr>
            <w:tcW w:w="906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Amount per month equal to base salary in effect on the date of termination divided by 12, for:</w:t>
            </w:r>
          </w:p>
          <w:p>
            <w:pPr>
              <w:pStyle w:val="TableContents"/>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1.24 months in the event of termination by the Company without Cause, by Ms. Doran for Good Reason or as a result of a Non-Renewal Termination before a Change in Control or more than 12 months thereafter; or</w:t>
            </w:r>
          </w:p>
          <w:p>
            <w:pPr>
              <w:pStyle w:val="TableContents"/>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2.30 months in the event of termination by the Company without Cause, by Ms. Doran for Good Reason or as a result of a Non-Renewal Termination, in each case within 12 months after a Change in Control.</w:t>
            </w:r>
          </w:p>
        </w:tc>
      </w:tr>
      <w:tr>
        <w:trPr/>
        <w:tc>
          <w:tcPr>
            <w:tcW w:w="1141"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Michael J. Hoffmann</w:t>
            </w:r>
          </w:p>
        </w:tc>
        <w:tc>
          <w:tcPr>
            <w:tcW w:w="906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Amount per month equal to base salary in effect on the date of termination divided by 12, for:</w:t>
            </w:r>
          </w:p>
          <w:p>
            <w:pPr>
              <w:pStyle w:val="TableContents"/>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1.12 months in the event of termination by the Company without Cause or by Mr. Hoffmann for Good Reason before a Change in Control or more than 12 months thereafter;</w:t>
            </w:r>
          </w:p>
          <w:p>
            <w:pPr>
              <w:pStyle w:val="TableContents"/>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2.18 months in the event of termination by the Company without Cause or by Mr. Hoffmann for Good Reason within 12 months after a Change in Control; or</w:t>
            </w:r>
          </w:p>
          <w:p>
            <w:pPr>
              <w:pStyle w:val="TableContents"/>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3.12 months in the event of a Non-Renewal Termination.</w:t>
            </w:r>
          </w:p>
        </w:tc>
      </w:tr>
      <w:tr>
        <w:trPr/>
        <w:tc>
          <w:tcPr>
            <w:tcW w:w="1141"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Jeanette L. Miller</w:t>
            </w:r>
          </w:p>
        </w:tc>
        <w:tc>
          <w:tcPr>
            <w:tcW w:w="906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Amount per month equal to base salary in effect on the date of termination divided by 12, for:</w:t>
            </w:r>
          </w:p>
          <w:p>
            <w:pPr>
              <w:pStyle w:val="TableContents"/>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1.12 months in the event of termination by the Company without Cause, by Ms. Miller for Good Reason or as a result of a Non-Renewal Termination before a Change in Control or more than 12 months thereafter; or</w:t>
            </w:r>
          </w:p>
          <w:p>
            <w:pPr>
              <w:pStyle w:val="TableContents"/>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2.18 months in the event of termination by the Company without Cause, by Ms. Miller for Good Reason or as a result of a Non-Renewal Termination, in each case within 12 months after a Change in Control.</w:t>
            </w:r>
          </w:p>
        </w:tc>
      </w:tr>
      <w:tr>
        <w:trPr/>
        <w:tc>
          <w:tcPr>
            <w:tcW w:w="1141" w:type="dxa"/>
            <w:gridSpan w:val="3"/>
            <w:tcBorders>
              <w:top w:val="single" w:sz="4" w:space="0" w:color="C8C9CB"/>
              <w:bottom w:val="single" w:sz="4" w:space="0" w:color="C8C9CB"/>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Todd R. Sutherland</w:t>
            </w:r>
          </w:p>
        </w:tc>
        <w:tc>
          <w:tcPr>
            <w:tcW w:w="9064"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Amount per month equal to base salary in effect on the date of termination divided by 12, for:</w:t>
            </w:r>
          </w:p>
          <w:p>
            <w:pPr>
              <w:pStyle w:val="TableContents"/>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1.12 months in the event of termination by the Company without Cause or by Mr. Sutherland for Good Reason before a Change in Control or more than 12 months thereafter;</w:t>
            </w:r>
          </w:p>
          <w:p>
            <w:pPr>
              <w:pStyle w:val="TableContents"/>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2.18 months in the event of termination by the Company without Cause or by Mr. Sutherland for Good Reason within 12 months after a Change in Control; or</w:t>
            </w:r>
          </w:p>
          <w:p>
            <w:pPr>
              <w:pStyle w:val="TableContents"/>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3.12 months in the event of a Non-Renewal Termination.</w:t>
            </w:r>
          </w:p>
        </w:tc>
      </w:tr>
    </w:tbl>
    <w:p>
      <w:pPr>
        <w:pStyle w:val="TextBody"/>
        <w:bidi w:val="0"/>
        <w:spacing w:lineRule="auto" w:line="288" w:before="120" w:after="240"/>
        <w:jc w:val="both"/>
        <w:rPr>
          <w:rFonts w:ascii="Arial;sans-serif" w:hAnsi="Arial;sans-serif"/>
          <w:b/>
          <w:color w:val="003273"/>
          <w:sz w:val="20"/>
        </w:rPr>
      </w:pPr>
      <w:r>
        <w:rPr>
          <w:rFonts w:ascii="Arial;sans-serif" w:hAnsi="Arial;sans-serif"/>
          <w:b/>
          <w:color w:val="003273"/>
          <w:sz w:val="20"/>
        </w:rPr>
        <w:t>CONDITIONS TO PAYMENT OF SEPARATION BENEFITS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In order to receive the Separation Benefits, the named executive officer must execute a general release in favor of the Company, and comply with the Restrictive Covenants for the period specified in the named executive officer’s employment agreement and identified under their name below under “Quantification of Termination Benefits”. In the event that the named executive officer violates the Restrictive Covenants during the specified period, the Company may terminate the Separation Benefits that it is providing to the named executive officer, and such officer would be obligated to repay the Company for payments previously received.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240"/>
        <w:jc w:val="both"/>
        <w:rPr>
          <w:rFonts w:ascii="Arial;sans-serif" w:hAnsi="Arial;sans-serif"/>
          <w:b/>
          <w:color w:val="003273"/>
          <w:sz w:val="20"/>
        </w:rPr>
      </w:pPr>
      <w:r>
        <w:rPr>
          <w:rFonts w:ascii="Arial;sans-serif" w:hAnsi="Arial;sans-serif"/>
          <w:b/>
          <w:color w:val="003273"/>
          <w:sz w:val="20"/>
        </w:rPr>
        <w:t>NON-EQUITY INCENTIVE PLAN COMPENSATION</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Pursuant to the terms of the STI Plan, in addition to the achievement of specified performance metrics, a participant must remain employed through the settlement date of the award to receive a payout under the STI Plan, subject to certain exceptions for (i) a separation due to death or disability (in which case, payment is made at target level, pro-rated for the period the participant was employed during the performance period), (ii) a qualifying retirement, termination without Cause, a Non-Renewal Termination or resignation by the executive for Good Reason (in which case, payment is made based upon actual performance for the full performance period, pro-rated for the employment period), or (iii) a Change in Control of the Company prior to settlement of the award, followed by termination without Cause of the participant, a Non-Renewal Termination or resignation by the participant for Good Reason (in which case, payment is paid based upon actual performance for the full performance period, pro-rated for the period the executive was employed during the performance period). Notwithstanding the foregoing, pursuant to the terms of Mr. Hoffmann’s employment agreement, the pro-rated bonus amount that he will be eligible to receive upon a termination without Cause, a Non-Renewal Termination, or a resignation for Good Reason is subject to further reduction by a fraction if the average bonus of certain specified shared service officers (collectively, the “Shared Service Chief Officers”) is less than their average target bonuses. In such case, Mr. Hoffmann’s pro-rated bonus would be multiplied by a fraction, the numerator of which is the average actual bonus for the Shared Service Chief Officers, and the denominator being the average target bonus for the Shared Service Chief Officers.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Under the terms of the STI Plan, a qualifying retirement occurs after the attainment of (i) a minimum of five whole years of employment with the Company, (ii) the participant being at least age fifty, and (iii) a combined age and whole years of employment with the Company that equals or exceeds sixty-five; provided, however, that the Committee in its discretion may establish an earlier retirement age for any participant. The Committee did not elect to establish an earlier retirement age for any participant in connection with the 2025 STI Plan awards.</w:t>
      </w:r>
    </w:p>
    <w:p>
      <w:pPr>
        <w:pStyle w:val="TextBody"/>
        <w:bidi w:val="0"/>
        <w:spacing w:lineRule="auto" w:line="288" w:before="0" w:after="240"/>
        <w:jc w:val="both"/>
        <w:rPr>
          <w:rFonts w:ascii="Arial;sans-serif" w:hAnsi="Arial;sans-serif"/>
          <w:b/>
          <w:color w:val="003273"/>
          <w:sz w:val="20"/>
        </w:rPr>
      </w:pPr>
      <w:r>
        <w:rPr>
          <w:rFonts w:ascii="Arial;sans-serif" w:hAnsi="Arial;sans-serif"/>
          <w:b/>
          <w:color w:val="003273"/>
          <w:sz w:val="20"/>
        </w:rPr>
        <w:t>EQUITY AWARDS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Pursuant to the terms of the PRSUs issued under the long-term incentive plan (the “LTI Plan”), in addition to the achievement of specified performance metrics, a participant must remain employed through the settlement date of the award for the PRSUs to vest, subject to certain exceptions for (i) a separation due to death or disability (in which case, payment is made at target level, pro-rated for the number of days in the performance period during which the executive was employed), (ii) a qualifying retirement (in which case, payment is made based upon actual performance for the full performance period, pro-rated for the number of days in the performance period during which the executive was employed), or (iii) a Change in Control of the Company prior to the settlement of the award, followed by termination without Cause of the participant, a Non-Renewal Termination, or resignation by the participant for Good Reason (in which case, PRSUs vest based upon actual performance for the full performance period, pro-rated for the period employed during the performance period).</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Pursuant to the terms of the Service-Based RSUs issued under the LTI Plan, a recipient must remain employed on a vesting date for vesting to occur, subject to certain exceptions for (i) separation due to death or disability (in which case, all remaining unvested Service-Based RSUs would vest), (ii) a qualifying retirement (in which case, the Service-Based RSUs that would vest on the next annual vesting date will vest, and any other remaining Service-Based RSUs will be forfeited) and (iii) a Change in Control of the Company prior to a vesting date, followed by termination without Cause of the participant, a Non-Renewal Termination, or resignation by the participant for Good Reason (in which case, all remaining unvested Service-Based RSUs would vest).</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For purposes of the PRSUs and Service-Based RSUs issued under the LTI Plan, a qualifying retirement occurs upon retirement after the attainment of (i) a minimum of five whole years of employment with the Company, (ii) the participant being at least age fifty and (iii) a combined age and whole years of employment with the Company that equals or exceeds sixty-five; provided, however, that the Committee in its discretion may establish an earlier retirement age for any participant.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240"/>
        <w:jc w:val="both"/>
        <w:rPr>
          <w:rFonts w:ascii="Arial;sans-serif" w:hAnsi="Arial;sans-serif"/>
          <w:b/>
          <w:color w:val="003273"/>
          <w:sz w:val="20"/>
        </w:rPr>
      </w:pPr>
      <w:r>
        <w:rPr>
          <w:rFonts w:ascii="Arial;sans-serif" w:hAnsi="Arial;sans-serif"/>
          <w:b/>
          <w:color w:val="003273"/>
          <w:sz w:val="20"/>
        </w:rPr>
        <w:t>QUANTIFICATION OF TERMINATION BENEFITS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following tables quantify the estimated benefits that each of the named executive officers would have received had they been terminated in the manner described below on December 31, 2025, and, with respect to those benefits contingent upon the occurrence of a Change in Control, assuming the Change in Control occurred on such date. The value for the Service-Based RSUs and the PRSUs (collectively, the “restricted share units”) is determined in accordance with SEC rules as the number of shares of common stock subject to restricted share units that received accelerated vesting, multiplied by $6.36, which was the closing price of our common stock on December 31, 2025 as reported by the Nasdaq Stock Market. The value for restricted share units also includes the aggregate amount of dividends that had accrued on unvested restricted share units, which amount is paid upon vesting of the awards, and the number of shares of common stock and value of the PRSUs assumes achievement at the target level, unless otherwise specified, for the full performance period in the case of a Change in Control of the Company prior to the settlement of the award, followed by termination without Cause of the participant, a Non-Renewal Termination, or resignation by the participant for Good Reason and in the case of a qualifying retirement.</w:t>
      </w:r>
    </w:p>
    <w:p>
      <w:pPr>
        <w:pStyle w:val="TextBody"/>
        <w:bidi w:val="0"/>
        <w:spacing w:lineRule="auto" w:line="288" w:before="0" w:after="240"/>
        <w:jc w:val="both"/>
        <w:rPr/>
      </w:pPr>
      <w:r>
        <w:rPr>
          <w:rFonts w:ascii="Arial;sans-serif" w:hAnsi="Arial;sans-serif"/>
          <w:b/>
          <w:i/>
          <w:color w:val="003273"/>
          <w:sz w:val="19"/>
        </w:rPr>
        <w:t>Frank N. D’Orazio</w:t>
      </w:r>
      <w:r>
        <w:rPr>
          <w:rFonts w:ascii="Arial;sans-serif" w:hAnsi="Arial;sans-serif"/>
          <w:b w:val="false"/>
          <w:color w:val="000000"/>
          <w:sz w:val="19"/>
        </w:rPr>
        <w:t>. The following table describes the potential estimated payments that Mr. D’Orazio would have been entitled to receive had he been terminated on December 31, 2025, calculated in the manner described under the paragraph “Quantification of Termination Benefits”. The amounts are estimated, and actual amounts may vary if Mr. D’Orazio’s employment was actually terminated under the circumstances set forth below or our common stock was trading at a different price, where relevant. Mr. D’Orazio would have been required under his employment agreement to comply with the Restrictive Covenants for a period of eighteen months from the date of termination of his employment, in order to continue to receive the Separation Benefits, and not be obligated to repay the Company any amounts received. The acceleration of vesting for the restricted share units in connection with a Change in Control are not subject to compliance with the Restrictive Covenants.</w:t>
      </w:r>
    </w:p>
    <w:tbl>
      <w:tblPr>
        <w:tblW w:w="10205" w:type="dxa"/>
        <w:jc w:val="center"/>
        <w:tblInd w:w="0" w:type="dxa"/>
        <w:tblLayout w:type="fixed"/>
        <w:tblCellMar>
          <w:top w:w="28" w:type="dxa"/>
          <w:left w:w="28" w:type="dxa"/>
          <w:bottom w:w="28" w:type="dxa"/>
          <w:right w:w="28" w:type="dxa"/>
        </w:tblCellMar>
      </w:tblPr>
      <w:tblGrid>
        <w:gridCol w:w="1465"/>
        <w:gridCol w:w="1200"/>
        <w:gridCol w:w="1206"/>
        <w:gridCol w:w="603"/>
        <w:gridCol w:w="603"/>
        <w:gridCol w:w="605"/>
        <w:gridCol w:w="603"/>
        <w:gridCol w:w="603"/>
        <w:gridCol w:w="605"/>
        <w:gridCol w:w="411"/>
        <w:gridCol w:w="411"/>
        <w:gridCol w:w="412"/>
        <w:gridCol w:w="430"/>
        <w:gridCol w:w="430"/>
        <w:gridCol w:w="618"/>
      </w:tblGrid>
      <w:tr>
        <w:trPr/>
        <w:tc>
          <w:tcPr>
            <w:tcW w:w="146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op w:val="single" w:sz="24" w:space="0" w:color="053273"/>
            </w:tcBorders>
            <w:shd w:fill="F3F3F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53273"/>
                <w:sz w:val="16"/>
              </w:rPr>
            </w:pPr>
            <w:r>
              <w:rPr>
                <w:rFonts w:ascii="Arial;sans-serif" w:hAnsi="Arial;sans-serif"/>
                <w:b/>
                <w:color w:val="053273"/>
                <w:sz w:val="16"/>
              </w:rPr>
              <w:t>EXECUTIVE BENEFITS AND PAYMENTS UPON TERMINATION</w:t>
            </w:r>
          </w:p>
        </w:tc>
        <w:tc>
          <w:tcPr>
            <w:tcW w:w="1811"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3273"/>
                <w:sz w:val="16"/>
              </w:rPr>
            </w:pPr>
            <w:r>
              <w:rPr>
                <w:rFonts w:ascii="Arial;sans-serif" w:hAnsi="Arial;sans-serif"/>
                <w:b/>
                <w:color w:val="053273"/>
                <w:sz w:val="16"/>
              </w:rPr>
              <w:t>WITHOUT CAUSE,</w:t>
              <w:br/>
              <w:t>FOR GOOD REASON</w:t>
              <w:br/>
              <w:t>OR NON-RENEWAL</w:t>
              <w:br/>
              <w:t>TERMINATION</w:t>
              <w:br/>
              <w:t>(WITHOUT CHANGE</w:t>
              <w:br/>
              <w:t>IN CONTROL)</w:t>
              <w:br/>
              <w:t>($)</w:t>
            </w:r>
          </w:p>
        </w:tc>
        <w:tc>
          <w:tcPr>
            <w:tcW w:w="1811"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3273"/>
                <w:sz w:val="16"/>
              </w:rPr>
            </w:pPr>
            <w:r>
              <w:rPr>
                <w:rFonts w:ascii="Arial;sans-serif" w:hAnsi="Arial;sans-serif"/>
                <w:b/>
                <w:color w:val="053273"/>
                <w:sz w:val="16"/>
              </w:rPr>
              <w:t>WITHOUT CAUSE,</w:t>
              <w:br/>
              <w:t>FOR GOOD REASON</w:t>
              <w:br/>
              <w:t>OR NON-RENEWAL</w:t>
              <w:br/>
              <w:t>TERMINATION</w:t>
              <w:br/>
              <w:t>(WITH CHANGE</w:t>
              <w:br/>
              <w:t>IN CONTROL)</w:t>
              <w:br/>
              <w:t>($)</w:t>
            </w:r>
          </w:p>
        </w:tc>
        <w:tc>
          <w:tcPr>
            <w:tcW w:w="1234"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3273"/>
                <w:sz w:val="16"/>
              </w:rPr>
            </w:pPr>
            <w:r>
              <w:rPr>
                <w:rFonts w:ascii="Arial;sans-serif" w:hAnsi="Arial;sans-serif"/>
                <w:b/>
                <w:color w:val="053273"/>
                <w:sz w:val="16"/>
              </w:rPr>
              <w:t>DEATH OR</w:t>
              <w:br/>
              <w:t>DISABILITY</w:t>
              <w:br/>
              <w:t>($)</w:t>
            </w:r>
          </w:p>
        </w:tc>
        <w:tc>
          <w:tcPr>
            <w:tcW w:w="1478"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3273"/>
                <w:sz w:val="16"/>
              </w:rPr>
            </w:pPr>
            <w:r>
              <w:rPr>
                <w:rFonts w:ascii="Arial;sans-serif" w:hAnsi="Arial;sans-serif"/>
                <w:b/>
                <w:color w:val="053273"/>
                <w:sz w:val="16"/>
              </w:rPr>
              <w:t>RETIREMENT</w:t>
              <w:br/>
              <w:t>($)</w:t>
            </w:r>
          </w:p>
        </w:tc>
      </w:tr>
      <w:tr>
        <w:trPr/>
        <w:tc>
          <w:tcPr>
            <w:tcW w:w="3871" w:type="dxa"/>
            <w:gridSpan w:val="3"/>
            <w:tcBorders>
              <w:top w:val="single" w:sz="12" w:space="0" w:color="63646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Separation Payment</w:t>
            </w:r>
          </w:p>
        </w:tc>
        <w:tc>
          <w:tcPr>
            <w:tcW w:w="1811"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1,493,436</w:t>
            </w:r>
          </w:p>
        </w:tc>
        <w:tc>
          <w:tcPr>
            <w:tcW w:w="1811"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5,973,744</w:t>
            </w:r>
          </w:p>
        </w:tc>
        <w:tc>
          <w:tcPr>
            <w:tcW w:w="1234"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78"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3871"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Insurance</w:t>
            </w:r>
          </w:p>
        </w:tc>
        <w:tc>
          <w:tcPr>
            <w:tcW w:w="181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39,502</w:t>
            </w:r>
          </w:p>
        </w:tc>
        <w:tc>
          <w:tcPr>
            <w:tcW w:w="181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39,502</w:t>
            </w:r>
          </w:p>
        </w:tc>
        <w:tc>
          <w:tcPr>
            <w:tcW w:w="123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7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3871"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Non-Equity Incentive Plan Compensation</w:t>
            </w:r>
          </w:p>
        </w:tc>
        <w:tc>
          <w:tcPr>
            <w:tcW w:w="181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934,891</w:t>
            </w:r>
          </w:p>
        </w:tc>
        <w:tc>
          <w:tcPr>
            <w:tcW w:w="181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934,891</w:t>
            </w:r>
          </w:p>
        </w:tc>
        <w:tc>
          <w:tcPr>
            <w:tcW w:w="123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995,624</w:t>
            </w:r>
          </w:p>
        </w:tc>
        <w:tc>
          <w:tcPr>
            <w:tcW w:w="147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3871"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Service-Based RSUs (amount includes accrued dividends payable upon vesting)</w:t>
            </w:r>
          </w:p>
        </w:tc>
        <w:tc>
          <w:tcPr>
            <w:tcW w:w="181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81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1,098,190</w:t>
            </w:r>
          </w:p>
        </w:tc>
        <w:tc>
          <w:tcPr>
            <w:tcW w:w="123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1,098,190</w:t>
            </w:r>
          </w:p>
        </w:tc>
        <w:tc>
          <w:tcPr>
            <w:tcW w:w="147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3871"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PRSUs (amount includes accrued dividends payable upon vesting)</w:t>
            </w:r>
          </w:p>
        </w:tc>
        <w:tc>
          <w:tcPr>
            <w:tcW w:w="1811"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811"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9"/>
              </w:rPr>
              <w:t>587,775</w:t>
            </w:r>
            <w:r>
              <w:rPr>
                <w:rFonts w:ascii="Arial;sans-serif" w:hAnsi="Arial;sans-serif"/>
                <w:b w:val="false"/>
                <w:color w:val="000000"/>
                <w:sz w:val="12"/>
              </w:rPr>
              <w:t>(1)</w:t>
            </w:r>
          </w:p>
        </w:tc>
        <w:tc>
          <w:tcPr>
            <w:tcW w:w="1234"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587,775</w:t>
            </w:r>
          </w:p>
        </w:tc>
        <w:tc>
          <w:tcPr>
            <w:tcW w:w="1478"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0205" w:type="dxa"/>
            <w:gridSpan w:val="15"/>
            <w:tcBorders>
              <w:top w:val="single" w:sz="4" w:space="0" w:color="C8C9C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9"/>
              </w:rPr>
              <w:t xml:space="preserve">(1) </w:t>
            </w:r>
            <w:r>
              <w:rPr>
                <w:rFonts w:ascii="Arial;sans-serif" w:hAnsi="Arial;sans-serif"/>
                <w:b w:val="false"/>
                <w:color w:val="000000"/>
                <w:sz w:val="19"/>
                <w:shd w:fill="FFFFFF" w:val="clear"/>
              </w:rPr>
              <w:t>For the PRSUs granted in 2023 that would vest on an accelerated basis, the value is calculated based on actual performance as of December 31, 2025. For the PRSUs granted in 2024 and 2025 that would vest on an accelerated basis, the value assumes payout at target level of performance for the entire performance period.</w:t>
            </w:r>
          </w:p>
        </w:tc>
      </w:tr>
    </w:tbl>
    <w:p>
      <w:pPr>
        <w:pStyle w:val="TextBody"/>
        <w:bidi w:val="0"/>
        <w:spacing w:lineRule="auto" w:line="288" w:before="120" w:after="240"/>
        <w:jc w:val="both"/>
        <w:rPr/>
      </w:pPr>
      <w:r>
        <w:rPr>
          <w:rFonts w:ascii="Arial;sans-serif" w:hAnsi="Arial;sans-serif"/>
          <w:b/>
          <w:i/>
          <w:color w:val="003273"/>
          <w:sz w:val="19"/>
        </w:rPr>
        <w:t>Sarah C. Doran</w:t>
      </w:r>
      <w:r>
        <w:rPr>
          <w:rFonts w:ascii="Arial;sans-serif" w:hAnsi="Arial;sans-serif"/>
          <w:b w:val="false"/>
          <w:color w:val="000000"/>
          <w:sz w:val="19"/>
        </w:rPr>
        <w:t>. The following table describes the potential estimated payments that Ms. Doran would have been entitled to receive had she been terminated on December 31, 2025, calculated in the manner described under the paragraph “Quantification of Termination Benefits”. The amounts are estimated, and actual amounts may vary if Ms. Doran’s employment was actually terminated under the circumstances set forth below or our common stock was trading at a different price, where relevant. Ms. Doran would have been required under her employment agreement to comply with the Restrictive Covenants for a period of twelve months from the date of termination of her employment by the Company without Cause or by her for Good Reason or in the event of a Non-Renewal Termination in order to continue to receive the Separation Benefits, and not be obligated to repay the Company any amounts received. The relocation expenses and the acceleration of vesting for the restricted share units in connection with a Change in Control are not subject to compliance with the Restrictive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1465"/>
        <w:gridCol w:w="1200"/>
        <w:gridCol w:w="1206"/>
        <w:gridCol w:w="603"/>
        <w:gridCol w:w="603"/>
        <w:gridCol w:w="605"/>
        <w:gridCol w:w="603"/>
        <w:gridCol w:w="603"/>
        <w:gridCol w:w="605"/>
        <w:gridCol w:w="411"/>
        <w:gridCol w:w="411"/>
        <w:gridCol w:w="412"/>
        <w:gridCol w:w="430"/>
        <w:gridCol w:w="430"/>
        <w:gridCol w:w="618"/>
      </w:tblGrid>
      <w:tr>
        <w:trPr/>
        <w:tc>
          <w:tcPr>
            <w:tcW w:w="146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op w:val="single" w:sz="24" w:space="0" w:color="053273"/>
            </w:tcBorders>
            <w:shd w:fill="F3F3F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53273"/>
                <w:sz w:val="16"/>
              </w:rPr>
            </w:pPr>
            <w:r>
              <w:rPr>
                <w:rFonts w:ascii="Arial;sans-serif" w:hAnsi="Arial;sans-serif"/>
                <w:b/>
                <w:color w:val="053273"/>
                <w:sz w:val="16"/>
              </w:rPr>
              <w:t>EXECUTIVE BENEFITS AND PAYMENTS UPON TERMINATION</w:t>
            </w:r>
          </w:p>
        </w:tc>
        <w:tc>
          <w:tcPr>
            <w:tcW w:w="1811"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3273"/>
                <w:sz w:val="16"/>
              </w:rPr>
            </w:pPr>
            <w:r>
              <w:rPr>
                <w:rFonts w:ascii="Arial;sans-serif" w:hAnsi="Arial;sans-serif"/>
                <w:b/>
                <w:color w:val="053273"/>
                <w:sz w:val="16"/>
              </w:rPr>
              <w:t>WITHOUT CAUSE,</w:t>
              <w:br/>
              <w:t>FOR GOOD REASON</w:t>
              <w:br/>
              <w:t>OR NON-RENEWAL</w:t>
              <w:br/>
              <w:t>TERMINATION</w:t>
              <w:br/>
              <w:t>(WITHOUT CHANGE</w:t>
              <w:br/>
              <w:t>IN CONTROL)</w:t>
              <w:br/>
              <w:t>($)</w:t>
            </w:r>
          </w:p>
        </w:tc>
        <w:tc>
          <w:tcPr>
            <w:tcW w:w="1811"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3273"/>
                <w:sz w:val="16"/>
              </w:rPr>
            </w:pPr>
            <w:r>
              <w:rPr>
                <w:rFonts w:ascii="Arial;sans-serif" w:hAnsi="Arial;sans-serif"/>
                <w:b/>
                <w:color w:val="053273"/>
                <w:sz w:val="16"/>
              </w:rPr>
              <w:t>WITHOUT CAUSE,</w:t>
              <w:br/>
              <w:t>FOR GOOD REASON</w:t>
              <w:br/>
              <w:t>OR NON-RENEWAL</w:t>
              <w:br/>
              <w:t>TERMINATION</w:t>
              <w:br/>
              <w:t>(WITH CHANGE</w:t>
              <w:br/>
              <w:t>IN CONTROL)</w:t>
              <w:br/>
              <w:t>($)</w:t>
            </w:r>
          </w:p>
        </w:tc>
        <w:tc>
          <w:tcPr>
            <w:tcW w:w="1234"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3273"/>
                <w:sz w:val="16"/>
              </w:rPr>
            </w:pPr>
            <w:r>
              <w:rPr>
                <w:rFonts w:ascii="Arial;sans-serif" w:hAnsi="Arial;sans-serif"/>
                <w:b/>
                <w:color w:val="053273"/>
                <w:sz w:val="16"/>
              </w:rPr>
              <w:t>DEATH OR</w:t>
              <w:br/>
              <w:t>DISABILITY</w:t>
              <w:br/>
              <w:t>($)</w:t>
            </w:r>
          </w:p>
        </w:tc>
        <w:tc>
          <w:tcPr>
            <w:tcW w:w="1478"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3273"/>
                <w:sz w:val="16"/>
              </w:rPr>
            </w:pPr>
            <w:r>
              <w:rPr>
                <w:rFonts w:ascii="Arial;sans-serif" w:hAnsi="Arial;sans-serif"/>
                <w:b/>
                <w:color w:val="053273"/>
                <w:sz w:val="16"/>
              </w:rPr>
              <w:t>RETIREMENT</w:t>
              <w:br/>
              <w:t>($)</w:t>
            </w:r>
          </w:p>
        </w:tc>
      </w:tr>
      <w:tr>
        <w:trPr/>
        <w:tc>
          <w:tcPr>
            <w:tcW w:w="3871" w:type="dxa"/>
            <w:gridSpan w:val="3"/>
            <w:tcBorders>
              <w:top w:val="single" w:sz="12" w:space="0" w:color="63646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Separation Payment</w:t>
            </w:r>
          </w:p>
        </w:tc>
        <w:tc>
          <w:tcPr>
            <w:tcW w:w="1811"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1,178,320</w:t>
            </w:r>
          </w:p>
        </w:tc>
        <w:tc>
          <w:tcPr>
            <w:tcW w:w="1811"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1,472,900</w:t>
            </w:r>
          </w:p>
        </w:tc>
        <w:tc>
          <w:tcPr>
            <w:tcW w:w="1234"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78"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3871"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Insurance</w:t>
            </w:r>
          </w:p>
        </w:tc>
        <w:tc>
          <w:tcPr>
            <w:tcW w:w="181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21,685</w:t>
            </w:r>
          </w:p>
        </w:tc>
        <w:tc>
          <w:tcPr>
            <w:tcW w:w="181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21,685</w:t>
            </w:r>
          </w:p>
        </w:tc>
        <w:tc>
          <w:tcPr>
            <w:tcW w:w="123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7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3871"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Non-Equity Incentive Plan Compensation</w:t>
            </w:r>
          </w:p>
        </w:tc>
        <w:tc>
          <w:tcPr>
            <w:tcW w:w="181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553,221</w:t>
            </w:r>
          </w:p>
        </w:tc>
        <w:tc>
          <w:tcPr>
            <w:tcW w:w="181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553,221</w:t>
            </w:r>
          </w:p>
        </w:tc>
        <w:tc>
          <w:tcPr>
            <w:tcW w:w="123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589,160</w:t>
            </w:r>
          </w:p>
        </w:tc>
        <w:tc>
          <w:tcPr>
            <w:tcW w:w="147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3871"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Relocation Expenses from North Carolina</w:t>
            </w:r>
          </w:p>
        </w:tc>
        <w:tc>
          <w:tcPr>
            <w:tcW w:w="181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100,000</w:t>
            </w:r>
          </w:p>
        </w:tc>
        <w:tc>
          <w:tcPr>
            <w:tcW w:w="181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100,000</w:t>
            </w:r>
          </w:p>
        </w:tc>
        <w:tc>
          <w:tcPr>
            <w:tcW w:w="123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7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871"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Service-Based RSUs (amount includes accrued dividends payable upon vesting)</w:t>
            </w:r>
          </w:p>
        </w:tc>
        <w:tc>
          <w:tcPr>
            <w:tcW w:w="181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1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649,978</w:t>
            </w:r>
          </w:p>
        </w:tc>
        <w:tc>
          <w:tcPr>
            <w:tcW w:w="123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649,978</w:t>
            </w:r>
          </w:p>
        </w:tc>
        <w:tc>
          <w:tcPr>
            <w:tcW w:w="147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871"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PRSUs (amount includes accrued dividends payable upon vesting)</w:t>
            </w:r>
          </w:p>
        </w:tc>
        <w:tc>
          <w:tcPr>
            <w:tcW w:w="1811"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811"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9"/>
              </w:rPr>
              <w:t>348,071</w:t>
            </w:r>
            <w:r>
              <w:rPr>
                <w:rFonts w:ascii="Arial;sans-serif" w:hAnsi="Arial;sans-serif"/>
                <w:b w:val="false"/>
                <w:color w:val="000000"/>
                <w:sz w:val="12"/>
              </w:rPr>
              <w:t>(1)</w:t>
            </w:r>
          </w:p>
        </w:tc>
        <w:tc>
          <w:tcPr>
            <w:tcW w:w="1234"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348,071</w:t>
            </w:r>
          </w:p>
        </w:tc>
        <w:tc>
          <w:tcPr>
            <w:tcW w:w="1478"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205" w:type="dxa"/>
            <w:gridSpan w:val="15"/>
            <w:tcBorders>
              <w:top w:val="single" w:sz="4" w:space="0" w:color="C8C9C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9"/>
              </w:rPr>
              <w:t xml:space="preserve">(1) </w:t>
            </w:r>
            <w:r>
              <w:rPr>
                <w:rFonts w:ascii="Arial;sans-serif" w:hAnsi="Arial;sans-serif"/>
                <w:b w:val="false"/>
                <w:color w:val="000000"/>
                <w:sz w:val="19"/>
                <w:shd w:fill="FFFFFF" w:val="clear"/>
              </w:rPr>
              <w:t>For the PRSUs granted in 2023 that would vest on an accelerated basis, the value is calculated based on actual performance as of December 31, 2025. For the PRSUs granted in 2024 and 2025 that would vest on an accelerated basis, the value assumes payout at target level of performance for the entire performance period.</w:t>
            </w:r>
          </w:p>
        </w:tc>
      </w:tr>
    </w:tbl>
    <w:p>
      <w:pPr>
        <w:pStyle w:val="TextBody"/>
        <w:bidi w:val="0"/>
        <w:spacing w:lineRule="auto" w:line="288" w:before="120" w:after="240"/>
        <w:jc w:val="both"/>
        <w:rPr/>
      </w:pPr>
      <w:r>
        <w:rPr>
          <w:rFonts w:ascii="Arial;sans-serif" w:hAnsi="Arial;sans-serif"/>
          <w:b/>
          <w:i/>
          <w:color w:val="053273"/>
          <w:sz w:val="19"/>
        </w:rPr>
        <w:t>Michael J. Hoffmann</w:t>
      </w:r>
      <w:r>
        <w:rPr>
          <w:rFonts w:ascii="Arial;sans-serif" w:hAnsi="Arial;sans-serif"/>
          <w:b/>
          <w:color w:val="053273"/>
          <w:sz w:val="19"/>
        </w:rPr>
        <w:t>.</w:t>
      </w:r>
      <w:r>
        <w:rPr>
          <w:color w:val="000000"/>
        </w:rPr>
        <w:t xml:space="preserve"> </w:t>
      </w:r>
      <w:r>
        <w:rPr>
          <w:rFonts w:ascii="Arial;sans-serif" w:hAnsi="Arial;sans-serif"/>
          <w:b w:val="false"/>
          <w:color w:val="000000"/>
          <w:sz w:val="19"/>
        </w:rPr>
        <w:t>The following table describes the potential estimated payments that Mr. Hoffmann would have been entitled to receive had he been terminated on December 31, 2025, calculated in the manner described under the paragraph “Quantification of Termination Benefits”. The amounts are estimated, and actual amounts may vary if Mr. Hoffmann’s employment was actually terminated under the circumstances set forth below or our common stock was trading at a different price, where relevant. Mr. Hoffmann would have been required under his employment agreement to comply with the Restrictive Covenants for a period of twelve months from the date of termination of his employment if his employment was terminated by the Company without Cause or by him for Good Reason or in the event of a Non-Renewal Termination in order to continue to receive the Separation Benefits, and not be obligated to repay the Company any amounts received. The acceleration of vesting for the restricted share units in connection with a Change in Control is not subject to compliance with the Restrictive Covenants.</w:t>
      </w:r>
    </w:p>
    <w:tbl>
      <w:tblPr>
        <w:tblW w:w="10205" w:type="dxa"/>
        <w:jc w:val="center"/>
        <w:tblInd w:w="0" w:type="dxa"/>
        <w:tblLayout w:type="fixed"/>
        <w:tblCellMar>
          <w:top w:w="28" w:type="dxa"/>
          <w:left w:w="28" w:type="dxa"/>
          <w:bottom w:w="28" w:type="dxa"/>
          <w:right w:w="28" w:type="dxa"/>
        </w:tblCellMar>
      </w:tblPr>
      <w:tblGrid>
        <w:gridCol w:w="1267"/>
        <w:gridCol w:w="1023"/>
        <w:gridCol w:w="1027"/>
        <w:gridCol w:w="498"/>
        <w:gridCol w:w="498"/>
        <w:gridCol w:w="499"/>
        <w:gridCol w:w="404"/>
        <w:gridCol w:w="404"/>
        <w:gridCol w:w="406"/>
        <w:gridCol w:w="527"/>
        <w:gridCol w:w="527"/>
        <w:gridCol w:w="528"/>
        <w:gridCol w:w="393"/>
        <w:gridCol w:w="393"/>
        <w:gridCol w:w="395"/>
        <w:gridCol w:w="412"/>
        <w:gridCol w:w="412"/>
        <w:gridCol w:w="592"/>
      </w:tblGrid>
      <w:tr>
        <w:trPr/>
        <w:tc>
          <w:tcPr>
            <w:tcW w:w="126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3317" w:type="dxa"/>
            <w:gridSpan w:val="3"/>
            <w:tcBorders>
              <w:top w:val="single" w:sz="24" w:space="0" w:color="053273"/>
            </w:tcBorders>
            <w:shd w:fill="F3F3F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53273"/>
                <w:sz w:val="16"/>
              </w:rPr>
            </w:pPr>
            <w:r>
              <w:rPr>
                <w:rFonts w:ascii="Arial;sans-serif" w:hAnsi="Arial;sans-serif"/>
                <w:b/>
                <w:color w:val="053273"/>
                <w:sz w:val="16"/>
              </w:rPr>
              <w:t>EXECUTIVE BENEFITS AND PAYMENTS UPON TERMINATION</w:t>
            </w:r>
          </w:p>
        </w:tc>
        <w:tc>
          <w:tcPr>
            <w:tcW w:w="1495"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3273"/>
                <w:sz w:val="16"/>
              </w:rPr>
            </w:pPr>
            <w:r>
              <w:rPr>
                <w:rFonts w:ascii="Arial;sans-serif" w:hAnsi="Arial;sans-serif"/>
                <w:b/>
                <w:color w:val="053273"/>
                <w:sz w:val="16"/>
              </w:rPr>
              <w:t>WITHOUT</w:t>
              <w:br/>
              <w:t>CAUSE, FOR</w:t>
              <w:br/>
              <w:t>GOOD REASON</w:t>
              <w:br/>
              <w:t>OR NON-</w:t>
              <w:br/>
              <w:t>RENEWAL</w:t>
              <w:br/>
              <w:t>TERMINATION</w:t>
              <w:br/>
              <w:t>(WITHOUT</w:t>
              <w:br/>
              <w:t>CHANGE</w:t>
              <w:br/>
              <w:t>IN CONTROL)</w:t>
              <w:br/>
              <w:t>($)</w:t>
            </w:r>
          </w:p>
        </w:tc>
        <w:tc>
          <w:tcPr>
            <w:tcW w:w="1214"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3273"/>
                <w:sz w:val="16"/>
              </w:rPr>
            </w:pPr>
            <w:r>
              <w:rPr>
                <w:rFonts w:ascii="Arial;sans-serif" w:hAnsi="Arial;sans-serif"/>
                <w:b/>
                <w:color w:val="053273"/>
                <w:sz w:val="16"/>
              </w:rPr>
              <w:t>WITHOUT</w:t>
              <w:br/>
              <w:t>CAUSE OR</w:t>
              <w:br/>
              <w:t>FOR GOOD</w:t>
              <w:br/>
              <w:t>REASON</w:t>
              <w:br/>
              <w:t>(WITH CHANGE</w:t>
              <w:br/>
              <w:t>IN CONTROL)</w:t>
              <w:br/>
              <w:t>($)</w:t>
            </w:r>
          </w:p>
        </w:tc>
        <w:tc>
          <w:tcPr>
            <w:tcW w:w="1582"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3273"/>
                <w:sz w:val="16"/>
              </w:rPr>
            </w:pPr>
            <w:r>
              <w:rPr>
                <w:rFonts w:ascii="Arial;sans-serif" w:hAnsi="Arial;sans-serif"/>
                <w:b/>
                <w:color w:val="053273"/>
                <w:sz w:val="16"/>
              </w:rPr>
              <w:t>NON-RENEWAL</w:t>
              <w:br/>
              <w:t>TERMINATION</w:t>
              <w:br/>
              <w:t>(WITH</w:t>
              <w:br/>
              <w:t>CHANGE</w:t>
              <w:br/>
              <w:t>IN CONTROL)</w:t>
              <w:br/>
              <w:t>($)</w:t>
            </w:r>
          </w:p>
        </w:tc>
        <w:tc>
          <w:tcPr>
            <w:tcW w:w="1181"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3273"/>
                <w:sz w:val="16"/>
              </w:rPr>
            </w:pPr>
            <w:r>
              <w:rPr>
                <w:rFonts w:ascii="Arial;sans-serif" w:hAnsi="Arial;sans-serif"/>
                <w:b/>
                <w:color w:val="053273"/>
                <w:sz w:val="16"/>
              </w:rPr>
              <w:t>DEATH OR</w:t>
              <w:br/>
              <w:t>DISABILITY</w:t>
              <w:br/>
              <w:t>($)</w:t>
            </w:r>
          </w:p>
        </w:tc>
        <w:tc>
          <w:tcPr>
            <w:tcW w:w="1416"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3273"/>
                <w:sz w:val="16"/>
              </w:rPr>
            </w:pPr>
            <w:r>
              <w:rPr>
                <w:rFonts w:ascii="Arial;sans-serif" w:hAnsi="Arial;sans-serif"/>
                <w:b/>
                <w:color w:val="053273"/>
                <w:sz w:val="16"/>
              </w:rPr>
              <w:t>RETIREMENT</w:t>
              <w:br/>
              <w:t>($)</w:t>
            </w:r>
          </w:p>
        </w:tc>
      </w:tr>
      <w:tr>
        <w:trPr/>
        <w:tc>
          <w:tcPr>
            <w:tcW w:w="3317" w:type="dxa"/>
            <w:gridSpan w:val="3"/>
            <w:tcBorders>
              <w:top w:val="single" w:sz="12" w:space="0" w:color="63646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Separation Payment</w:t>
            </w:r>
          </w:p>
        </w:tc>
        <w:tc>
          <w:tcPr>
            <w:tcW w:w="1495"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455,260</w:t>
            </w:r>
          </w:p>
        </w:tc>
        <w:tc>
          <w:tcPr>
            <w:tcW w:w="1214"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682,890</w:t>
            </w:r>
          </w:p>
        </w:tc>
        <w:tc>
          <w:tcPr>
            <w:tcW w:w="1582"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455,260</w:t>
            </w:r>
          </w:p>
        </w:tc>
        <w:tc>
          <w:tcPr>
            <w:tcW w:w="1181"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16"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3317"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Insurance</w:t>
            </w:r>
          </w:p>
        </w:tc>
        <w:tc>
          <w:tcPr>
            <w:tcW w:w="149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37,735</w:t>
            </w:r>
          </w:p>
        </w:tc>
        <w:tc>
          <w:tcPr>
            <w:tcW w:w="121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37,735</w:t>
            </w:r>
          </w:p>
        </w:tc>
        <w:tc>
          <w:tcPr>
            <w:tcW w:w="158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37,735</w:t>
            </w:r>
          </w:p>
        </w:tc>
        <w:tc>
          <w:tcPr>
            <w:tcW w:w="118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16"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3317"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Non-Equity Incentive Plan Compensation</w:t>
            </w:r>
          </w:p>
        </w:tc>
        <w:tc>
          <w:tcPr>
            <w:tcW w:w="149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320,617</w:t>
            </w:r>
          </w:p>
        </w:tc>
        <w:tc>
          <w:tcPr>
            <w:tcW w:w="121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320,617</w:t>
            </w:r>
          </w:p>
        </w:tc>
        <w:tc>
          <w:tcPr>
            <w:tcW w:w="158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320,617</w:t>
            </w:r>
          </w:p>
        </w:tc>
        <w:tc>
          <w:tcPr>
            <w:tcW w:w="118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341,445</w:t>
            </w:r>
          </w:p>
        </w:tc>
        <w:tc>
          <w:tcPr>
            <w:tcW w:w="1416"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3317"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Service-Based RSUs (amount includes accrued dividends payable upon vesting)</w:t>
            </w:r>
          </w:p>
        </w:tc>
        <w:tc>
          <w:tcPr>
            <w:tcW w:w="1495"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502,255</w:t>
            </w:r>
          </w:p>
        </w:tc>
        <w:tc>
          <w:tcPr>
            <w:tcW w:w="158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502,255</w:t>
            </w:r>
          </w:p>
        </w:tc>
        <w:tc>
          <w:tcPr>
            <w:tcW w:w="118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502,255</w:t>
            </w:r>
          </w:p>
        </w:tc>
        <w:tc>
          <w:tcPr>
            <w:tcW w:w="1416"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317"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PRSUs (amount includes accrued dividends payable upon vesting)</w:t>
            </w:r>
          </w:p>
        </w:tc>
        <w:tc>
          <w:tcPr>
            <w:tcW w:w="1495"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214"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9"/>
              </w:rPr>
              <w:t>268,968</w:t>
            </w:r>
            <w:r>
              <w:rPr>
                <w:rFonts w:ascii="Arial;sans-serif" w:hAnsi="Arial;sans-serif"/>
                <w:b w:val="false"/>
                <w:color w:val="000000"/>
                <w:sz w:val="12"/>
              </w:rPr>
              <w:t>(1)</w:t>
            </w:r>
          </w:p>
        </w:tc>
        <w:tc>
          <w:tcPr>
            <w:tcW w:w="1582"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9"/>
              </w:rPr>
              <w:t>268,968</w:t>
            </w:r>
            <w:r>
              <w:rPr>
                <w:rFonts w:ascii="Arial;sans-serif" w:hAnsi="Arial;sans-serif"/>
                <w:b w:val="false"/>
                <w:color w:val="000000"/>
                <w:sz w:val="12"/>
              </w:rPr>
              <w:t>(1)</w:t>
            </w:r>
          </w:p>
        </w:tc>
        <w:tc>
          <w:tcPr>
            <w:tcW w:w="1181"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268,968</w:t>
            </w:r>
          </w:p>
        </w:tc>
        <w:tc>
          <w:tcPr>
            <w:tcW w:w="1416"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205" w:type="dxa"/>
            <w:gridSpan w:val="18"/>
            <w:tcBorders>
              <w:top w:val="single" w:sz="4" w:space="0" w:color="C8C9C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120" w:after="24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(1) For the PRSUs granted in 2023 that would vest on an accelerated basis, the value is calculated based on actual performance as of December 31, 2025. For the PRSUs granted in 2024 and 2025 that would vest on an accelerated basis, the value assumes payout at target level of performance for the entire performance period.</w:t>
            </w:r>
          </w:p>
        </w:tc>
      </w:tr>
    </w:tbl>
    <w:p>
      <w:pPr>
        <w:pStyle w:val="TextBody"/>
        <w:bidi w:val="0"/>
        <w:spacing w:lineRule="auto" w:line="288" w:before="120" w:after="240"/>
        <w:jc w:val="both"/>
        <w:rPr/>
      </w:pPr>
      <w:r>
        <w:rPr>
          <w:rFonts w:ascii="Arial;sans-serif" w:hAnsi="Arial;sans-serif"/>
          <w:b/>
          <w:i/>
          <w:color w:val="053273"/>
          <w:sz w:val="19"/>
        </w:rPr>
        <w:t>Jeanette L. Miller</w:t>
      </w:r>
      <w:r>
        <w:rPr>
          <w:rFonts w:ascii="Arial;sans-serif" w:hAnsi="Arial;sans-serif"/>
          <w:b w:val="false"/>
          <w:color w:val="000000"/>
          <w:sz w:val="19"/>
        </w:rPr>
        <w:t>. The following table describes the potential estimated payments that Ms. Miller would have been entitled to receive had she been terminated on December 31, 2025, calculated in the manner described under the paragraph “Quantification of Termination Benefits”. The amounts are estimated, and actual amounts may vary if Ms. Miller’s employment was actually terminated under the circumstances set forth below or our common stock was trading at a different price, where relevant. Ms. Miller would have been required under her employment agreement to comply with the Restrictive Covenants for a period of eighteen months from the date of termination of her employment if her employment was terminated by the Company without Cause or by her for Good Reason or in the event of a Non-Renewal Termination in order to continue to receive the Separation Benefits, and not be obligated to repay the Company any amounts received. The acceleration of vesting for the restricted share units in connection with a Change in Control is not subject to compliance with the Restrictive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1465"/>
        <w:gridCol w:w="1200"/>
        <w:gridCol w:w="1206"/>
        <w:gridCol w:w="603"/>
        <w:gridCol w:w="603"/>
        <w:gridCol w:w="605"/>
        <w:gridCol w:w="603"/>
        <w:gridCol w:w="603"/>
        <w:gridCol w:w="605"/>
        <w:gridCol w:w="411"/>
        <w:gridCol w:w="411"/>
        <w:gridCol w:w="412"/>
        <w:gridCol w:w="430"/>
        <w:gridCol w:w="430"/>
        <w:gridCol w:w="618"/>
      </w:tblGrid>
      <w:tr>
        <w:trPr/>
        <w:tc>
          <w:tcPr>
            <w:tcW w:w="146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op w:val="single" w:sz="24" w:space="0" w:color="053273"/>
            </w:tcBorders>
            <w:shd w:fill="F3F3F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53273"/>
                <w:sz w:val="16"/>
              </w:rPr>
            </w:pPr>
            <w:r>
              <w:rPr>
                <w:rFonts w:ascii="Arial;sans-serif" w:hAnsi="Arial;sans-serif"/>
                <w:b/>
                <w:color w:val="053273"/>
                <w:sz w:val="16"/>
              </w:rPr>
              <w:t>EXECUTIVE BENEFITS AND PAYMENTS UPON TERMINATION</w:t>
            </w:r>
          </w:p>
        </w:tc>
        <w:tc>
          <w:tcPr>
            <w:tcW w:w="1811"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3273"/>
                <w:sz w:val="16"/>
              </w:rPr>
            </w:pPr>
            <w:r>
              <w:rPr>
                <w:rFonts w:ascii="Arial;sans-serif" w:hAnsi="Arial;sans-serif"/>
                <w:b/>
                <w:color w:val="053273"/>
                <w:sz w:val="16"/>
              </w:rPr>
              <w:t>WITHOUT CAUSE,</w:t>
              <w:br/>
              <w:t>FOR GOOD REASON</w:t>
              <w:br/>
              <w:t>OR NON-RENEWAL</w:t>
              <w:br/>
              <w:t>TERMINATION</w:t>
              <w:br/>
              <w:t>(WITHOUT CHANGE</w:t>
              <w:br/>
              <w:t>IN CONTROL)</w:t>
              <w:br/>
              <w:t>($)</w:t>
            </w:r>
          </w:p>
        </w:tc>
        <w:tc>
          <w:tcPr>
            <w:tcW w:w="1811"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3273"/>
                <w:sz w:val="16"/>
              </w:rPr>
            </w:pPr>
            <w:r>
              <w:rPr>
                <w:rFonts w:ascii="Arial;sans-serif" w:hAnsi="Arial;sans-serif"/>
                <w:b/>
                <w:color w:val="053273"/>
                <w:sz w:val="16"/>
              </w:rPr>
              <w:t>WITHOUT CAUSE,</w:t>
              <w:br/>
              <w:t>FOR GOOD REASON</w:t>
              <w:br/>
              <w:t>OR NON-RENEWAL</w:t>
              <w:br/>
              <w:t>TERMINATION</w:t>
              <w:br/>
              <w:t>(WITH CHANGE</w:t>
              <w:br/>
              <w:t>IN CONTROL)</w:t>
              <w:br/>
              <w:t>($)</w:t>
            </w:r>
          </w:p>
        </w:tc>
        <w:tc>
          <w:tcPr>
            <w:tcW w:w="1234"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3273"/>
                <w:sz w:val="16"/>
              </w:rPr>
            </w:pPr>
            <w:r>
              <w:rPr>
                <w:rFonts w:ascii="Arial;sans-serif" w:hAnsi="Arial;sans-serif"/>
                <w:b/>
                <w:color w:val="053273"/>
                <w:sz w:val="16"/>
              </w:rPr>
              <w:t>DEATH OR</w:t>
              <w:br/>
              <w:t>DISABILITY</w:t>
              <w:br/>
              <w:t>($)</w:t>
            </w:r>
          </w:p>
        </w:tc>
        <w:tc>
          <w:tcPr>
            <w:tcW w:w="1478"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3273"/>
                <w:sz w:val="16"/>
              </w:rPr>
            </w:pPr>
            <w:r>
              <w:rPr>
                <w:rFonts w:ascii="Arial;sans-serif" w:hAnsi="Arial;sans-serif"/>
                <w:b/>
                <w:color w:val="053273"/>
                <w:sz w:val="16"/>
              </w:rPr>
              <w:t>RETIREMENT</w:t>
              <w:br/>
              <w:t>($)</w:t>
            </w:r>
          </w:p>
        </w:tc>
      </w:tr>
      <w:tr>
        <w:trPr/>
        <w:tc>
          <w:tcPr>
            <w:tcW w:w="3871" w:type="dxa"/>
            <w:gridSpan w:val="3"/>
            <w:tcBorders>
              <w:top w:val="single" w:sz="12" w:space="0" w:color="63646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Separation Payment</w:t>
            </w:r>
          </w:p>
        </w:tc>
        <w:tc>
          <w:tcPr>
            <w:tcW w:w="1811"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370,800</w:t>
            </w:r>
          </w:p>
        </w:tc>
        <w:tc>
          <w:tcPr>
            <w:tcW w:w="1811"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556,200</w:t>
            </w:r>
          </w:p>
        </w:tc>
        <w:tc>
          <w:tcPr>
            <w:tcW w:w="1234"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78"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3871"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Insurance</w:t>
            </w:r>
          </w:p>
        </w:tc>
        <w:tc>
          <w:tcPr>
            <w:tcW w:w="181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81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3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7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3871"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Non-Equity Incentive Plan Compensation</w:t>
            </w:r>
          </w:p>
        </w:tc>
        <w:tc>
          <w:tcPr>
            <w:tcW w:w="181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261,136</w:t>
            </w:r>
          </w:p>
        </w:tc>
        <w:tc>
          <w:tcPr>
            <w:tcW w:w="181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261,136</w:t>
            </w:r>
          </w:p>
        </w:tc>
        <w:tc>
          <w:tcPr>
            <w:tcW w:w="123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278,100</w:t>
            </w:r>
          </w:p>
        </w:tc>
        <w:tc>
          <w:tcPr>
            <w:tcW w:w="147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3871"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Service-Based RSUs (amount includes accrued dividends payable upon vesting)</w:t>
            </w:r>
          </w:p>
        </w:tc>
        <w:tc>
          <w:tcPr>
            <w:tcW w:w="181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1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304,664</w:t>
            </w:r>
          </w:p>
        </w:tc>
        <w:tc>
          <w:tcPr>
            <w:tcW w:w="123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304,664</w:t>
            </w:r>
          </w:p>
        </w:tc>
        <w:tc>
          <w:tcPr>
            <w:tcW w:w="147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871"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PRSUs (amount includes accrued dividends payable upon vesting)</w:t>
            </w:r>
          </w:p>
        </w:tc>
        <w:tc>
          <w:tcPr>
            <w:tcW w:w="1811"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811"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9"/>
              </w:rPr>
              <w:t>159,604</w:t>
            </w:r>
            <w:r>
              <w:rPr>
                <w:rFonts w:ascii="Arial;sans-serif" w:hAnsi="Arial;sans-serif"/>
                <w:b w:val="false"/>
                <w:color w:val="000000"/>
                <w:sz w:val="12"/>
              </w:rPr>
              <w:t>(1)</w:t>
            </w:r>
          </w:p>
        </w:tc>
        <w:tc>
          <w:tcPr>
            <w:tcW w:w="1234"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159,604</w:t>
            </w:r>
          </w:p>
        </w:tc>
        <w:tc>
          <w:tcPr>
            <w:tcW w:w="1478"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205" w:type="dxa"/>
            <w:gridSpan w:val="15"/>
            <w:tcBorders>
              <w:top w:val="single" w:sz="4" w:space="0" w:color="C8C9C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9"/>
              </w:rPr>
              <w:t xml:space="preserve">(1) </w:t>
            </w:r>
            <w:r>
              <w:rPr>
                <w:rFonts w:ascii="Arial;sans-serif" w:hAnsi="Arial;sans-serif"/>
                <w:b w:val="false"/>
                <w:color w:val="000000"/>
                <w:sz w:val="19"/>
                <w:shd w:fill="FFFFFF" w:val="clear"/>
              </w:rPr>
              <w:t>For the PRSUs granted in 2023 that would vest on an accelerated basis, the value is calculated based on actual performance as of December 31, 2025. For the PRSUs granted in 2024 and 2025 that would vest on an accelerated basis, the value assumes payout at target level of performance for the entire performance period.</w:t>
            </w:r>
          </w:p>
        </w:tc>
      </w:tr>
    </w:tbl>
    <w:p>
      <w:pPr>
        <w:pStyle w:val="TextBody"/>
        <w:bidi w:val="0"/>
        <w:spacing w:lineRule="auto" w:line="288" w:before="120" w:after="240"/>
        <w:jc w:val="both"/>
        <w:rPr/>
      </w:pPr>
      <w:r>
        <w:rPr>
          <w:rFonts w:ascii="Arial;sans-serif" w:hAnsi="Arial;sans-serif"/>
          <w:b/>
          <w:i/>
          <w:color w:val="053273"/>
          <w:sz w:val="19"/>
        </w:rPr>
        <w:t>Todd R. Sutherland</w:t>
      </w:r>
      <w:r>
        <w:rPr>
          <w:rFonts w:ascii="Arial;sans-serif" w:hAnsi="Arial;sans-serif"/>
          <w:b w:val="false"/>
          <w:color w:val="000000"/>
          <w:sz w:val="19"/>
        </w:rPr>
        <w:t>. The following table describes the potential estimated payments that Mr. Sutherland would have been entitled to receive had he been terminated on December 31, 2025, calculated in the manner described under the paragraph “Quantification of Termination Benefits”. The amounts are estimated, and actual amounts may vary if Mr. Sutherland’s employment was actually terminated under the circumstances set forth below or our common stock was trading at a different price, where relevant. Mr. Sutherland would have been required under his employment agreement to comply with the Restrictive Covenants for a period of the greater of (i) twelve months and (ii) the length of time during which Mr. Sutherland receives severance payments under his employment agreement, in each case from the date of termination of his employment by the Company without Cause or by him for Good Reason or in the event of a Non-Renewal Termination in order to continue to receive the Separation Benefits, and not be obligated to repay the Company any amounts received. The acceleration of vesting for the restricted share units in connection with a Change in Control are not subject to compliance with the Restrictive Covenants.</w:t>
      </w:r>
    </w:p>
    <w:tbl>
      <w:tblPr>
        <w:tblW w:w="10205" w:type="dxa"/>
        <w:jc w:val="center"/>
        <w:tblInd w:w="0" w:type="dxa"/>
        <w:tblLayout w:type="fixed"/>
        <w:tblCellMar>
          <w:top w:w="28" w:type="dxa"/>
          <w:left w:w="28" w:type="dxa"/>
          <w:bottom w:w="28" w:type="dxa"/>
          <w:right w:w="28" w:type="dxa"/>
        </w:tblCellMar>
      </w:tblPr>
      <w:tblGrid>
        <w:gridCol w:w="1416"/>
        <w:gridCol w:w="1183"/>
        <w:gridCol w:w="1188"/>
        <w:gridCol w:w="502"/>
        <w:gridCol w:w="502"/>
        <w:gridCol w:w="504"/>
        <w:gridCol w:w="433"/>
        <w:gridCol w:w="433"/>
        <w:gridCol w:w="435"/>
        <w:gridCol w:w="455"/>
        <w:gridCol w:w="455"/>
        <w:gridCol w:w="456"/>
        <w:gridCol w:w="340"/>
        <w:gridCol w:w="340"/>
        <w:gridCol w:w="341"/>
        <w:gridCol w:w="356"/>
        <w:gridCol w:w="356"/>
        <w:gridCol w:w="510"/>
      </w:tblGrid>
      <w:tr>
        <w:trPr/>
        <w:tc>
          <w:tcPr>
            <w:tcW w:w="141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3787" w:type="dxa"/>
            <w:gridSpan w:val="3"/>
            <w:tcBorders>
              <w:top w:val="single" w:sz="24" w:space="0" w:color="053273"/>
            </w:tcBorders>
            <w:shd w:fill="F3F3F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53273"/>
                <w:sz w:val="16"/>
              </w:rPr>
            </w:pPr>
            <w:r>
              <w:rPr>
                <w:rFonts w:ascii="Arial;sans-serif" w:hAnsi="Arial;sans-serif"/>
                <w:b/>
                <w:color w:val="053273"/>
                <w:sz w:val="16"/>
              </w:rPr>
              <w:t>EXECUTIVE BENEFITS AND PAYMENTS UPON TERMINATION</w:t>
            </w:r>
          </w:p>
        </w:tc>
        <w:tc>
          <w:tcPr>
            <w:tcW w:w="1508"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3273"/>
                <w:sz w:val="16"/>
              </w:rPr>
            </w:pPr>
            <w:r>
              <w:rPr>
                <w:rFonts w:ascii="Arial;sans-serif" w:hAnsi="Arial;sans-serif"/>
                <w:b/>
                <w:color w:val="053273"/>
                <w:sz w:val="16"/>
              </w:rPr>
              <w:t>WITHOUT CAUSE,</w:t>
              <w:br/>
              <w:t>FOR GOOD</w:t>
              <w:br/>
              <w:t>REASON OR</w:t>
              <w:br/>
              <w:t>NON-RENEWAL</w:t>
              <w:br/>
              <w:t>TERMINATION</w:t>
              <w:br/>
              <w:t>(WITHOUT CHANGE</w:t>
              <w:br/>
              <w:t>IN CONTROL)</w:t>
              <w:br/>
              <w:t>($)</w:t>
            </w:r>
          </w:p>
        </w:tc>
        <w:tc>
          <w:tcPr>
            <w:tcW w:w="1301"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3273"/>
                <w:sz w:val="16"/>
              </w:rPr>
            </w:pPr>
            <w:r>
              <w:rPr>
                <w:rFonts w:ascii="Arial;sans-serif" w:hAnsi="Arial;sans-serif"/>
                <w:b/>
                <w:color w:val="053273"/>
                <w:sz w:val="16"/>
              </w:rPr>
              <w:t>WITHOUT CAUSE OR</w:t>
              <w:br/>
              <w:t>FOR GOOD REASON</w:t>
              <w:br/>
              <w:t>(WITH CHANGE</w:t>
              <w:br/>
              <w:t>IN CONTROL)</w:t>
              <w:br/>
              <w:t>($)</w:t>
            </w:r>
          </w:p>
        </w:tc>
        <w:tc>
          <w:tcPr>
            <w:tcW w:w="1366"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3273"/>
                <w:sz w:val="16"/>
              </w:rPr>
            </w:pPr>
            <w:r>
              <w:rPr>
                <w:rFonts w:ascii="Arial;sans-serif" w:hAnsi="Arial;sans-serif"/>
                <w:b/>
                <w:color w:val="053273"/>
                <w:sz w:val="16"/>
              </w:rPr>
              <w:t>NON-RENEWAL</w:t>
              <w:br/>
              <w:t>TERMINATION</w:t>
              <w:br/>
              <w:t>(WITH CHANGE</w:t>
              <w:br/>
              <w:t>IN CONTROL)</w:t>
              <w:br/>
              <w:t>($)</w:t>
            </w:r>
          </w:p>
        </w:tc>
        <w:tc>
          <w:tcPr>
            <w:tcW w:w="1021"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3273"/>
                <w:sz w:val="16"/>
              </w:rPr>
            </w:pPr>
            <w:r>
              <w:rPr>
                <w:rFonts w:ascii="Arial;sans-serif" w:hAnsi="Arial;sans-serif"/>
                <w:b/>
                <w:color w:val="053273"/>
                <w:sz w:val="16"/>
              </w:rPr>
              <w:t>DEATH OR</w:t>
              <w:br/>
              <w:t>DISABILITY</w:t>
              <w:br/>
              <w:t>($)</w:t>
            </w:r>
          </w:p>
        </w:tc>
        <w:tc>
          <w:tcPr>
            <w:tcW w:w="1222"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3273"/>
                <w:sz w:val="16"/>
              </w:rPr>
            </w:pPr>
            <w:r>
              <w:rPr>
                <w:rFonts w:ascii="Arial;sans-serif" w:hAnsi="Arial;sans-serif"/>
                <w:b/>
                <w:color w:val="053273"/>
                <w:sz w:val="16"/>
              </w:rPr>
              <w:t>RETIREMENT</w:t>
              <w:br/>
              <w:t>($)</w:t>
            </w:r>
          </w:p>
        </w:tc>
      </w:tr>
      <w:tr>
        <w:trPr/>
        <w:tc>
          <w:tcPr>
            <w:tcW w:w="3787" w:type="dxa"/>
            <w:gridSpan w:val="3"/>
            <w:tcBorders>
              <w:top w:val="single" w:sz="12" w:space="0" w:color="63646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Separation Payment</w:t>
            </w:r>
          </w:p>
        </w:tc>
        <w:tc>
          <w:tcPr>
            <w:tcW w:w="1508"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400,000</w:t>
            </w:r>
          </w:p>
        </w:tc>
        <w:tc>
          <w:tcPr>
            <w:tcW w:w="1301"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600,000</w:t>
            </w:r>
          </w:p>
        </w:tc>
        <w:tc>
          <w:tcPr>
            <w:tcW w:w="1366"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400,000</w:t>
            </w:r>
          </w:p>
        </w:tc>
        <w:tc>
          <w:tcPr>
            <w:tcW w:w="1021"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22"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3787"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Insurance</w:t>
            </w:r>
          </w:p>
        </w:tc>
        <w:tc>
          <w:tcPr>
            <w:tcW w:w="150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21,685</w:t>
            </w:r>
          </w:p>
        </w:tc>
        <w:tc>
          <w:tcPr>
            <w:tcW w:w="130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21,685</w:t>
            </w:r>
          </w:p>
        </w:tc>
        <w:tc>
          <w:tcPr>
            <w:tcW w:w="1366"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21,685</w:t>
            </w:r>
          </w:p>
        </w:tc>
        <w:tc>
          <w:tcPr>
            <w:tcW w:w="102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2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3787"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Non-Equity Incentive Plan Compensation</w:t>
            </w:r>
          </w:p>
        </w:tc>
        <w:tc>
          <w:tcPr>
            <w:tcW w:w="150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295,620</w:t>
            </w:r>
          </w:p>
        </w:tc>
        <w:tc>
          <w:tcPr>
            <w:tcW w:w="130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295,620</w:t>
            </w:r>
          </w:p>
        </w:tc>
        <w:tc>
          <w:tcPr>
            <w:tcW w:w="1366"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295,620</w:t>
            </w:r>
          </w:p>
        </w:tc>
        <w:tc>
          <w:tcPr>
            <w:tcW w:w="102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320,977</w:t>
            </w:r>
          </w:p>
        </w:tc>
        <w:tc>
          <w:tcPr>
            <w:tcW w:w="122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3787"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Service-Based RSUs (amount includes accrued dividends payable upon vesting)</w:t>
            </w:r>
          </w:p>
        </w:tc>
        <w:tc>
          <w:tcPr>
            <w:tcW w:w="150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0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294,772</w:t>
            </w:r>
          </w:p>
        </w:tc>
        <w:tc>
          <w:tcPr>
            <w:tcW w:w="1366"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294,772</w:t>
            </w:r>
          </w:p>
        </w:tc>
        <w:tc>
          <w:tcPr>
            <w:tcW w:w="102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294,772</w:t>
            </w:r>
          </w:p>
        </w:tc>
        <w:tc>
          <w:tcPr>
            <w:tcW w:w="122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787"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PRSUs (amount includes accrued dividends payable upon vesting)</w:t>
            </w:r>
          </w:p>
        </w:tc>
        <w:tc>
          <w:tcPr>
            <w:tcW w:w="1508"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0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66"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2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2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787" w:type="dxa"/>
            <w:gridSpan w:val="3"/>
            <w:tcBorders>
              <w:top w:val="single" w:sz="4" w:space="0" w:color="C8C9CB"/>
              <w:bottom w:val="single" w:sz="4" w:space="0" w:color="C8C9CB"/>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Incentive Award (unvested amount outstanding)</w:t>
            </w:r>
          </w:p>
        </w:tc>
        <w:tc>
          <w:tcPr>
            <w:tcW w:w="1508"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301"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264,680</w:t>
            </w:r>
          </w:p>
        </w:tc>
        <w:tc>
          <w:tcPr>
            <w:tcW w:w="1366"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264,680</w:t>
            </w:r>
          </w:p>
        </w:tc>
        <w:tc>
          <w:tcPr>
            <w:tcW w:w="1021"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264,680</w:t>
            </w:r>
          </w:p>
        </w:tc>
        <w:tc>
          <w:tcPr>
            <w:tcW w:w="1222"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120" w:after="240"/>
        <w:jc w:val="both"/>
        <w:rPr>
          <w:rFonts w:ascii="Arial;sans-serif" w:hAnsi="Arial;sans-serif"/>
          <w:b/>
          <w:color w:val="939598"/>
          <w:sz w:val="24"/>
        </w:rPr>
      </w:pPr>
      <w:r>
        <w:rPr>
          <w:rFonts w:ascii="Arial;sans-serif" w:hAnsi="Arial;sans-serif"/>
          <w:b/>
          <w:color w:val="939598"/>
          <w:sz w:val="24"/>
        </w:rPr>
        <w:t>Chief Executive Officer Pay Ratio</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Pursuant to Section 953(b) of the Dodd-Frank Wall Street Reform and Consumer Protection Act, and Item 402(u) of Regulation S-K, we are required to disclose the ratio of the total 2025 compensation of our Chief Executive Officer, Frank N. D’Orazio, to the total compensation of our median employee for 2025. This pay ratio is a reasonable estimate calculated in a manner consistent with the SEC rules.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We determined our median employee for purposes of the disclosure by generating a report from our payroll system reflecting regular and overtime salary (where applicable) paid to our employees for the calendar year 2025 for every full-time, part-time and short-term employee employed by us as of December 31, 2025 (excluding Mr. D’Orazio). We annualized this pay for employees who had worked for us for less than a full year. Once we determined the median employee, we calculated that employee’s total compensation for 2025 in the same manner utilized to determine the amount reported for Mr. D’Orazio in the “Total” column in our Summary Compensation Table included in this Form 10-K/A.</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Mr. D’Orazio’s total annual compensation was $2,930,288, and our median employee’s total annual compensation was $106,792. The ratio of the total annual compensation of Mr. D’Orazio to the total annual compensation for our median employee in 2025 is approximately 27 to 1.</w:t>
      </w:r>
    </w:p>
    <w:p>
      <w:pPr>
        <w:pStyle w:val="TextBody"/>
        <w:bidi w:val="0"/>
        <w:spacing w:lineRule="auto" w:line="288" w:before="0" w:after="240"/>
        <w:jc w:val="both"/>
        <w:rPr>
          <w:rFonts w:ascii="Arial;sans-serif" w:hAnsi="Arial;sans-serif"/>
          <w:b/>
          <w:color w:val="939598"/>
          <w:sz w:val="24"/>
        </w:rPr>
      </w:pPr>
      <w:r>
        <w:rPr>
          <w:rFonts w:ascii="Arial;sans-serif" w:hAnsi="Arial;sans-serif"/>
          <w:b/>
          <w:color w:val="939598"/>
          <w:sz w:val="24"/>
        </w:rPr>
        <w:t>Compensation and Human Capital Committee Interlocks and Insider Participation</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During 2025, each of Mr. Cavaness, Ms. LaSala, Mr. Migliorato and Ollie L. Sherman, Jr., who served as Chairperson of the Board until February 2025 and retired from the Board in April 2025, served on our Compensation and Human Capital Committee (with Mr. Cavaness and Mr. Sherman serving on the committee for a portion of the year). None of our executive officers currently serves, or in the past year has served, as a member of the board of directors or compensation committee of any entity that has one or more executive officers serving on our Board of Directors or Compensation and Human Capital Committee.</w:t>
      </w:r>
    </w:p>
    <w:p>
      <w:pPr>
        <w:pStyle w:val="TextBody"/>
        <w:bidi w:val="0"/>
        <w:spacing w:lineRule="auto" w:line="288" w:before="0" w:after="240"/>
        <w:jc w:val="both"/>
        <w:rPr>
          <w:rFonts w:ascii="Arial;sans-serif" w:hAnsi="Arial;sans-serif"/>
          <w:b/>
          <w:color w:val="939598"/>
          <w:sz w:val="24"/>
        </w:rPr>
      </w:pPr>
      <w:r>
        <w:rPr>
          <w:rFonts w:ascii="Arial;sans-serif" w:hAnsi="Arial;sans-serif"/>
          <w:b/>
          <w:color w:val="939598"/>
          <w:sz w:val="24"/>
        </w:rPr>
        <w:t>Compensation of Directors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During 2025, our non-employee directors (excluding Mr. Botein) received an annual cash retainer in the amount of $125,000 per year, payable in four equal installments at the beginning of each quarter, and, excluding our Non-Executive Chairperson of the Board (“Chairperson”), an annual restricted share unit award with a fair market value of $50,000 per year. Our Chairperson received an annual restricted share unit award with a fair market value of $100,000, which is an increased amount in recognition of additional responsibilities in such capacity (Ms. LaSala served as the Chairperson in 2025).</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Non-employee directors that join the Board after annual grants are made during the first quarter of the year receive a pro-rated restricted share unit award for the period of service during the one-year period commencing on the date of grant of restricted share units to continuing directors. In this regard, Mr. Cavaness, who joined our Board on July 21, 2025, received a pro-rated restricted share unit award representing 5,479 shares of common stock, which was granted on July 24, 2025. The number of shares represented by Mr. Cavaness’s restricted share unit award was determined based upon the closing stock price on the date he joined the Board.</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awards of restricted share units are made from the Company’s 2014 Non-Employee Director Incentive Plan and vest in full on the first anniversary of the date of the grant (or, in the case of pro-rata grants made to a new director, on the first anniversary of the date of grant of restricted share units to the continuing directors).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In addition to the aforementioned compensation, during 2025 the Chairperson of our Audit Committee was paid additional cash compensation in the amount of $25,000 per year and each of the Compensation and Human Capital Committee Chairperson and Nominating and Corporate Governance Committee Chairperson were paid an additional $12,500 per year.</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Mr. Botein, who joined the Board in 2023, does not receive compensation for his service as a director, pursuant to the terms of the Investment Agreement relating to the issuance of our Series A Preferred Shares described under “Certain Relationships and Related Transactions — Related Party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On February 20, 2026, the Board, upon recommendation of the Committee following consultation with its compensation consultant and to better align with pay levels of our peers, increased (i) the annual equity award to non-employee directors (other than the Chairperson) to $100,000; (ii) the annual equity award to the Chairperson to $150,000; (iii) the annual cash compensation to the Chairperson to $175,000; and (iv) the additional annual cash compensation to each of the Compensation and Human Capital Committee Chairperson and the Nominating and Corporate Governance Committee Chairperson to $17,500. The equity award increases took effect with the annual equity award to non-employee directors on March 4, 2026 and the cash compensation increases took effect on April 1, 2026. This was the first increase to our directors’ compensation since 2023.</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following table sets forth information concerning compensation earned by our non-employee directors during the year ended December 31, 2025.</w:t>
      </w:r>
    </w:p>
    <w:tbl>
      <w:tblPr>
        <w:tblW w:w="10205" w:type="dxa"/>
        <w:jc w:val="center"/>
        <w:tblInd w:w="0" w:type="dxa"/>
        <w:tblLayout w:type="fixed"/>
        <w:tblCellMar>
          <w:top w:w="28" w:type="dxa"/>
          <w:left w:w="28" w:type="dxa"/>
          <w:bottom w:w="28" w:type="dxa"/>
          <w:right w:w="28" w:type="dxa"/>
        </w:tblCellMar>
      </w:tblPr>
      <w:tblGrid>
        <w:gridCol w:w="979"/>
        <w:gridCol w:w="755"/>
        <w:gridCol w:w="763"/>
        <w:gridCol w:w="672"/>
        <w:gridCol w:w="672"/>
        <w:gridCol w:w="675"/>
        <w:gridCol w:w="526"/>
        <w:gridCol w:w="526"/>
        <w:gridCol w:w="529"/>
        <w:gridCol w:w="881"/>
        <w:gridCol w:w="881"/>
        <w:gridCol w:w="884"/>
        <w:gridCol w:w="425"/>
        <w:gridCol w:w="425"/>
        <w:gridCol w:w="612"/>
      </w:tblGrid>
      <w:tr>
        <w:trPr/>
        <w:tc>
          <w:tcPr>
            <w:tcW w:w="97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2497" w:type="dxa"/>
            <w:gridSpan w:val="3"/>
            <w:tcBorders>
              <w:top w:val="single" w:sz="24" w:space="0" w:color="053273"/>
            </w:tcBorders>
            <w:shd w:fill="F3F3F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53273"/>
                <w:sz w:val="16"/>
              </w:rPr>
            </w:pPr>
            <w:r>
              <w:rPr>
                <w:rFonts w:ascii="Arial;sans-serif" w:hAnsi="Arial;sans-serif"/>
                <w:b/>
                <w:color w:val="053273"/>
                <w:sz w:val="16"/>
              </w:rPr>
              <w:t>NAME</w:t>
            </w:r>
          </w:p>
        </w:tc>
        <w:tc>
          <w:tcPr>
            <w:tcW w:w="2019"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53273"/>
                <w:sz w:val="16"/>
              </w:rPr>
            </w:pPr>
            <w:r>
              <w:rPr>
                <w:rFonts w:ascii="Arial;sans-serif" w:hAnsi="Arial;sans-serif"/>
                <w:b/>
                <w:color w:val="053273"/>
                <w:sz w:val="16"/>
              </w:rPr>
              <w:t>FEES EARNED OR</w:t>
            </w:r>
          </w:p>
          <w:p>
            <w:pPr>
              <w:pStyle w:val="TableContents"/>
              <w:bidi w:val="0"/>
              <w:spacing w:lineRule="auto" w:line="240" w:before="0" w:after="0"/>
              <w:jc w:val="center"/>
              <w:rPr/>
            </w:pPr>
            <w:r>
              <w:rPr>
                <w:rFonts w:ascii="Arial;sans-serif" w:hAnsi="Arial;sans-serif"/>
                <w:b/>
                <w:color w:val="053273"/>
                <w:sz w:val="16"/>
              </w:rPr>
              <w:t>PAID IN CASH</w:t>
            </w:r>
            <w:r>
              <w:rPr>
                <w:rFonts w:ascii="Arial;sans-serif" w:hAnsi="Arial;sans-serif"/>
                <w:b w:val="false"/>
                <w:color w:val="053273"/>
                <w:sz w:val="10"/>
              </w:rPr>
              <w:t>(1)</w:t>
            </w:r>
          </w:p>
          <w:p>
            <w:pPr>
              <w:pStyle w:val="TableContents"/>
              <w:bidi w:val="0"/>
              <w:spacing w:lineRule="auto" w:line="240" w:before="0" w:after="0"/>
              <w:jc w:val="center"/>
              <w:rPr>
                <w:rFonts w:ascii="Arial;sans-serif" w:hAnsi="Arial;sans-serif"/>
                <w:b/>
                <w:color w:val="053273"/>
                <w:sz w:val="16"/>
              </w:rPr>
            </w:pPr>
            <w:r>
              <w:rPr>
                <w:rFonts w:ascii="Arial;sans-serif" w:hAnsi="Arial;sans-serif"/>
                <w:b/>
                <w:color w:val="053273"/>
                <w:sz w:val="16"/>
              </w:rPr>
              <w:t>($)</w:t>
            </w:r>
          </w:p>
        </w:tc>
        <w:tc>
          <w:tcPr>
            <w:tcW w:w="1581"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53273"/>
                <w:sz w:val="16"/>
              </w:rPr>
            </w:pPr>
            <w:r>
              <w:rPr>
                <w:rFonts w:ascii="Arial;sans-serif" w:hAnsi="Arial;sans-serif"/>
                <w:b/>
                <w:color w:val="053273"/>
                <w:sz w:val="16"/>
              </w:rPr>
              <w:t>STOCK</w:t>
            </w:r>
          </w:p>
          <w:p>
            <w:pPr>
              <w:pStyle w:val="TableContents"/>
              <w:bidi w:val="0"/>
              <w:spacing w:lineRule="auto" w:line="240" w:before="0" w:after="0"/>
              <w:jc w:val="center"/>
              <w:rPr/>
            </w:pPr>
            <w:r>
              <w:rPr>
                <w:rFonts w:ascii="Arial;sans-serif" w:hAnsi="Arial;sans-serif"/>
                <w:b/>
                <w:color w:val="053273"/>
                <w:sz w:val="16"/>
              </w:rPr>
              <w:t>AWARDS</w:t>
            </w:r>
            <w:r>
              <w:rPr>
                <w:rFonts w:ascii="Arial;sans-serif" w:hAnsi="Arial;sans-serif"/>
                <w:b w:val="false"/>
                <w:color w:val="053273"/>
                <w:sz w:val="10"/>
              </w:rPr>
              <w:t>(2)</w:t>
            </w:r>
          </w:p>
          <w:p>
            <w:pPr>
              <w:pStyle w:val="TableContents"/>
              <w:bidi w:val="0"/>
              <w:spacing w:lineRule="auto" w:line="240" w:before="0" w:after="0"/>
              <w:jc w:val="center"/>
              <w:rPr>
                <w:rFonts w:ascii="Arial;sans-serif" w:hAnsi="Arial;sans-serif"/>
                <w:b/>
                <w:color w:val="053273"/>
                <w:sz w:val="16"/>
              </w:rPr>
            </w:pPr>
            <w:r>
              <w:rPr>
                <w:rFonts w:ascii="Arial;sans-serif" w:hAnsi="Arial;sans-serif"/>
                <w:b/>
                <w:color w:val="053273"/>
                <w:sz w:val="16"/>
              </w:rPr>
              <w:t>($)</w:t>
            </w:r>
          </w:p>
        </w:tc>
        <w:tc>
          <w:tcPr>
            <w:tcW w:w="2646"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53273"/>
                <w:sz w:val="16"/>
              </w:rPr>
            </w:pPr>
            <w:r>
              <w:rPr>
                <w:rFonts w:ascii="Arial;sans-serif" w:hAnsi="Arial;sans-serif"/>
                <w:b/>
                <w:color w:val="053273"/>
                <w:sz w:val="16"/>
              </w:rPr>
              <w:t>ALL OTHER</w:t>
            </w:r>
          </w:p>
          <w:p>
            <w:pPr>
              <w:pStyle w:val="TableContents"/>
              <w:bidi w:val="0"/>
              <w:spacing w:lineRule="auto" w:line="240" w:before="0" w:after="0"/>
              <w:jc w:val="center"/>
              <w:rPr/>
            </w:pPr>
            <w:r>
              <w:rPr>
                <w:rFonts w:ascii="Arial;sans-serif" w:hAnsi="Arial;sans-serif"/>
                <w:b/>
                <w:color w:val="053273"/>
                <w:sz w:val="16"/>
              </w:rPr>
              <w:t>COMPENSATION</w:t>
            </w:r>
            <w:r>
              <w:rPr>
                <w:rFonts w:ascii="Arial;sans-serif" w:hAnsi="Arial;sans-serif"/>
                <w:b w:val="false"/>
                <w:color w:val="053273"/>
                <w:sz w:val="10"/>
              </w:rPr>
              <w:t>(3)</w:t>
            </w:r>
          </w:p>
          <w:p>
            <w:pPr>
              <w:pStyle w:val="TableContents"/>
              <w:bidi w:val="0"/>
              <w:spacing w:lineRule="auto" w:line="240" w:before="0" w:after="0"/>
              <w:jc w:val="center"/>
              <w:rPr>
                <w:rFonts w:ascii="Arial;sans-serif" w:hAnsi="Arial;sans-serif"/>
                <w:b/>
                <w:color w:val="053273"/>
                <w:sz w:val="16"/>
              </w:rPr>
            </w:pPr>
            <w:r>
              <w:rPr>
                <w:rFonts w:ascii="Arial;sans-serif" w:hAnsi="Arial;sans-serif"/>
                <w:b/>
                <w:color w:val="053273"/>
                <w:sz w:val="16"/>
              </w:rPr>
              <w:t>($)</w:t>
            </w:r>
          </w:p>
        </w:tc>
        <w:tc>
          <w:tcPr>
            <w:tcW w:w="1462"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3273"/>
                <w:sz w:val="16"/>
              </w:rPr>
            </w:pPr>
            <w:r>
              <w:rPr>
                <w:rFonts w:ascii="Arial;sans-serif" w:hAnsi="Arial;sans-serif"/>
                <w:b/>
                <w:color w:val="053273"/>
                <w:sz w:val="16"/>
              </w:rPr>
              <w:t>TOTAL</w:t>
              <w:br/>
              <w:t>($)</w:t>
            </w:r>
          </w:p>
        </w:tc>
      </w:tr>
      <w:tr>
        <w:trPr/>
        <w:tc>
          <w:tcPr>
            <w:tcW w:w="2497" w:type="dxa"/>
            <w:gridSpan w:val="3"/>
            <w:tcBorders>
              <w:top w:val="single" w:sz="12" w:space="0" w:color="63646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53273"/>
                <w:sz w:val="19"/>
              </w:rPr>
            </w:pPr>
            <w:r>
              <w:rPr>
                <w:rFonts w:ascii="Arial;sans-serif" w:hAnsi="Arial;sans-serif"/>
                <w:b w:val="false"/>
                <w:color w:val="053273"/>
                <w:sz w:val="19"/>
              </w:rPr>
              <w:t>Matthew B. Botein</w:t>
            </w:r>
          </w:p>
        </w:tc>
        <w:tc>
          <w:tcPr>
            <w:tcW w:w="2019"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81"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646"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62"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497"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53273"/>
                <w:sz w:val="19"/>
              </w:rPr>
            </w:pPr>
            <w:r>
              <w:rPr>
                <w:rFonts w:ascii="Arial;sans-serif" w:hAnsi="Arial;sans-serif"/>
                <w:b w:val="false"/>
                <w:color w:val="053273"/>
                <w:sz w:val="19"/>
              </w:rPr>
              <w:t>Thomas L. Brown</w:t>
            </w:r>
          </w:p>
        </w:tc>
        <w:tc>
          <w:tcPr>
            <w:tcW w:w="201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150,000</w:t>
            </w:r>
          </w:p>
        </w:tc>
        <w:tc>
          <w:tcPr>
            <w:tcW w:w="158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49,996</w:t>
            </w:r>
          </w:p>
        </w:tc>
        <w:tc>
          <w:tcPr>
            <w:tcW w:w="2646"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816</w:t>
            </w:r>
          </w:p>
        </w:tc>
        <w:tc>
          <w:tcPr>
            <w:tcW w:w="146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200,812</w:t>
            </w:r>
          </w:p>
        </w:tc>
      </w:tr>
      <w:tr>
        <w:trPr/>
        <w:tc>
          <w:tcPr>
            <w:tcW w:w="2497"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53273"/>
                <w:sz w:val="19"/>
              </w:rPr>
            </w:pPr>
            <w:r>
              <w:rPr>
                <w:rFonts w:ascii="Arial;sans-serif" w:hAnsi="Arial;sans-serif"/>
                <w:b w:val="false"/>
                <w:color w:val="053273"/>
                <w:sz w:val="19"/>
              </w:rPr>
              <w:t>Joel D. Cavaness</w:t>
            </w:r>
          </w:p>
        </w:tc>
        <w:tc>
          <w:tcPr>
            <w:tcW w:w="201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55,707</w:t>
            </w:r>
          </w:p>
        </w:tc>
        <w:tc>
          <w:tcPr>
            <w:tcW w:w="158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31,176</w:t>
            </w:r>
          </w:p>
        </w:tc>
        <w:tc>
          <w:tcPr>
            <w:tcW w:w="2646"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6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86,883</w:t>
            </w:r>
          </w:p>
        </w:tc>
      </w:tr>
      <w:tr>
        <w:trPr/>
        <w:tc>
          <w:tcPr>
            <w:tcW w:w="2497"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53273"/>
                <w:sz w:val="19"/>
              </w:rPr>
            </w:pPr>
            <w:r>
              <w:rPr>
                <w:rFonts w:ascii="Arial;sans-serif" w:hAnsi="Arial;sans-serif"/>
                <w:b w:val="false"/>
                <w:color w:val="053273"/>
                <w:sz w:val="19"/>
              </w:rPr>
              <w:t>Kirstin M. Gould</w:t>
            </w:r>
          </w:p>
        </w:tc>
        <w:tc>
          <w:tcPr>
            <w:tcW w:w="201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137,500</w:t>
            </w:r>
          </w:p>
        </w:tc>
        <w:tc>
          <w:tcPr>
            <w:tcW w:w="158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49,996</w:t>
            </w:r>
          </w:p>
        </w:tc>
        <w:tc>
          <w:tcPr>
            <w:tcW w:w="2646"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816</w:t>
            </w:r>
          </w:p>
        </w:tc>
        <w:tc>
          <w:tcPr>
            <w:tcW w:w="146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188,312</w:t>
            </w:r>
          </w:p>
        </w:tc>
      </w:tr>
      <w:tr>
        <w:trPr/>
        <w:tc>
          <w:tcPr>
            <w:tcW w:w="2497"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53273"/>
                <w:sz w:val="19"/>
              </w:rPr>
            </w:pPr>
            <w:r>
              <w:rPr>
                <w:rFonts w:ascii="Arial;sans-serif" w:hAnsi="Arial;sans-serif"/>
                <w:b w:val="false"/>
                <w:color w:val="053273"/>
                <w:sz w:val="19"/>
              </w:rPr>
              <w:t>Dennis J. Langwell</w:t>
            </w:r>
          </w:p>
        </w:tc>
        <w:tc>
          <w:tcPr>
            <w:tcW w:w="201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129,755</w:t>
            </w:r>
          </w:p>
        </w:tc>
        <w:tc>
          <w:tcPr>
            <w:tcW w:w="158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49,996</w:t>
            </w:r>
          </w:p>
        </w:tc>
        <w:tc>
          <w:tcPr>
            <w:tcW w:w="2646"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816</w:t>
            </w:r>
          </w:p>
        </w:tc>
        <w:tc>
          <w:tcPr>
            <w:tcW w:w="146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180,567</w:t>
            </w:r>
          </w:p>
        </w:tc>
      </w:tr>
      <w:tr>
        <w:trPr/>
        <w:tc>
          <w:tcPr>
            <w:tcW w:w="2497"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53273"/>
                <w:sz w:val="19"/>
              </w:rPr>
            </w:pPr>
            <w:r>
              <w:rPr>
                <w:rFonts w:ascii="Arial;sans-serif" w:hAnsi="Arial;sans-serif"/>
                <w:b w:val="false"/>
                <w:color w:val="053273"/>
                <w:sz w:val="19"/>
              </w:rPr>
              <w:t>Christine LaSala</w:t>
            </w:r>
          </w:p>
        </w:tc>
        <w:tc>
          <w:tcPr>
            <w:tcW w:w="201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125,000</w:t>
            </w:r>
          </w:p>
        </w:tc>
        <w:tc>
          <w:tcPr>
            <w:tcW w:w="158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99,997</w:t>
            </w:r>
          </w:p>
        </w:tc>
        <w:tc>
          <w:tcPr>
            <w:tcW w:w="2646"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268</w:t>
            </w:r>
          </w:p>
        </w:tc>
        <w:tc>
          <w:tcPr>
            <w:tcW w:w="146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225,265</w:t>
            </w:r>
          </w:p>
        </w:tc>
      </w:tr>
      <w:tr>
        <w:trPr/>
        <w:tc>
          <w:tcPr>
            <w:tcW w:w="2497"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53273"/>
                <w:sz w:val="19"/>
              </w:rPr>
            </w:pPr>
            <w:r>
              <w:rPr>
                <w:rFonts w:ascii="Arial;sans-serif" w:hAnsi="Arial;sans-serif"/>
                <w:b w:val="false"/>
                <w:color w:val="053273"/>
                <w:sz w:val="19"/>
              </w:rPr>
              <w:t>Peter B. Migliorato</w:t>
            </w:r>
          </w:p>
        </w:tc>
        <w:tc>
          <w:tcPr>
            <w:tcW w:w="201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137,500</w:t>
            </w:r>
          </w:p>
        </w:tc>
        <w:tc>
          <w:tcPr>
            <w:tcW w:w="158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49,996</w:t>
            </w:r>
          </w:p>
        </w:tc>
        <w:tc>
          <w:tcPr>
            <w:tcW w:w="2646"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816</w:t>
            </w:r>
          </w:p>
        </w:tc>
        <w:tc>
          <w:tcPr>
            <w:tcW w:w="1462"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188,312</w:t>
            </w:r>
          </w:p>
        </w:tc>
      </w:tr>
      <w:tr>
        <w:trPr/>
        <w:tc>
          <w:tcPr>
            <w:tcW w:w="2497"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53273"/>
                <w:sz w:val="19"/>
              </w:rPr>
            </w:pPr>
            <w:r>
              <w:rPr>
                <w:rFonts w:ascii="Arial;sans-serif" w:hAnsi="Arial;sans-serif"/>
                <w:b w:val="false"/>
                <w:color w:val="053273"/>
                <w:sz w:val="19"/>
              </w:rPr>
              <w:t>Ollie L. Sherman, Jr.</w:t>
            </w:r>
          </w:p>
        </w:tc>
        <w:tc>
          <w:tcPr>
            <w:tcW w:w="2019"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41,552</w:t>
            </w:r>
          </w:p>
        </w:tc>
        <w:tc>
          <w:tcPr>
            <w:tcW w:w="1581"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2646"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1,633</w:t>
            </w:r>
          </w:p>
        </w:tc>
        <w:tc>
          <w:tcPr>
            <w:tcW w:w="1462"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43,185</w:t>
            </w:r>
          </w:p>
        </w:tc>
      </w:tr>
      <w:tr>
        <w:trPr/>
        <w:tc>
          <w:tcPr>
            <w:tcW w:w="10205" w:type="dxa"/>
            <w:gridSpan w:val="15"/>
            <w:tcBorders>
              <w:top w:val="single" w:sz="4" w:space="0" w:color="C8C9C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 The cash compensation paid to Messrs. Cavaness, Langwell and Sherman was pro-rated based upon the portion of the year that such individuals served as directors or as Audit Committee Chair during 2025. Mr. Sherman served as a director until his retirement on April 30, 2025. Mr. Cavaness joined the Board in July 2025. Mr. Langwell was appointed as Audit Committee Chair in October 2025.</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(2) Represents the aggregate grant date fair value of restricted share units awarded under the 2014 Non-Employee Director Incentive Plan, calculated in accordance with FASB ASC Topic 718. The stock awards represent grants of the following number of restricted share units: (i) 13,586 restricted share units for each of Mr. Brown, Ms. Gould, Mr. Langwell and Mr. Migliorato, (ii) 5,479 restricted share units for Mr. Cavaness and (iii) 27,173 restricted share units for Ms. LaSala. Each amount of restricted share units identified in the prior sentence with respect to a director were the only outstanding awards held by such director on December 31, 2025.</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8"/>
              </w:rPr>
              <w:t xml:space="preserve">(3) </w:t>
            </w:r>
            <w:r>
              <w:rPr>
                <w:rFonts w:ascii="Arial;sans-serif" w:hAnsi="Arial;sans-serif"/>
                <w:b w:val="false"/>
                <w:color w:val="000000"/>
                <w:sz w:val="18"/>
                <w:shd w:fill="FFFFFF" w:val="clear"/>
              </w:rPr>
              <w:t>Represents dividends paid to directors that had accrued on unvested restricted share units and were paid at the time awards vested.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240"/>
        <w:ind w:left="0" w:right="0" w:hanging="1080"/>
        <w:jc w:val="left"/>
        <w:rPr>
          <w:rFonts w:ascii="Arial;sans-serif" w:hAnsi="Arial;sans-serif"/>
          <w:b/>
          <w:color w:val="053273"/>
          <w:sz w:val="24"/>
        </w:rPr>
      </w:pPr>
      <w:r>
        <w:rPr>
          <w:rFonts w:ascii="Arial;sans-serif" w:hAnsi="Arial;sans-serif"/>
          <w:b/>
          <w:color w:val="053273"/>
          <w:sz w:val="24"/>
        </w:rPr>
        <w:t>Item 12.    SECURITY OWNERSHIP OF CERTAIN BENEFICIAL OWNERS AND MANAGEMENT AND RELATED STOCKHOLDER MATTERS</w:t>
      </w:r>
    </w:p>
    <w:p>
      <w:pPr>
        <w:pStyle w:val="TextBody"/>
        <w:bidi w:val="0"/>
        <w:spacing w:lineRule="auto" w:line="288" w:before="0" w:after="240"/>
        <w:ind w:left="0" w:right="0" w:hanging="1080"/>
        <w:jc w:val="both"/>
        <w:rPr>
          <w:rFonts w:ascii="Arial;sans-serif" w:hAnsi="Arial;sans-serif"/>
          <w:b/>
          <w:color w:val="939598"/>
          <w:sz w:val="24"/>
        </w:rPr>
      </w:pPr>
      <w:r>
        <w:rPr>
          <w:rFonts w:ascii="Arial;sans-serif" w:hAnsi="Arial;sans-serif"/>
          <w:b/>
          <w:color w:val="939598"/>
          <w:sz w:val="24"/>
        </w:rPr>
        <w:t>Equity Compensation Plan Information</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following table summarizes information about the Company’s equity compensation plans as of December 31, 2025.</w:t>
      </w:r>
    </w:p>
    <w:tbl>
      <w:tblPr>
        <w:tblW w:w="10205" w:type="dxa"/>
        <w:jc w:val="center"/>
        <w:tblInd w:w="0" w:type="dxa"/>
        <w:tblLayout w:type="fixed"/>
        <w:tblCellMar>
          <w:top w:w="28" w:type="dxa"/>
          <w:left w:w="28" w:type="dxa"/>
          <w:bottom w:w="28" w:type="dxa"/>
          <w:right w:w="28" w:type="dxa"/>
        </w:tblCellMar>
      </w:tblPr>
      <w:tblGrid>
        <w:gridCol w:w="1681"/>
        <w:gridCol w:w="1396"/>
        <w:gridCol w:w="1344"/>
        <w:gridCol w:w="626"/>
        <w:gridCol w:w="626"/>
        <w:gridCol w:w="628"/>
        <w:gridCol w:w="626"/>
        <w:gridCol w:w="626"/>
        <w:gridCol w:w="628"/>
        <w:gridCol w:w="590"/>
        <w:gridCol w:w="590"/>
        <w:gridCol w:w="844"/>
      </w:tblGrid>
      <w:tr>
        <w:trPr/>
        <w:tc>
          <w:tcPr>
            <w:tcW w:w="168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top w:val="single" w:sz="24" w:space="0" w:color="053273"/>
            </w:tcBorders>
            <w:shd w:fill="F3F3F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53273"/>
                <w:sz w:val="17"/>
              </w:rPr>
            </w:pPr>
            <w:r>
              <w:rPr>
                <w:rFonts w:ascii="Arial;sans-serif" w:hAnsi="Arial;sans-serif"/>
                <w:b/>
                <w:color w:val="053273"/>
                <w:sz w:val="17"/>
              </w:rPr>
              <w:t>PLAN CATEGORY</w:t>
            </w:r>
          </w:p>
        </w:tc>
        <w:tc>
          <w:tcPr>
            <w:tcW w:w="1880"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3273"/>
                <w:sz w:val="17"/>
              </w:rPr>
            </w:pPr>
            <w:r>
              <w:rPr>
                <w:rFonts w:ascii="Arial;sans-serif" w:hAnsi="Arial;sans-serif"/>
                <w:b/>
                <w:color w:val="053273"/>
                <w:sz w:val="17"/>
              </w:rPr>
              <w:t>NUMBER OF</w:t>
              <w:br/>
              <w:t>SECURITIES TO</w:t>
              <w:br/>
              <w:t>BE ISSUED</w:t>
              <w:br/>
              <w:t>UPON</w:t>
              <w:br/>
              <w:t>EXERCISE OF</w:t>
              <w:br/>
              <w:t>OUTSTANDING</w:t>
              <w:br/>
              <w:t>OPTIONS,</w:t>
              <w:br/>
              <w:t>WARRANTS AND</w:t>
              <w:br/>
              <w:t>RIGHTS (A)</w:t>
              <w:br/>
              <w:t>(#)</w:t>
            </w:r>
          </w:p>
        </w:tc>
        <w:tc>
          <w:tcPr>
            <w:tcW w:w="1880"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53273"/>
                <w:sz w:val="17"/>
              </w:rPr>
            </w:pPr>
            <w:r>
              <w:rPr>
                <w:rFonts w:ascii="Arial;sans-serif" w:hAnsi="Arial;sans-serif"/>
                <w:b/>
                <w:color w:val="053273"/>
                <w:sz w:val="17"/>
              </w:rPr>
              <w:t>WEIGHTED-</w:t>
            </w:r>
          </w:p>
          <w:p>
            <w:pPr>
              <w:pStyle w:val="TableContents"/>
              <w:bidi w:val="0"/>
              <w:spacing w:lineRule="auto" w:line="240" w:before="0" w:after="0"/>
              <w:jc w:val="center"/>
              <w:rPr>
                <w:rFonts w:ascii="Arial;sans-serif" w:hAnsi="Arial;sans-serif"/>
                <w:b/>
                <w:color w:val="053273"/>
                <w:sz w:val="17"/>
              </w:rPr>
            </w:pPr>
            <w:r>
              <w:rPr>
                <w:rFonts w:ascii="Arial;sans-serif" w:hAnsi="Arial;sans-serif"/>
                <w:b/>
                <w:color w:val="053273"/>
                <w:sz w:val="17"/>
              </w:rPr>
              <w:t>AVERAGE</w:t>
            </w:r>
          </w:p>
          <w:p>
            <w:pPr>
              <w:pStyle w:val="TableContents"/>
              <w:bidi w:val="0"/>
              <w:spacing w:lineRule="auto" w:line="240" w:before="0" w:after="0"/>
              <w:jc w:val="center"/>
              <w:rPr>
                <w:rFonts w:ascii="Arial;sans-serif" w:hAnsi="Arial;sans-serif"/>
                <w:b/>
                <w:color w:val="053273"/>
                <w:sz w:val="17"/>
              </w:rPr>
            </w:pPr>
            <w:r>
              <w:rPr>
                <w:rFonts w:ascii="Arial;sans-serif" w:hAnsi="Arial;sans-serif"/>
                <w:b/>
                <w:color w:val="053273"/>
                <w:sz w:val="17"/>
              </w:rPr>
              <w:t>EXERCISE PRICE</w:t>
            </w:r>
          </w:p>
          <w:p>
            <w:pPr>
              <w:pStyle w:val="TableContents"/>
              <w:bidi w:val="0"/>
              <w:spacing w:lineRule="auto" w:line="240" w:before="0" w:after="0"/>
              <w:jc w:val="center"/>
              <w:rPr>
                <w:rFonts w:ascii="Arial;sans-serif" w:hAnsi="Arial;sans-serif"/>
                <w:b/>
                <w:color w:val="053273"/>
                <w:sz w:val="17"/>
              </w:rPr>
            </w:pPr>
            <w:r>
              <w:rPr>
                <w:rFonts w:ascii="Arial;sans-serif" w:hAnsi="Arial;sans-serif"/>
                <w:b/>
                <w:color w:val="053273"/>
                <w:sz w:val="17"/>
              </w:rPr>
              <w:t>OF</w:t>
            </w:r>
          </w:p>
          <w:p>
            <w:pPr>
              <w:pStyle w:val="TableContents"/>
              <w:bidi w:val="0"/>
              <w:spacing w:lineRule="auto" w:line="240" w:before="0" w:after="0"/>
              <w:jc w:val="center"/>
              <w:rPr>
                <w:rFonts w:ascii="Arial;sans-serif" w:hAnsi="Arial;sans-serif"/>
                <w:b/>
                <w:color w:val="053273"/>
                <w:sz w:val="17"/>
              </w:rPr>
            </w:pPr>
            <w:r>
              <w:rPr>
                <w:rFonts w:ascii="Arial;sans-serif" w:hAnsi="Arial;sans-serif"/>
                <w:b/>
                <w:color w:val="053273"/>
                <w:sz w:val="17"/>
              </w:rPr>
              <w:t>OUTSTANDING</w:t>
            </w:r>
          </w:p>
          <w:p>
            <w:pPr>
              <w:pStyle w:val="TableContents"/>
              <w:bidi w:val="0"/>
              <w:spacing w:lineRule="auto" w:line="240" w:before="0" w:after="0"/>
              <w:jc w:val="center"/>
              <w:rPr>
                <w:rFonts w:ascii="Arial;sans-serif" w:hAnsi="Arial;sans-serif"/>
                <w:b/>
                <w:color w:val="053273"/>
                <w:sz w:val="17"/>
              </w:rPr>
            </w:pPr>
            <w:r>
              <w:rPr>
                <w:rFonts w:ascii="Arial;sans-serif" w:hAnsi="Arial;sans-serif"/>
                <w:b/>
                <w:color w:val="053273"/>
                <w:sz w:val="17"/>
              </w:rPr>
              <w:t>OPTIONS,</w:t>
            </w:r>
          </w:p>
          <w:p>
            <w:pPr>
              <w:pStyle w:val="TableContents"/>
              <w:bidi w:val="0"/>
              <w:spacing w:lineRule="auto" w:line="240" w:before="0" w:after="0"/>
              <w:jc w:val="center"/>
              <w:rPr>
                <w:rFonts w:ascii="Arial;sans-serif" w:hAnsi="Arial;sans-serif"/>
                <w:b/>
                <w:color w:val="053273"/>
                <w:sz w:val="17"/>
              </w:rPr>
            </w:pPr>
            <w:r>
              <w:rPr>
                <w:rFonts w:ascii="Arial;sans-serif" w:hAnsi="Arial;sans-serif"/>
                <w:b/>
                <w:color w:val="053273"/>
                <w:sz w:val="17"/>
              </w:rPr>
              <w:t>WARRANTS AND</w:t>
            </w:r>
          </w:p>
          <w:p>
            <w:pPr>
              <w:pStyle w:val="TableContents"/>
              <w:bidi w:val="0"/>
              <w:spacing w:lineRule="auto" w:line="240" w:before="0" w:after="0"/>
              <w:jc w:val="center"/>
              <w:rPr/>
            </w:pPr>
            <w:r>
              <w:rPr>
                <w:rFonts w:ascii="Arial;sans-serif" w:hAnsi="Arial;sans-serif"/>
                <w:b/>
                <w:color w:val="053273"/>
                <w:sz w:val="17"/>
              </w:rPr>
              <w:t>RIGHTS (B)</w:t>
            </w:r>
            <w:r>
              <w:rPr>
                <w:rFonts w:ascii="Arial;sans-serif" w:hAnsi="Arial;sans-serif"/>
                <w:b/>
                <w:color w:val="053273"/>
                <w:sz w:val="11"/>
              </w:rPr>
              <w:t>(</w:t>
            </w:r>
            <w:r>
              <w:rPr>
                <w:rFonts w:ascii="Arial;sans-serif" w:hAnsi="Arial;sans-serif"/>
                <w:b w:val="false"/>
                <w:color w:val="053273"/>
                <w:sz w:val="11"/>
              </w:rPr>
              <w:t>1)</w:t>
            </w:r>
          </w:p>
          <w:p>
            <w:pPr>
              <w:pStyle w:val="TableContents"/>
              <w:bidi w:val="0"/>
              <w:spacing w:lineRule="auto" w:line="240" w:before="0" w:after="0"/>
              <w:jc w:val="center"/>
              <w:rPr>
                <w:rFonts w:ascii="Arial;sans-serif" w:hAnsi="Arial;sans-serif"/>
                <w:b/>
                <w:color w:val="053273"/>
                <w:sz w:val="17"/>
              </w:rPr>
            </w:pPr>
            <w:r>
              <w:rPr>
                <w:rFonts w:ascii="Arial;sans-serif" w:hAnsi="Arial;sans-serif"/>
                <w:b/>
                <w:color w:val="053273"/>
                <w:sz w:val="17"/>
              </w:rPr>
              <w:t>($)</w:t>
            </w:r>
          </w:p>
        </w:tc>
        <w:tc>
          <w:tcPr>
            <w:tcW w:w="2024"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3273"/>
                <w:sz w:val="17"/>
              </w:rPr>
            </w:pPr>
            <w:r>
              <w:rPr>
                <w:rFonts w:ascii="Arial;sans-serif" w:hAnsi="Arial;sans-serif"/>
                <w:b/>
                <w:color w:val="053273"/>
                <w:sz w:val="17"/>
              </w:rPr>
              <w:t>NUMBER OF</w:t>
              <w:br/>
              <w:t>SECURITIES</w:t>
              <w:br/>
              <w:t>REMAINING</w:t>
              <w:br/>
              <w:t>AVAILABLE FOR</w:t>
              <w:br/>
              <w:t>FUTURE</w:t>
              <w:br/>
              <w:t>ISSUANCE</w:t>
              <w:br/>
              <w:t>UNDER EQUITY</w:t>
              <w:br/>
              <w:t>COMPENSATION</w:t>
              <w:br/>
              <w:t>PLANS</w:t>
              <w:br/>
              <w:t>(EXCLUDING</w:t>
              <w:br/>
              <w:t>SECURITIES</w:t>
              <w:br/>
              <w:t>REFLECTED IN</w:t>
              <w:br/>
              <w:t>COLUMN (A)) (C)</w:t>
              <w:br/>
              <w:t>(#)</w:t>
            </w:r>
          </w:p>
        </w:tc>
      </w:tr>
      <w:tr>
        <w:trPr/>
        <w:tc>
          <w:tcPr>
            <w:tcW w:w="4421" w:type="dxa"/>
            <w:gridSpan w:val="3"/>
            <w:tcBorders>
              <w:top w:val="single" w:sz="12" w:space="0" w:color="63646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compensation plans approved by shareholders:</w:t>
            </w:r>
          </w:p>
        </w:tc>
        <w:tc>
          <w:tcPr>
            <w:tcW w:w="1880" w:type="dxa"/>
            <w:gridSpan w:val="3"/>
            <w:tcBorders>
              <w:top w:val="single" w:sz="12" w:space="0" w:color="636466"/>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12" w:space="0" w:color="636466"/>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12" w:space="0" w:color="636466"/>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2014 Non-Employee Director Incentive Plan, as amended</w:t>
            </w:r>
          </w:p>
        </w:tc>
        <w:tc>
          <w:tcPr>
            <w:tcW w:w="1880"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9"/>
              </w:rPr>
              <w:t>86,996</w:t>
            </w:r>
            <w:r>
              <w:rPr>
                <w:rFonts w:ascii="Arial;sans-serif" w:hAnsi="Arial;sans-serif"/>
                <w:b w:val="false"/>
                <w:color w:val="000000"/>
                <w:sz w:val="12"/>
              </w:rPr>
              <w:t>(2)</w:t>
            </w:r>
          </w:p>
        </w:tc>
        <w:tc>
          <w:tcPr>
            <w:tcW w:w="1880"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02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269,931</w:t>
            </w:r>
          </w:p>
        </w:tc>
      </w:tr>
      <w:tr>
        <w:trPr/>
        <w:tc>
          <w:tcPr>
            <w:tcW w:w="4421"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2014 Long-Term Incentive Plan, as amended</w:t>
            </w:r>
          </w:p>
        </w:tc>
        <w:tc>
          <w:tcPr>
            <w:tcW w:w="1880"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9"/>
              </w:rPr>
              <w:t>1,880,592</w:t>
            </w:r>
            <w:r>
              <w:rPr>
                <w:rFonts w:ascii="Arial;sans-serif" w:hAnsi="Arial;sans-serif"/>
                <w:b w:val="false"/>
                <w:color w:val="000000"/>
                <w:sz w:val="12"/>
              </w:rPr>
              <w:t>(3)</w:t>
            </w:r>
          </w:p>
        </w:tc>
        <w:tc>
          <w:tcPr>
            <w:tcW w:w="1880"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02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1,929,485</w:t>
            </w:r>
          </w:p>
        </w:tc>
      </w:tr>
      <w:tr>
        <w:trPr/>
        <w:tc>
          <w:tcPr>
            <w:tcW w:w="4421"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compensation plans not approved by shareholders:</w:t>
            </w:r>
          </w:p>
        </w:tc>
        <w:tc>
          <w:tcPr>
            <w:tcW w:w="1880"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880"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024"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421"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880"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1,967,588</w:t>
            </w:r>
          </w:p>
        </w:tc>
        <w:tc>
          <w:tcPr>
            <w:tcW w:w="1880"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2024"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2,199,416</w:t>
            </w:r>
          </w:p>
        </w:tc>
      </w:tr>
      <w:tr>
        <w:trPr/>
        <w:tc>
          <w:tcPr>
            <w:tcW w:w="10205" w:type="dxa"/>
            <w:gridSpan w:val="12"/>
            <w:tcBorders>
              <w:top w:val="single" w:sz="4" w:space="0" w:color="C8C9C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9"/>
              </w:rPr>
              <w:t xml:space="preserve">(1) </w:t>
            </w:r>
            <w:r>
              <w:rPr>
                <w:rFonts w:ascii="Arial;sans-serif" w:hAnsi="Arial;sans-serif"/>
                <w:b w:val="false"/>
                <w:color w:val="000000"/>
                <w:sz w:val="19"/>
                <w:shd w:fill="FFFFFF" w:val="clear"/>
              </w:rPr>
              <w:t>Restricted share units are not taken into account in the computation of the weighted-average exercise price since they do not have an exercise price.</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9"/>
              </w:rPr>
              <w:t xml:space="preserve">(2) </w:t>
            </w:r>
            <w:r>
              <w:rPr>
                <w:rFonts w:ascii="Arial;sans-serif" w:hAnsi="Arial;sans-serif"/>
                <w:b w:val="false"/>
                <w:color w:val="000000"/>
                <w:sz w:val="19"/>
                <w:shd w:fill="FFFFFF" w:val="clear"/>
              </w:rPr>
              <w:t>Consists solely of Service-Based RSUs.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(3) Includes (i) 585,666 Service-Based RSUs, and (ii) 1,294,926 PRSUs, which includes PRSUs issued in 2023 that were earned as of December 31, 2025 and PRSUs issued in 2024 and 2025 assuming maximum payout.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120"/>
        <w:jc w:val="both"/>
        <w:rPr>
          <w:rFonts w:ascii="Arial;sans-serif" w:hAnsi="Arial;sans-serif"/>
          <w:b/>
          <w:color w:val="939598"/>
          <w:sz w:val="24"/>
        </w:rPr>
      </w:pPr>
      <w:r>
        <w:rPr>
          <w:rFonts w:ascii="Arial;sans-serif" w:hAnsi="Arial;sans-serif"/>
          <w:b/>
          <w:color w:val="939598"/>
          <w:sz w:val="24"/>
        </w:rPr>
        <w:t>Securities Ownership of Certain Beneficial Owners</w:t>
      </w:r>
    </w:p>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The below table sets forth information as of April 24, 2026 regarding the beneficial ownership of our common stock by (1) each person, or group of affiliated persons, known by us to be the beneficial owner of 5% or more of our outstanding shares of common stock, (2) each of our directors, (3) each of our named executive officers included in the Summary Compensation Table appearing in Item 11 above and (4) all directors and executive officers as of April 24, 2026 as a group.</w:t>
      </w:r>
    </w:p>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The amounts and percentages owned are reported on the basis of the SEC’s rules governing the determination of beneficial ownership of securities. The SEC’s rules generally attribute beneficial ownership of securities to each person who possesses, either solely or shared with others, the voting power or investment power, which includes the power to dispose of those securities. The rules also treat as issued and outstanding all shares that a person would receive upon exercise of options or conversion of a security held by that person that are immediately exercisable or convertible, or exercisable or convertible within sixty days of April 24, 2026. These shares are deemed to be outstanding and to be beneficially owned by the person holding those options or convertible security for the purpose of computing the number of shares beneficially owned and the percentage ownership of that person, but they are not treated as issued and outstanding for the purpose of computing the percentage ownership of any other person. Under these rules, one or more persons may be a deemed beneficial owner of the same securities.</w:t>
      </w:r>
    </w:p>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As of April 24, 2026, there were a total of 46,236,856 shares of common stock and 112,500 Series A Perpetual Cumulative Convertible Preferred Shares, par value $0.00125 per share (the “Series A Preferred Shares”) issued and outstanding.</w:t>
      </w:r>
    </w:p>
    <w:tbl>
      <w:tblPr>
        <w:tblW w:w="10205" w:type="dxa"/>
        <w:jc w:val="center"/>
        <w:tblInd w:w="0" w:type="dxa"/>
        <w:tblLayout w:type="fixed"/>
        <w:tblCellMar>
          <w:top w:w="28" w:type="dxa"/>
          <w:left w:w="28" w:type="dxa"/>
          <w:bottom w:w="28" w:type="dxa"/>
          <w:right w:w="28" w:type="dxa"/>
        </w:tblCellMar>
      </w:tblPr>
      <w:tblGrid>
        <w:gridCol w:w="1625"/>
        <w:gridCol w:w="1395"/>
        <w:gridCol w:w="1398"/>
        <w:gridCol w:w="489"/>
        <w:gridCol w:w="489"/>
        <w:gridCol w:w="491"/>
        <w:gridCol w:w="493"/>
        <w:gridCol w:w="493"/>
        <w:gridCol w:w="495"/>
        <w:gridCol w:w="435"/>
        <w:gridCol w:w="435"/>
        <w:gridCol w:w="436"/>
        <w:gridCol w:w="446"/>
        <w:gridCol w:w="446"/>
        <w:gridCol w:w="639"/>
      </w:tblGrid>
      <w:tr>
        <w:trPr/>
        <w:tc>
          <w:tcPr>
            <w:tcW w:w="162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op w:val="single" w:sz="24" w:space="0" w:color="053273"/>
            </w:tcBorders>
            <w:shd w:fill="F3F3F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53273"/>
                <w:sz w:val="16"/>
              </w:rPr>
            </w:pPr>
            <w:r>
              <w:rPr>
                <w:rFonts w:ascii="Arial;sans-serif" w:hAnsi="Arial;sans-serif"/>
                <w:b/>
                <w:color w:val="053273"/>
                <w:sz w:val="16"/>
              </w:rPr>
              <w:t>NAME OF BENEFICIAL OWNER</w:t>
            </w:r>
          </w:p>
        </w:tc>
        <w:tc>
          <w:tcPr>
            <w:tcW w:w="1469" w:type="dxa"/>
            <w:gridSpan w:val="3"/>
            <w:tcBorders>
              <w:top w:val="single" w:sz="24" w:space="0" w:color="053273"/>
              <w:left w:val="single" w:sz="4" w:space="0" w:color="C8C9CB"/>
              <w:bottom w:val="single" w:sz="12" w:space="0" w:color="636466"/>
            </w:tcBorders>
            <w:shd w:fill="F3F3F4"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53273"/>
                <w:sz w:val="16"/>
              </w:rPr>
            </w:pPr>
            <w:r>
              <w:rPr>
                <w:rFonts w:ascii="Arial;sans-serif" w:hAnsi="Arial;sans-serif"/>
                <w:b/>
                <w:color w:val="053273"/>
                <w:sz w:val="16"/>
              </w:rPr>
              <w:t>NUMBER OF</w:t>
              <w:br/>
              <w:t>SHARES OF</w:t>
              <w:br/>
              <w:t>COMMON STOCK</w:t>
              <w:br/>
              <w:t>BENEFICIALLY</w:t>
              <w:br/>
              <w:t>OWNED</w:t>
            </w:r>
          </w:p>
        </w:tc>
        <w:tc>
          <w:tcPr>
            <w:tcW w:w="1481" w:type="dxa"/>
            <w:gridSpan w:val="3"/>
            <w:tcBorders>
              <w:top w:val="single" w:sz="24" w:space="0" w:color="053273"/>
              <w:left w:val="single" w:sz="4" w:space="0" w:color="C8C9CB"/>
              <w:bottom w:val="single" w:sz="12" w:space="0" w:color="636466"/>
            </w:tcBorders>
            <w:shd w:fill="F3F3F4"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53273"/>
                <w:sz w:val="16"/>
              </w:rPr>
            </w:pPr>
            <w:r>
              <w:rPr>
                <w:rFonts w:ascii="Arial;sans-serif" w:hAnsi="Arial;sans-serif"/>
                <w:b/>
                <w:color w:val="053273"/>
                <w:sz w:val="16"/>
              </w:rPr>
              <w:t>PERCENTAGE OF</w:t>
              <w:br/>
              <w:t>SHARES OF</w:t>
              <w:br/>
              <w:t>COMMON STOCK</w:t>
              <w:br/>
              <w:t>BENEFICIALLY</w:t>
              <w:br/>
              <w:t>OWNED</w:t>
            </w:r>
          </w:p>
        </w:tc>
        <w:tc>
          <w:tcPr>
            <w:tcW w:w="1306" w:type="dxa"/>
            <w:gridSpan w:val="3"/>
            <w:tcBorders>
              <w:top w:val="single" w:sz="24" w:space="0" w:color="053273"/>
              <w:left w:val="single" w:sz="4" w:space="0" w:color="C8C9CB"/>
              <w:bottom w:val="single" w:sz="12" w:space="0" w:color="636466"/>
            </w:tcBorders>
            <w:shd w:fill="F3F3F4"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53273"/>
                <w:sz w:val="16"/>
              </w:rPr>
            </w:pPr>
            <w:r>
              <w:rPr>
                <w:rFonts w:ascii="Arial;sans-serif" w:hAnsi="Arial;sans-serif"/>
                <w:b/>
                <w:color w:val="053273"/>
                <w:sz w:val="16"/>
              </w:rPr>
              <w:t>NUMBER OF</w:t>
              <w:br/>
              <w:t>SERIES A</w:t>
              <w:br/>
              <w:t>PREFERRED</w:t>
              <w:br/>
              <w:t>SHARES</w:t>
              <w:br/>
              <w:t>BENEFICIALLY</w:t>
              <w:br/>
              <w:t>OWNED</w:t>
            </w:r>
          </w:p>
        </w:tc>
        <w:tc>
          <w:tcPr>
            <w:tcW w:w="1531" w:type="dxa"/>
            <w:gridSpan w:val="3"/>
            <w:tcBorders>
              <w:top w:val="single" w:sz="24" w:space="0" w:color="053273"/>
              <w:left w:val="single" w:sz="4" w:space="0" w:color="C8C9CB"/>
              <w:bottom w:val="single" w:sz="12" w:space="0" w:color="636466"/>
            </w:tcBorders>
            <w:shd w:fill="F3F3F4"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53273"/>
                <w:sz w:val="16"/>
              </w:rPr>
            </w:pPr>
            <w:r>
              <w:rPr>
                <w:rFonts w:ascii="Arial;sans-serif" w:hAnsi="Arial;sans-serif"/>
                <w:b/>
                <w:color w:val="053273"/>
                <w:sz w:val="16"/>
              </w:rPr>
              <w:t>PERCENTAGE OF</w:t>
              <w:br/>
              <w:t>SERIES A</w:t>
              <w:br/>
              <w:t>PREFERRED</w:t>
              <w:br/>
              <w:t>SHARES</w:t>
              <w:br/>
              <w:t>BENEFICIALLY</w:t>
              <w:br/>
              <w:t>OWNED</w:t>
            </w:r>
          </w:p>
        </w:tc>
      </w:tr>
      <w:tr>
        <w:trPr/>
        <w:tc>
          <w:tcPr>
            <w:tcW w:w="10205" w:type="dxa"/>
            <w:gridSpan w:val="15"/>
            <w:tcBorders>
              <w:top w:val="single" w:sz="12" w:space="0" w:color="63646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5% or more Shareholders:</w:t>
            </w:r>
          </w:p>
        </w:tc>
      </w:tr>
      <w:tr>
        <w:trPr/>
        <w:tc>
          <w:tcPr>
            <w:tcW w:w="4418"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GPC Partners Investments (Thames) LP</w:t>
            </w:r>
          </w:p>
        </w:tc>
        <w:tc>
          <w:tcPr>
            <w:tcW w:w="146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9"/>
              </w:rPr>
              <w:t>19,381,009</w:t>
            </w:r>
            <w:r>
              <w:rPr>
                <w:rFonts w:ascii="Arial;sans-serif" w:hAnsi="Arial;sans-serif"/>
                <w:b w:val="false"/>
                <w:color w:val="000000"/>
                <w:sz w:val="12"/>
              </w:rPr>
              <w:t>(1)</w:t>
            </w:r>
          </w:p>
        </w:tc>
        <w:tc>
          <w:tcPr>
            <w:tcW w:w="148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32.4%</w:t>
            </w:r>
          </w:p>
        </w:tc>
        <w:tc>
          <w:tcPr>
            <w:tcW w:w="1306"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112,500</w:t>
            </w:r>
          </w:p>
        </w:tc>
        <w:tc>
          <w:tcPr>
            <w:tcW w:w="153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100%</w:t>
            </w:r>
          </w:p>
        </w:tc>
      </w:tr>
      <w:tr>
        <w:trPr/>
        <w:tc>
          <w:tcPr>
            <w:tcW w:w="4418"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Zimmer Partners, LP</w:t>
            </w:r>
          </w:p>
        </w:tc>
        <w:tc>
          <w:tcPr>
            <w:tcW w:w="146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9"/>
              </w:rPr>
              <w:t>4,591,638</w:t>
            </w:r>
            <w:r>
              <w:rPr>
                <w:rFonts w:ascii="Arial;sans-serif" w:hAnsi="Arial;sans-serif"/>
                <w:b w:val="false"/>
                <w:color w:val="000000"/>
                <w:sz w:val="12"/>
              </w:rPr>
              <w:t>(2)</w:t>
            </w:r>
          </w:p>
        </w:tc>
        <w:tc>
          <w:tcPr>
            <w:tcW w:w="148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9.9%</w:t>
            </w:r>
          </w:p>
        </w:tc>
        <w:tc>
          <w:tcPr>
            <w:tcW w:w="1306"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 Rowe Price Investment Management, Inc.</w:t>
            </w:r>
          </w:p>
        </w:tc>
        <w:tc>
          <w:tcPr>
            <w:tcW w:w="146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9"/>
              </w:rPr>
              <w:t>4,500,097</w:t>
            </w:r>
            <w:r>
              <w:rPr>
                <w:rFonts w:ascii="Arial;sans-serif" w:hAnsi="Arial;sans-serif"/>
                <w:b w:val="false"/>
                <w:color w:val="000000"/>
                <w:sz w:val="12"/>
              </w:rPr>
              <w:t>(3)</w:t>
            </w:r>
          </w:p>
        </w:tc>
        <w:tc>
          <w:tcPr>
            <w:tcW w:w="148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9.7%</w:t>
            </w:r>
          </w:p>
        </w:tc>
        <w:tc>
          <w:tcPr>
            <w:tcW w:w="1306"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BlackRock, Inc.</w:t>
            </w:r>
          </w:p>
        </w:tc>
        <w:tc>
          <w:tcPr>
            <w:tcW w:w="146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9"/>
              </w:rPr>
              <w:t>2,863,911</w:t>
            </w:r>
            <w:r>
              <w:rPr>
                <w:rFonts w:ascii="Arial;sans-serif" w:hAnsi="Arial;sans-serif"/>
                <w:b w:val="false"/>
                <w:color w:val="000000"/>
                <w:sz w:val="12"/>
              </w:rPr>
              <w:t>(4)</w:t>
            </w:r>
          </w:p>
        </w:tc>
        <w:tc>
          <w:tcPr>
            <w:tcW w:w="148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6.2%</w:t>
            </w:r>
          </w:p>
        </w:tc>
        <w:tc>
          <w:tcPr>
            <w:tcW w:w="1306"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Cavello Bay Reinsurance Limited</w:t>
            </w:r>
          </w:p>
        </w:tc>
        <w:tc>
          <w:tcPr>
            <w:tcW w:w="146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9"/>
              </w:rPr>
              <w:t>2,590,765</w:t>
            </w:r>
            <w:r>
              <w:rPr>
                <w:rFonts w:ascii="Arial;sans-serif" w:hAnsi="Arial;sans-serif"/>
                <w:b w:val="false"/>
                <w:color w:val="000000"/>
                <w:sz w:val="12"/>
              </w:rPr>
              <w:t>(5)</w:t>
            </w:r>
          </w:p>
        </w:tc>
        <w:tc>
          <w:tcPr>
            <w:tcW w:w="148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5.6%</w:t>
            </w:r>
          </w:p>
        </w:tc>
        <w:tc>
          <w:tcPr>
            <w:tcW w:w="1306"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Continental General Insurance Company</w:t>
            </w:r>
          </w:p>
        </w:tc>
        <w:tc>
          <w:tcPr>
            <w:tcW w:w="146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9"/>
              </w:rPr>
              <w:t>2,424,813</w:t>
            </w:r>
            <w:r>
              <w:rPr>
                <w:rFonts w:ascii="Arial;sans-serif" w:hAnsi="Arial;sans-serif"/>
                <w:b w:val="false"/>
                <w:color w:val="000000"/>
                <w:sz w:val="12"/>
              </w:rPr>
              <w:t>(6)</w:t>
            </w:r>
          </w:p>
        </w:tc>
        <w:tc>
          <w:tcPr>
            <w:tcW w:w="148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5.2%</w:t>
            </w:r>
          </w:p>
        </w:tc>
        <w:tc>
          <w:tcPr>
            <w:tcW w:w="1306"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op w:val="single" w:sz="4" w:space="0" w:color="C8C9CB"/>
              <w:bottom w:val="single" w:sz="4" w:space="0" w:color="C8C9CB"/>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Barclays PLC</w:t>
            </w:r>
          </w:p>
        </w:tc>
        <w:tc>
          <w:tcPr>
            <w:tcW w:w="1469"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9"/>
              </w:rPr>
              <w:t>2,314,126</w:t>
            </w:r>
            <w:r>
              <w:rPr>
                <w:rFonts w:ascii="Arial;sans-serif" w:hAnsi="Arial;sans-serif"/>
                <w:b w:val="false"/>
                <w:color w:val="000000"/>
                <w:sz w:val="12"/>
              </w:rPr>
              <w:t>(7)</w:t>
            </w:r>
          </w:p>
        </w:tc>
        <w:tc>
          <w:tcPr>
            <w:tcW w:w="1481"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5.0%</w:t>
            </w:r>
          </w:p>
        </w:tc>
        <w:tc>
          <w:tcPr>
            <w:tcW w:w="1306" w:type="dxa"/>
            <w:gridSpan w:val="3"/>
            <w:tcBorders>
              <w:top w:val="single" w:sz="4" w:space="0" w:color="C8C9CB"/>
              <w:left w:val="single" w:sz="4" w:space="0" w:color="C8C9CB"/>
              <w:bottom w:val="single" w:sz="4" w:space="0" w:color="C8C9CB"/>
            </w:tcBorders>
            <w:tcMar>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C8C9CB"/>
              <w:left w:val="single" w:sz="4" w:space="0" w:color="C8C9CB"/>
              <w:bottom w:val="single" w:sz="4" w:space="0" w:color="C8C9CB"/>
            </w:tcBorders>
            <w:tcMar>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Directors and Executive Officers:</w:t>
            </w:r>
            <w:r>
              <w:rPr>
                <w:rFonts w:ascii="Arial;sans-serif" w:hAnsi="Arial;sans-serif"/>
                <w:b w:val="false"/>
                <w:color w:val="000000"/>
                <w:sz w:val="12"/>
              </w:rPr>
              <w:t>(8)</w:t>
            </w:r>
          </w:p>
        </w:tc>
      </w:tr>
      <w:tr>
        <w:trPr/>
        <w:tc>
          <w:tcPr>
            <w:tcW w:w="4418"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Frank N. D’Orazio</w:t>
            </w:r>
          </w:p>
        </w:tc>
        <w:tc>
          <w:tcPr>
            <w:tcW w:w="146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298,943</w:t>
            </w:r>
          </w:p>
        </w:tc>
        <w:tc>
          <w:tcPr>
            <w:tcW w:w="148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306"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Matthew B. Botein</w:t>
            </w:r>
          </w:p>
        </w:tc>
        <w:tc>
          <w:tcPr>
            <w:tcW w:w="146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9"/>
              </w:rPr>
              <w:t>19,381,009</w:t>
            </w:r>
            <w:r>
              <w:rPr>
                <w:rFonts w:ascii="Arial;sans-serif" w:hAnsi="Arial;sans-serif"/>
                <w:b w:val="false"/>
                <w:color w:val="000000"/>
                <w:sz w:val="12"/>
              </w:rPr>
              <w:t>(9)</w:t>
            </w:r>
          </w:p>
        </w:tc>
        <w:tc>
          <w:tcPr>
            <w:tcW w:w="148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32.4%</w:t>
            </w:r>
          </w:p>
        </w:tc>
        <w:tc>
          <w:tcPr>
            <w:tcW w:w="1306"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112,500</w:t>
            </w:r>
          </w:p>
        </w:tc>
        <w:tc>
          <w:tcPr>
            <w:tcW w:w="153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100%</w:t>
            </w:r>
          </w:p>
        </w:tc>
      </w:tr>
      <w:tr>
        <w:trPr/>
        <w:tc>
          <w:tcPr>
            <w:tcW w:w="4418"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Thomas L. Brown</w:t>
            </w:r>
          </w:p>
        </w:tc>
        <w:tc>
          <w:tcPr>
            <w:tcW w:w="146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30,140</w:t>
            </w:r>
          </w:p>
        </w:tc>
        <w:tc>
          <w:tcPr>
            <w:tcW w:w="148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306"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Joel D. Cavaness</w:t>
            </w:r>
          </w:p>
        </w:tc>
        <w:tc>
          <w:tcPr>
            <w:tcW w:w="146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5,479</w:t>
            </w:r>
          </w:p>
        </w:tc>
        <w:tc>
          <w:tcPr>
            <w:tcW w:w="148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306"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Kirstin M. Gould</w:t>
            </w:r>
          </w:p>
        </w:tc>
        <w:tc>
          <w:tcPr>
            <w:tcW w:w="146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30,290</w:t>
            </w:r>
          </w:p>
        </w:tc>
        <w:tc>
          <w:tcPr>
            <w:tcW w:w="148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306"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Dennis J. Langwell</w:t>
            </w:r>
          </w:p>
        </w:tc>
        <w:tc>
          <w:tcPr>
            <w:tcW w:w="146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21,009</w:t>
            </w:r>
          </w:p>
        </w:tc>
        <w:tc>
          <w:tcPr>
            <w:tcW w:w="148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306"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Christine LaSala</w:t>
            </w:r>
          </w:p>
        </w:tc>
        <w:tc>
          <w:tcPr>
            <w:tcW w:w="146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60,758</w:t>
            </w:r>
          </w:p>
        </w:tc>
        <w:tc>
          <w:tcPr>
            <w:tcW w:w="148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306"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Peter B. Migliorato</w:t>
            </w:r>
          </w:p>
        </w:tc>
        <w:tc>
          <w:tcPr>
            <w:tcW w:w="146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39,201</w:t>
            </w:r>
          </w:p>
        </w:tc>
        <w:tc>
          <w:tcPr>
            <w:tcW w:w="148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306"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Sarah C. Doran</w:t>
            </w:r>
          </w:p>
        </w:tc>
        <w:tc>
          <w:tcPr>
            <w:tcW w:w="146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113,186</w:t>
            </w:r>
          </w:p>
        </w:tc>
        <w:tc>
          <w:tcPr>
            <w:tcW w:w="148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306"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Michael J. Hoffmann</w:t>
            </w:r>
          </w:p>
        </w:tc>
        <w:tc>
          <w:tcPr>
            <w:tcW w:w="146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40,444</w:t>
            </w:r>
          </w:p>
        </w:tc>
        <w:tc>
          <w:tcPr>
            <w:tcW w:w="148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306"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Jeanette L. Miller</w:t>
            </w:r>
          </w:p>
        </w:tc>
        <w:tc>
          <w:tcPr>
            <w:tcW w:w="146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28,382</w:t>
            </w:r>
          </w:p>
        </w:tc>
        <w:tc>
          <w:tcPr>
            <w:tcW w:w="148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306"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Todd R. Sutherland</w:t>
            </w:r>
          </w:p>
        </w:tc>
        <w:tc>
          <w:tcPr>
            <w:tcW w:w="146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9"/>
              </w:rPr>
              <w:t>24,457</w:t>
            </w:r>
            <w:r>
              <w:rPr>
                <w:rFonts w:ascii="Arial;sans-serif" w:hAnsi="Arial;sans-serif"/>
                <w:b w:val="false"/>
                <w:color w:val="000000"/>
                <w:sz w:val="12"/>
              </w:rPr>
              <w:t>(10)</w:t>
            </w:r>
          </w:p>
        </w:tc>
        <w:tc>
          <w:tcPr>
            <w:tcW w:w="148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306"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Richard J. Schmitzer</w:t>
            </w:r>
          </w:p>
        </w:tc>
        <w:tc>
          <w:tcPr>
            <w:tcW w:w="1469"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9"/>
              </w:rPr>
              <w:t>270,030</w:t>
            </w:r>
            <w:r>
              <w:rPr>
                <w:rFonts w:ascii="Arial;sans-serif" w:hAnsi="Arial;sans-serif"/>
                <w:b w:val="false"/>
                <w:color w:val="000000"/>
                <w:sz w:val="12"/>
              </w:rPr>
              <w:t>(11)</w:t>
            </w:r>
          </w:p>
        </w:tc>
        <w:tc>
          <w:tcPr>
            <w:tcW w:w="148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306"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C8C9CB"/>
              <w:left w:val="single" w:sz="4" w:space="0" w:color="C8C9CB"/>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op w:val="single" w:sz="4" w:space="0" w:color="C8C9CB"/>
              <w:bottom w:val="single" w:sz="4" w:space="0" w:color="C8C9CB"/>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All directors and executive officers as a group (13 persons)</w:t>
            </w:r>
          </w:p>
        </w:tc>
        <w:tc>
          <w:tcPr>
            <w:tcW w:w="1469"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9"/>
              </w:rPr>
              <w:t>20,343,328</w:t>
            </w:r>
            <w:r>
              <w:rPr>
                <w:rFonts w:ascii="Arial;sans-serif" w:hAnsi="Arial;sans-serif"/>
                <w:b w:val="false"/>
                <w:color w:val="000000"/>
                <w:sz w:val="12"/>
              </w:rPr>
              <w:t>(12)</w:t>
            </w:r>
          </w:p>
        </w:tc>
        <w:tc>
          <w:tcPr>
            <w:tcW w:w="1481"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34.0%</w:t>
            </w:r>
          </w:p>
        </w:tc>
        <w:tc>
          <w:tcPr>
            <w:tcW w:w="1306"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112,500</w:t>
            </w:r>
          </w:p>
        </w:tc>
        <w:tc>
          <w:tcPr>
            <w:tcW w:w="1531"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100%</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120" w:after="283"/>
              <w:ind w:left="0" w:right="0" w:hanging="54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Represents beneficial ownership of less than 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rP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(1) Beneficial ownership information of the Series A Preferred Shares is based on information contained in post-effective amendment no. 1 to the registration statement on Form S-3 filed by the Company on November 10, 2025. The number of shares of common stock beneficially owned represents 5,859,375 outstanding shares of common stock and 13,521,634 shares of common stock issuable upon conversion of the Series A Preferred Shares outstanding as of April 24, 2026 (the “Conversion Shares”), without giving effect to the conversion limitation set forth in the amended and restated certificate of designations (“Certificate of Designations”) dated as of November 11, 2024 (the “Conversion Limitation”). In certain circumstances, the issuance of shares of common stock upon conversion of the Series A Preferred Shares may be subject to the Conversion Limitation. Pursuant to the Conversion Limitation, unless and until we obtain the shareholder approval required by Nasdaq Listing Standard Rule 5635 for the issuance of shares of common stock upon conversion of the Series A Preferred Shares in excess of the limitations imposed by such rule, if such rule is applicable, no shares of common stock will be issued or delivered upon conversion of any Series A Preferred Share, and no Series A Preferred Share will be convertible, in each case to the extent, and only to the extent, that such issuance, delivery, conversion or convertibility would result in the holders of the Series A Preferred Shares in the aggregate beneficially owning more than 19.9% of the number of shares of common stock then outstanding or the total voting power of our then-outstanding voting securities. GPC Partners Investments (Thames) LP (“GPC Thames”), GPC Partners II GP LLC (“GPC II GP”), Gallatin Point Capital LLC (“Gallatin Point”), Matthew B. Botein and Lewis A. (Lee) Sachs (collectively, the “GPC Parties”) also beneficially own the shares of common stock. GPC Thames, GPC II GP and Gallatin Point reported sole voting and sole dispositive power over the shares of common stock and Conversion Shares (together, the “GPC Subject Shares”), and Messrs. Botein and Sachs reported shared voting and shared dispositive power over the GPC Subject Shares. GPC Thames is the direct holder of the 5,859,375 shares of common stock and 112,500 Series A Preferred Shares that may be converted into the Conversion Shares. Gallatin Point is the managing member of GPC II GP, which, in turn, is the general partner of GPC Thames. Messrs. Botein and Sachs jointly control Gallatin Point through multiple intermediate entities. The Series A Preferred Shares vote on an as converted basis with holders of our shares of common stock; provided, however, that pursuant to the terms of the Series A Preferred Shares, they may not be voted by the GPC Parties in excess of 9.9% of the aggregate voting power of the then-outstanding shares of common stock on an as converted basis or of our outstanding voting securities. The address of the GPC Parties is 660 Steamboat Road, Greenwich, CT 06830.</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(2) Information is based on Amendment No. 1 to Schedule 13G filed with the SEC on November 12, 2025 by Zimmer Partners, LP (“ZP Investment Manager"), Zimmer Financial Services Group LLC (“ZFSG”), Zimmer Partners GP, LLC (“ZPGP”) and Stuart J. Zimmer (collectively, the “Zimmer Parties”). Each of the Zimmer Parties reported shared voting and dispositive power over 4,591,638 shares of common stock. ZPGP is the general partner of ZP Investment Manager, ZFSG is the sole member of ZPGP, and in turn, the sole members of ZFSG are Mr. Zimmer, a revocable trust for his benefit, and an irrevocable trust for his immediate family. ZP Investment Manager is the investment manager of Zimmer Master Infrastructure Fund, LP and ZP Master MidCap Fund, Ltd. The address of the Zimmer Parties is c/o Zimmer Partners, LP, 9 West 57th Street, 33rd Floor, New York, NY 10019.</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(3) Information is based on Amendment No. 4 to Schedule 13G filed with the SEC on August 14, 2025 by T. Rowe Price Investment Management, Inc. (“Price Investment Management”). Price Investment Management reported sole voting and dispositive power over 4,500,097 shares of common stock. The address of Price Investment Management is 1307 Point Street, Baltimore, MD 21231.</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(4) Information is based on Amendment No. 11 to Schedule 13G filed with the SEC on April 23, 2025 by BlackRock, Inc. (“BlackRock”). BlackRock reported sole voting power over 2,813,344 shares of common stock and sole dispositive power over 2,863,911 shares of common stock. The common stock is reported as beneficially owned by BlackRock and certain of its subsidiaries. The address of BlackRock is 50 Hudson Yards, New York, NY 10001.</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(5) Information is based on Amendment No. 1 to Schedule 13G filed with the SEC on November 13, 2025 by Enstar Group Limited (“Enstar”) and Elk Insurance Holdings, LLC (“Elk”). Enstar and Elk reported shared voting power and dispositive power over 2,590,765 shares of common stock (the “Subject Shares”) and that Cavello Bay Reinsurance Limited (“Cavello Bay”) is the direct holder of the Subject Shares. Enstar is the parent of Cavello Bay and an indirect subsidiary of Elk. The address of Enstar is A.S. Cooper Building, 4th Floor, 26 Reid Street, Hamilton HM 11, Bermuda. The address of Elk is 2100 McKinney Avenue, Suite 1500, Dallas, TX 75201.</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(6) Information is based on the Schedule 13G filed with the SEC on March 24, 2026 by Continental General Insurance Company (“CGIC”), Continental Insurance Group, Ltd. (“CIG”), Continental General Holdings LLC (“CGH”) and Michael Gorzynski (collectively, the “Continental Parties”). Each of the Continental Parties reported shared voting and dispositive power over 2,424,813 shares of common stock. Mr. Gorzynski is a manager of CGH, CGH is the sole owner of CIG and CIG is the sole owner of CGIC. The address for each of CGIC, CIG and CGH is 11001 Lakeline Boulevard, Suite 120, Austin, TX 78717.</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(7) Information is based on the Schedule 13G filed with the SEC on February 11, 2026 by Barclays PLC (“Barclays”). Barclays reported sole voting and dispositive power over 2,314,126 shares of common stock. The common stock is reported as beneficially owned by Barclays and certain of its subsidiaries. The address of Barclays is 1 Churchill Place, London E14 5HP, United Kingdom.</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rP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(8) The address of each director and executive officer listed is c/o James River Group Holdings, Inc., 1414 Raleigh Road, Suite 405, Chapel Hill, North Carolina 27517.</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(9) Represents beneficial ownership of the GPC Subject Shares beneficially owned by the GPC Parties. See footnote 1 above.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(10) The reported amount includes 3,111 shares of common stock issuable upon the vesting of Service-Based RSUs on May 4, 2026.</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(11) Information is based on the amount of securities beneficially owned by Mr. Schmitzer as of the date of his retirement on October 15, 2025, the securities acquired on the acceleration of certain RSU awards due to his retirement and the settlement of his 2023 PRSUs on March 2, 2026.</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(12) The reported amount includes 3,111 shares of common stock issuable upon the vesting of Service-Based RSUs within 60 days of April 24, 2026 and 13,521,634 shares of common stock issuable upon conversion of the Series A Preferred Shares beneficially owned by the GPC Parties. See footnotes 1 and 10 above.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both"/>
        <w:rPr>
          <w:rFonts w:ascii="Arial;sans-serif" w:hAnsi="Arial;sans-serif"/>
          <w:b/>
          <w:color w:val="053273"/>
          <w:sz w:val="24"/>
        </w:rPr>
      </w:pPr>
      <w:r>
        <w:rPr>
          <w:rFonts w:ascii="Arial;sans-serif" w:hAnsi="Arial;sans-serif"/>
          <w:b/>
          <w:color w:val="053273"/>
          <w:sz w:val="24"/>
        </w:rPr>
        <w:t>Item 13.    CERTAIN RELATIONSHIPS AND RELATED TRANSACTIONS, AND DIRECTOR INDEPENDENCE</w:t>
      </w:r>
    </w:p>
    <w:p>
      <w:pPr>
        <w:pStyle w:val="TextBody"/>
        <w:bidi w:val="0"/>
        <w:spacing w:lineRule="auto" w:line="288" w:before="0" w:after="240"/>
        <w:ind w:left="0" w:right="0" w:hanging="1080"/>
        <w:jc w:val="both"/>
        <w:rPr>
          <w:rFonts w:ascii="Arial;sans-serif" w:hAnsi="Arial;sans-serif"/>
          <w:b/>
          <w:color w:val="939598"/>
          <w:sz w:val="24"/>
        </w:rPr>
      </w:pPr>
      <w:r>
        <w:rPr>
          <w:rFonts w:ascii="Arial;sans-serif" w:hAnsi="Arial;sans-serif"/>
          <w:b/>
          <w:color w:val="939598"/>
          <w:sz w:val="24"/>
        </w:rPr>
        <w:t>Policies and Procedures for Related Person Transactions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We have adopted a written related person transactions policy pursuant to which our executive officers, directors and principal shareholders, including their immediate family members, are not permitted to enter into a related person transaction with us if the amount involved exceeds $120,000 (a “Related Party Transaction”) without the consent of our Audit Committee. Any request for us to enter into a Related Party Transaction is required to be presented to our Audit Committee for review, consideration and approval. In approving or rejecting a proposed related party transaction, our Audit Committee will take into account, among other factors it deems appropriate, whether the proposed Related Party Transaction is on terms no less favorable than terms generally available to an unaffiliated third-party under the same or similar circumstances, the extent of the related person’s interest in the transaction and, if applicable, the impact on a director’s independence. Under the policy, if we should discover Related Party Transactions that have not been approved, our Audit Committee will be notified and will determine the appropriate action, including ratification, rescission or amendment of the transaction.</w:t>
      </w:r>
    </w:p>
    <w:p>
      <w:pPr>
        <w:pStyle w:val="TextBody"/>
        <w:bidi w:val="0"/>
        <w:spacing w:lineRule="auto" w:line="288" w:before="0" w:after="240"/>
        <w:jc w:val="both"/>
        <w:rPr>
          <w:rFonts w:ascii="Arial;sans-serif" w:hAnsi="Arial;sans-serif"/>
          <w:b/>
          <w:color w:val="939598"/>
          <w:sz w:val="24"/>
        </w:rPr>
      </w:pPr>
      <w:r>
        <w:rPr>
          <w:rFonts w:ascii="Arial;sans-serif" w:hAnsi="Arial;sans-serif"/>
          <w:b/>
          <w:color w:val="939598"/>
          <w:sz w:val="24"/>
        </w:rPr>
        <w:t>Related Party Transactions</w:t>
      </w:r>
    </w:p>
    <w:p>
      <w:pPr>
        <w:pStyle w:val="TextBody"/>
        <w:bidi w:val="0"/>
        <w:spacing w:lineRule="auto" w:line="288" w:before="0" w:after="240"/>
        <w:jc w:val="both"/>
        <w:rPr>
          <w:rFonts w:ascii="Arial;sans-serif" w:hAnsi="Arial;sans-serif"/>
          <w:b w:val="false"/>
          <w:i/>
          <w:color w:val="053273"/>
          <w:sz w:val="20"/>
        </w:rPr>
      </w:pPr>
      <w:r>
        <w:rPr>
          <w:rFonts w:ascii="Arial;sans-serif" w:hAnsi="Arial;sans-serif"/>
          <w:b w:val="false"/>
          <w:i/>
          <w:color w:val="053273"/>
          <w:sz w:val="20"/>
        </w:rPr>
        <w:t>Transactions with Gallatin Point</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On February 24, 2022, we entered into an investment agreement (the “Investment Agreement”) with GPC Thames, an affiliate of Gallatin Point, relating to the issuance and sale by the Company to GPC Thames of 150,000 Series A Preferred Shares, for an aggregate purchase price of $150 million, or $1,000 per share (the “GP Issuance”). Pursuant to the Investment Agreement, until GPC Thames and its permitted transferees no longer beneficially own Series A Preferred Shares and/or shares of common stock issued or issuable upon conversion of such Series A Preferred Shares that represent in the aggregate (a) at least 50% of the number of shares of common stock beneficially owned by GPC Thames, on an as-converted basis, as of the date of issuance of the Series A Preferred Shares and (b) at least 5% of the number of shares of common stock on an as-converted basis, GPC Thames is entitled to designate one individual for nomination to our Board of Directors. GPC Thames designated Mr. Botein for nomination for re-election as a director at the annual meeting of shareholders held in 2025. In connection with the GP Issuance, we entered into a registration rights agreement with GPC Thames, as amended on November 11, 2024, pursuant to which we agreed to provide to holders of the Series A Preferred Shares certain customary registration rights with respect to shares of common stock issued in connection with any future conversion of the Series A Preferred Shares.</w:t>
      </w:r>
    </w:p>
    <w:p>
      <w:pPr>
        <w:pStyle w:val="TextBody"/>
        <w:bidi w:val="0"/>
        <w:spacing w:lineRule="auto" w:line="288" w:before="0" w:after="240"/>
        <w:jc w:val="both"/>
        <w:rPr/>
      </w:pPr>
      <w:r>
        <w:rPr>
          <w:rFonts w:ascii="Arial;sans-serif" w:hAnsi="Arial;sans-serif"/>
          <w:b w:val="false"/>
          <w:color w:val="000000"/>
          <w:sz w:val="19"/>
        </w:rPr>
        <w:t xml:space="preserve">On November 11, 2024, we entered into an amendment to the Investment Agreement (the “Investment Agreement Amendment”). The Investment Agreement Amendment documents the terms of Gallatin Point’s exchange of 37,500 Series A Preferred Shares for 5,859,375 shares of the Company’s common stock, par value $0.0002 per share (the “Common Shares”), which is equivalent to a price of $6.40 per share. The Investment Agreement also </w:t>
      </w:r>
      <w:r>
        <w:rPr>
          <w:rFonts w:ascii="Arial;sans-serif" w:hAnsi="Arial;sans-serif"/>
          <w:b w:val="false"/>
          <w:color w:val="000000"/>
          <w:sz w:val="19"/>
          <w:shd w:fill="FFFFFF" w:val="clear"/>
        </w:rPr>
        <w:t>modified the restrictions on Gallatin Point’s ability to transfer Series A Preferred Shares, and shares of common stock issued upon conversion of the Series A Preferred Shares, to third parties.</w:t>
      </w:r>
      <w:r>
        <w:rPr>
          <w:color w:val="000000"/>
        </w:rPr>
        <w:t xml:space="preserve"> </w:t>
      </w:r>
      <w:r>
        <w:rPr>
          <w:rFonts w:ascii="Arial;sans-serif" w:hAnsi="Arial;sans-serif"/>
          <w:b w:val="false"/>
          <w:color w:val="000000"/>
          <w:sz w:val="19"/>
        </w:rPr>
        <w:t>Our director, Mr. Botein, is a founder and Managing Partner of Gallatin Point.</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At the same time we entered into the Investment Agreement Amendment, we adopted an amended and restated certificate of designations (the “Amended and Restated Certificate of Designations”) governing the terms of the Series A Preferred Shares. The Amended and Restated Certificate of Designations (i) provided for the exchange of the 37,500 Series A Preferred Shares into 5,859,375 Common Shares, (ii) modified certain optional conversion provisions (including reducing the conversion price to $8.32 per share, subject to adjustment) and mandatory conversion provisions, and (iii) provided for a fixed dividend rate of 7% per annum of the liquidation preference until September 30, 2029, with the dividend rate to reset on October 1, 2029, and each five-year anniversary thereafter, at a rate equal to the five-year U.S. treasury rate plus 5.2%, up to a maximum dividend rate of 8.0%.</w:t>
      </w:r>
    </w:p>
    <w:p>
      <w:pPr>
        <w:pStyle w:val="TextBody"/>
        <w:bidi w:val="0"/>
        <w:spacing w:lineRule="auto" w:line="288" w:before="0" w:after="240"/>
        <w:jc w:val="both"/>
        <w:rPr>
          <w:rFonts w:ascii="Arial;sans-serif" w:hAnsi="Arial;sans-serif"/>
          <w:b w:val="false"/>
          <w:i/>
          <w:color w:val="053273"/>
          <w:sz w:val="20"/>
        </w:rPr>
      </w:pPr>
      <w:r>
        <w:rPr>
          <w:rFonts w:ascii="Arial;sans-serif" w:hAnsi="Arial;sans-serif"/>
          <w:b w:val="false"/>
          <w:i/>
          <w:color w:val="053273"/>
          <w:sz w:val="20"/>
        </w:rPr>
        <w:t>Transactions with Cavello Bay</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On November 11, 2024, we entered into a subscription agreement (the “Subscription Agreement”) with Cavello Bay providing for the issuance and sale of 1,953,125 of the Common Shares for an aggregate purchase price of $12.5 million, or $6.40 per share. The share sale closed on December 23, 2024. In connection with the share sale, we entered into a registration rights agreement with Cavello Bay pursuant to which we agreed to provide Cavello Bay with certain customary registration rights with respect to the shares of common stock received in the share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Simultaneously with the entry into the Subscription Agreement, Cavello Bay entered into an adverse development cover agreement (the “E&amp;S Top Up ADC”) with our subsidiaries, James River Insurance Company and James River Casualty Company (together, “James River”). Pursuant to this agreement, in exchange for a premium of $52.8 million (less an amount equal to the federal excise tax payable on the premium), Cavello Bay reinsures, effective January 1, 2024, 100% of the losses associated with James River’s E&amp;S Segment portfolio attaching to premium earned during 2010-2023 (both years inclusive). The agreement excludes losses related to commercial auto policies issued to a former large insured or its affiliates. It is subject to a retention by James River of $1,183.7 million (the limit of the combined loss portfolio transfer and adverse development cover for our Excess &amp; Surplus Lines business executed on July 2, 2024) and up to an aggregate limit of $75.0 million. The E&amp;S Top Up ADC closed on December 23, 2024.</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For further information regarding the Investment Agreement, the Investment Agreement Amendment, the Amended and Restated Certificate of Designations, the Subscription Agreement and the E&amp;S Top Up ADC, including a description of certain obligations and restrictions binding on the parties thereto, please refer to the Company’s Current Reports on Form 8-K filed with the SEC on February 28, 2022, March 8, 2022 and November 13, 2024 and the Original Form 10-K.</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 xml:space="preserve">On April 11, 2025, the Company entered into an agreement with entities controlled by Sixth Street, an affiliate of Cavello Bay, pursuant to which the Company’s E&amp;S Segment will invest up to $75 million into a private asset-based credit strategy with exposures primarily in collateralized investment grade notes. Pursuant to the terms of its investment, the Company will pay Sixth Street an annual management fee of 1% of the invested amount and cover certain expenses, and may also pay performance fees over time if pre-specified return hurdles are achieved. As of April 24, 2026, Cavello Bay and its affiliates hold approximately 5.6% of our outstanding shares of common stock. </w:t>
      </w:r>
    </w:p>
    <w:p>
      <w:pPr>
        <w:pStyle w:val="TextBody"/>
        <w:bidi w:val="0"/>
        <w:spacing w:lineRule="auto" w:line="288" w:before="0" w:after="240"/>
        <w:jc w:val="both"/>
        <w:rPr>
          <w:rFonts w:ascii="Arial;sans-serif" w:hAnsi="Arial;sans-serif"/>
          <w:b/>
          <w:color w:val="939598"/>
          <w:sz w:val="24"/>
        </w:rPr>
      </w:pPr>
      <w:r>
        <w:rPr>
          <w:rFonts w:ascii="Arial;sans-serif" w:hAnsi="Arial;sans-serif"/>
          <w:b/>
          <w:color w:val="939598"/>
          <w:sz w:val="24"/>
        </w:rPr>
        <w:t>Director Independence</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Our Board has reviewed the independence of our directors using the Nasdaq Stock Market independence standards. Based on this review, we have determined that Messrs. Botein, Brown, Cavaness, Langwell, and Migliorato, and Mss. Gould and LaSala are independent. In making its independence determination, the Board considered the current and prior relationships with the Company of Gallatin Point, including the transactions described in the section above titled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240"/>
        <w:ind w:left="0" w:right="0" w:hanging="1080"/>
        <w:jc w:val="both"/>
        <w:rPr>
          <w:rFonts w:ascii="Arial;sans-serif" w:hAnsi="Arial;sans-serif"/>
          <w:b/>
          <w:color w:val="053273"/>
          <w:sz w:val="24"/>
        </w:rPr>
      </w:pPr>
      <w:r>
        <w:rPr>
          <w:rFonts w:ascii="Arial;sans-serif" w:hAnsi="Arial;sans-serif"/>
          <w:b/>
          <w:color w:val="053273"/>
          <w:sz w:val="24"/>
        </w:rPr>
        <w:t>Item 14.    PRINCIPAL ACCOUNTANT FEES AND SERVICES</w:t>
      </w:r>
    </w:p>
    <w:p>
      <w:pPr>
        <w:pStyle w:val="TextBody"/>
        <w:bidi w:val="0"/>
        <w:spacing w:lineRule="auto" w:line="288" w:before="0" w:after="240"/>
        <w:jc w:val="both"/>
        <w:rPr>
          <w:rFonts w:ascii="Arial;sans-serif" w:hAnsi="Arial;sans-serif"/>
          <w:b/>
          <w:color w:val="939598"/>
          <w:sz w:val="24"/>
        </w:rPr>
      </w:pPr>
      <w:r>
        <w:rPr>
          <w:rFonts w:ascii="Arial;sans-serif" w:hAnsi="Arial;sans-serif"/>
          <w:b/>
          <w:color w:val="939598"/>
          <w:sz w:val="24"/>
        </w:rPr>
        <w:t>Fees Paid to Independent Registered Public Accounting Firm</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Aggregate fees for professional services rendered to us or on our behalf by Ernst &amp; Young LLP (Atlanta, Georgia, PCAOB ID: 42) (“EY”) for the years ended December 31, 2025 and 2024 are as follows:</w:t>
      </w:r>
    </w:p>
    <w:tbl>
      <w:tblPr>
        <w:tblW w:w="3751" w:type="dxa"/>
        <w:jc w:val="center"/>
        <w:tblInd w:w="0" w:type="dxa"/>
        <w:tblLayout w:type="fixed"/>
        <w:tblCellMar>
          <w:top w:w="28" w:type="dxa"/>
          <w:left w:w="28" w:type="dxa"/>
          <w:bottom w:w="28" w:type="dxa"/>
          <w:right w:w="28" w:type="dxa"/>
        </w:tblCellMar>
      </w:tblPr>
      <w:tblGrid>
        <w:gridCol w:w="647"/>
        <w:gridCol w:w="565"/>
        <w:gridCol w:w="572"/>
        <w:gridCol w:w="319"/>
        <w:gridCol w:w="319"/>
        <w:gridCol w:w="323"/>
        <w:gridCol w:w="293"/>
        <w:gridCol w:w="293"/>
        <w:gridCol w:w="420"/>
      </w:tblGrid>
      <w:tr>
        <w:trPr/>
        <w:tc>
          <w:tcPr>
            <w:tcW w:w="6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op w:val="single" w:sz="24" w:space="0" w:color="053273"/>
            </w:tcBorders>
            <w:shd w:fill="F3F3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53273"/>
                <w:sz w:val="17"/>
              </w:rPr>
            </w:pPr>
            <w:r>
              <w:rPr>
                <w:rFonts w:ascii="Arial;sans-serif" w:hAnsi="Arial;sans-serif"/>
                <w:b/>
                <w:color w:val="053273"/>
                <w:sz w:val="17"/>
              </w:rPr>
              <w:t>2025</w:t>
            </w:r>
          </w:p>
          <w:p>
            <w:pPr>
              <w:pStyle w:val="TableContents"/>
              <w:bidi w:val="0"/>
              <w:spacing w:lineRule="auto" w:line="240" w:before="0" w:after="0"/>
              <w:jc w:val="center"/>
              <w:rPr>
                <w:rFonts w:ascii="Arial;sans-serif" w:hAnsi="Arial;sans-serif"/>
                <w:b w:val="false"/>
                <w:color w:val="053273"/>
                <w:sz w:val="17"/>
              </w:rPr>
            </w:pPr>
            <w:r>
              <w:rPr>
                <w:rFonts w:ascii="Arial;sans-serif" w:hAnsi="Arial;sans-serif"/>
                <w:b w:val="false"/>
                <w:color w:val="053273"/>
                <w:sz w:val="17"/>
              </w:rPr>
              <w:t>($)</w:t>
            </w:r>
          </w:p>
        </w:tc>
        <w:tc>
          <w:tcPr>
            <w:tcW w:w="1006" w:type="dxa"/>
            <w:gridSpan w:val="3"/>
            <w:tcBorders>
              <w:top w:val="single" w:sz="24" w:space="0" w:color="053273"/>
              <w:left w:val="single" w:sz="4" w:space="0" w:color="C8C9CB"/>
            </w:tcBorders>
            <w:shd w:fill="F3F3F4"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53273"/>
                <w:sz w:val="17"/>
              </w:rPr>
            </w:pPr>
            <w:r>
              <w:rPr>
                <w:rFonts w:ascii="Arial;sans-serif" w:hAnsi="Arial;sans-serif"/>
                <w:b/>
                <w:color w:val="053273"/>
                <w:sz w:val="17"/>
              </w:rPr>
              <w:t>2024</w:t>
            </w:r>
          </w:p>
          <w:p>
            <w:pPr>
              <w:pStyle w:val="TableContents"/>
              <w:bidi w:val="0"/>
              <w:spacing w:lineRule="auto" w:line="240" w:before="0" w:after="0"/>
              <w:jc w:val="center"/>
              <w:rPr>
                <w:rFonts w:ascii="Arial;sans-serif" w:hAnsi="Arial;sans-serif"/>
                <w:b w:val="false"/>
                <w:color w:val="053273"/>
                <w:sz w:val="17"/>
              </w:rPr>
            </w:pPr>
            <w:r>
              <w:rPr>
                <w:rFonts w:ascii="Arial;sans-serif" w:hAnsi="Arial;sans-serif"/>
                <w:b w:val="false"/>
                <w:color w:val="053273"/>
                <w:sz w:val="17"/>
              </w:rPr>
              <w:t>($)</w:t>
            </w:r>
          </w:p>
        </w:tc>
      </w:tr>
      <w:tr>
        <w:trPr/>
        <w:tc>
          <w:tcPr>
            <w:tcW w:w="1784" w:type="dxa"/>
            <w:gridSpan w:val="3"/>
            <w:tcBorders>
              <w:top w:val="single" w:sz="12" w:space="0" w:color="636466"/>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Audit Fees</w:t>
            </w:r>
          </w:p>
        </w:tc>
        <w:tc>
          <w:tcPr>
            <w:tcW w:w="961"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2,435,000</w:t>
            </w:r>
          </w:p>
        </w:tc>
        <w:tc>
          <w:tcPr>
            <w:tcW w:w="1006" w:type="dxa"/>
            <w:gridSpan w:val="3"/>
            <w:tcBorders>
              <w:top w:val="single" w:sz="12" w:space="0" w:color="636466"/>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2,714,162</w:t>
            </w:r>
          </w:p>
        </w:tc>
      </w:tr>
      <w:tr>
        <w:trPr/>
        <w:tc>
          <w:tcPr>
            <w:tcW w:w="1784"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Audit-Related Fees</w:t>
            </w:r>
          </w:p>
        </w:tc>
        <w:tc>
          <w:tcPr>
            <w:tcW w:w="96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59,000</w:t>
            </w:r>
          </w:p>
        </w:tc>
        <w:tc>
          <w:tcPr>
            <w:tcW w:w="1006"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9,000</w:t>
            </w:r>
          </w:p>
        </w:tc>
      </w:tr>
      <w:tr>
        <w:trPr/>
        <w:tc>
          <w:tcPr>
            <w:tcW w:w="1784"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Tax Fees</w:t>
            </w:r>
          </w:p>
        </w:tc>
        <w:tc>
          <w:tcPr>
            <w:tcW w:w="96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455,570</w:t>
            </w:r>
          </w:p>
        </w:tc>
        <w:tc>
          <w:tcPr>
            <w:tcW w:w="1006"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148,165</w:t>
            </w:r>
          </w:p>
        </w:tc>
      </w:tr>
      <w:tr>
        <w:trPr/>
        <w:tc>
          <w:tcPr>
            <w:tcW w:w="1784" w:type="dxa"/>
            <w:gridSpan w:val="3"/>
            <w:tcBorders>
              <w:top w:val="single" w:sz="4" w:space="0" w:color="C8C9CB"/>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All Other Fees</w:t>
            </w:r>
          </w:p>
        </w:tc>
        <w:tc>
          <w:tcPr>
            <w:tcW w:w="961"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06" w:type="dxa"/>
            <w:gridSpan w:val="3"/>
            <w:tcBorders>
              <w:top w:val="single" w:sz="4" w:space="0" w:color="C8C9CB"/>
              <w:left w:val="single" w:sz="4" w:space="0" w:color="C8C9CB"/>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784" w:type="dxa"/>
            <w:gridSpan w:val="3"/>
            <w:tcBorders>
              <w:top w:val="single" w:sz="4" w:space="0" w:color="C8C9CB"/>
              <w:bottom w:val="single" w:sz="4" w:space="0" w:color="C8C9CB"/>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Fees</w:t>
            </w:r>
          </w:p>
        </w:tc>
        <w:tc>
          <w:tcPr>
            <w:tcW w:w="961"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2,949,570</w:t>
            </w:r>
          </w:p>
        </w:tc>
        <w:tc>
          <w:tcPr>
            <w:tcW w:w="1006" w:type="dxa"/>
            <w:gridSpan w:val="3"/>
            <w:tcBorders>
              <w:top w:val="single" w:sz="4" w:space="0" w:color="C8C9CB"/>
              <w:left w:val="single" w:sz="4" w:space="0" w:color="C8C9CB"/>
              <w:bottom w:val="single" w:sz="4" w:space="0" w:color="C8C9CB"/>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2,871,327</w:t>
            </w:r>
          </w:p>
        </w:tc>
      </w:tr>
    </w:tbl>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items set forth in the above table generally consisted of the following items:</w:t>
      </w:r>
    </w:p>
    <w:p>
      <w:pPr>
        <w:pStyle w:val="TextBody"/>
        <w:bidi w:val="0"/>
        <w:spacing w:lineRule="auto" w:line="288" w:before="0" w:after="240"/>
        <w:jc w:val="both"/>
        <w:rPr/>
      </w:pPr>
      <w:r>
        <w:rPr>
          <w:rFonts w:ascii="Arial;sans-serif" w:hAnsi="Arial;sans-serif"/>
          <w:b w:val="false"/>
          <w:i/>
          <w:color w:val="053273"/>
          <w:sz w:val="19"/>
        </w:rPr>
        <w:t>Audit Fees</w:t>
      </w:r>
      <w:r>
        <w:rPr>
          <w:rFonts w:ascii="Arial;sans-serif" w:hAnsi="Arial;sans-serif"/>
          <w:b w:val="false"/>
          <w:color w:val="000000"/>
          <w:sz w:val="19"/>
        </w:rPr>
        <w:t>. Audit fees consisted of fees incurred in connection with the Company’s annual financial statement audits and statutory audits, review of quarterly financial statements, and post-report review procedures in 2025 and 2024.</w:t>
      </w:r>
    </w:p>
    <w:p>
      <w:pPr>
        <w:pStyle w:val="TextBody"/>
        <w:bidi w:val="0"/>
        <w:spacing w:lineRule="auto" w:line="288" w:before="0" w:after="240"/>
        <w:jc w:val="both"/>
        <w:rPr/>
      </w:pPr>
      <w:r>
        <w:rPr>
          <w:rFonts w:ascii="Arial;sans-serif" w:hAnsi="Arial;sans-serif"/>
          <w:b w:val="false"/>
          <w:i/>
          <w:color w:val="053273"/>
          <w:sz w:val="19"/>
        </w:rPr>
        <w:t>Audit-related fees</w:t>
      </w:r>
      <w:r>
        <w:rPr>
          <w:rFonts w:ascii="Arial;sans-serif" w:hAnsi="Arial;sans-serif"/>
          <w:b w:val="false"/>
          <w:color w:val="000000"/>
          <w:sz w:val="19"/>
        </w:rPr>
        <w:t>. Audit-related fees in 2025 and 2024 included fees incurred in connection with the Company’s S-3, S-4, and S-8 registration statements.</w:t>
      </w:r>
    </w:p>
    <w:p>
      <w:pPr>
        <w:pStyle w:val="TextBody"/>
        <w:bidi w:val="0"/>
        <w:spacing w:lineRule="auto" w:line="288" w:before="0" w:after="240"/>
        <w:jc w:val="both"/>
        <w:rPr/>
      </w:pPr>
      <w:r>
        <w:rPr>
          <w:rFonts w:ascii="Arial;sans-serif" w:hAnsi="Arial;sans-serif"/>
          <w:b w:val="false"/>
          <w:i/>
          <w:color w:val="053273"/>
          <w:sz w:val="19"/>
        </w:rPr>
        <w:t>Tax Fees</w:t>
      </w:r>
      <w:r>
        <w:rPr>
          <w:rFonts w:ascii="Arial;sans-serif" w:hAnsi="Arial;sans-serif"/>
          <w:b w:val="false"/>
          <w:color w:val="053273"/>
          <w:sz w:val="19"/>
        </w:rPr>
        <w:t>.</w:t>
      </w:r>
      <w:r>
        <w:rPr>
          <w:color w:val="000000"/>
        </w:rPr>
        <w:t xml:space="preserve"> </w:t>
      </w:r>
      <w:r>
        <w:rPr>
          <w:rFonts w:ascii="Arial;sans-serif" w:hAnsi="Arial;sans-serif"/>
          <w:b w:val="false"/>
          <w:color w:val="000000"/>
          <w:sz w:val="19"/>
        </w:rPr>
        <w:t>Tax fees in 2025 and 2024 primarily consisted of tax compliance services and tax advisory services related to foreign tax filings and transfer pricing.</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Audit Committee has concluded that the provision of the aforementioned services by EY was compatible with the maintenance of that firm’s independence in the conduct of its auditing functions.</w:t>
      </w:r>
    </w:p>
    <w:p>
      <w:pPr>
        <w:pStyle w:val="TextBody"/>
        <w:bidi w:val="0"/>
        <w:spacing w:lineRule="auto" w:line="288" w:before="0" w:after="240"/>
        <w:jc w:val="both"/>
        <w:rPr>
          <w:rFonts w:ascii="Arial;sans-serif" w:hAnsi="Arial;sans-serif"/>
          <w:b/>
          <w:color w:val="939598"/>
          <w:sz w:val="24"/>
        </w:rPr>
      </w:pPr>
      <w:r>
        <w:rPr>
          <w:rFonts w:ascii="Arial;sans-serif" w:hAnsi="Arial;sans-serif"/>
          <w:b/>
          <w:color w:val="939598"/>
          <w:sz w:val="24"/>
        </w:rPr>
        <w:t>Pre-Approval of Services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Audit Committee has a policy requiring it to pre-approve all audit and non-audit services performed by the Company’s independent auditor. The Committee may delegate pre-approval authority to the chairman of the Audit Committee or his designee (collectively, the “Audit Committee Chair”) provided that all services pre-approved by the Audit Committee Chair in an interim time period are presented to the full Audit Committee at its next scheduled meeting. When pre-approving all services by the independent auditor, the Committee will consider whether the provision of such services is consistent with maintaining the independent auditor’s independence.</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During our 2025 and 2024 fiscal years, all audit, audit-related, tax fees and other fees for services performed by EY were pre-approved by the Audit Committee in compliance with applicable SEC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53273"/>
          <w:sz w:val="24"/>
        </w:rPr>
      </w:pPr>
      <w:r>
        <w:rPr>
          <w:rFonts w:ascii="Arial;sans-serif" w:hAnsi="Arial;sans-serif"/>
          <w:b/>
          <w:color w:val="053273"/>
          <w:sz w:val="24"/>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p>
      <w:pPr>
        <w:pStyle w:val="TextBody"/>
        <w:bidi w:val="0"/>
        <w:spacing w:lineRule="auto" w:line="288" w:before="0" w:after="0"/>
        <w:jc w:val="left"/>
        <w:rPr>
          <w:rFonts w:ascii="Arial;sans-serif" w:hAnsi="Arial;sans-serif"/>
          <w:b/>
          <w:color w:val="053273"/>
          <w:sz w:val="24"/>
        </w:rPr>
      </w:pPr>
      <w:r>
        <w:rPr>
          <w:rFonts w:ascii="Arial;sans-serif" w:hAnsi="Arial;sans-serif"/>
          <w:b/>
          <w:color w:val="053273"/>
          <w:sz w:val="24"/>
        </w:rPr>
        <w:t>Item 15.    EXHIBITS AND FINANCIAL STATEMENT SCHEDULES</w:t>
      </w:r>
    </w:p>
    <w:p>
      <w:pPr>
        <w:pStyle w:val="TextBody"/>
        <w:bidi w:val="0"/>
        <w:spacing w:lineRule="auto" w:line="288" w:before="0" w:after="0"/>
        <w:ind w:left="0" w:right="0" w:firstLine="360"/>
        <w:jc w:val="left"/>
        <w:rPr>
          <w:rFonts w:ascii="Arial;sans-serif" w:hAnsi="Arial;sans-serif"/>
          <w:b/>
          <w:color w:val="000000"/>
          <w:sz w:val="19"/>
        </w:rPr>
      </w:pPr>
      <w:r>
        <w:rPr>
          <w:rFonts w:ascii="Arial;sans-serif" w:hAnsi="Arial;sans-serif"/>
          <w:b/>
          <w:color w:val="000000"/>
          <w:sz w:val="19"/>
        </w:rPr>
        <w:t>(a) (1) and (2) Financial Statements and Financial Statement Schedules.</w:t>
      </w:r>
    </w:p>
    <w:p>
      <w:pPr>
        <w:pStyle w:val="TextBody"/>
        <w:bidi w:val="0"/>
        <w:spacing w:lineRule="auto" w:line="288" w:before="0" w:after="0"/>
        <w:ind w:left="0" w:right="0" w:firstLine="360"/>
        <w:jc w:val="left"/>
        <w:rPr>
          <w:rFonts w:ascii="Arial;sans-serif" w:hAnsi="Arial;sans-serif"/>
          <w:b/>
          <w:color w:val="000000"/>
          <w:sz w:val="19"/>
        </w:rPr>
      </w:pPr>
      <w:r>
        <w:rPr>
          <w:rFonts w:ascii="Arial;sans-serif" w:hAnsi="Arial;sans-serif"/>
          <w:b/>
          <w:color w:val="000000"/>
          <w:sz w:val="19"/>
        </w:rPr>
        <w:t>See “Index to Financial Statements and Schedules” on Page F-1 of the Original Form 10-K.</w:t>
      </w:r>
    </w:p>
    <w:p>
      <w:pPr>
        <w:pStyle w:val="TextBody"/>
        <w:bidi w:val="0"/>
        <w:spacing w:lineRule="auto" w:line="288" w:before="0" w:after="0"/>
        <w:ind w:left="0" w:right="0" w:firstLine="360"/>
        <w:jc w:val="left"/>
        <w:rPr>
          <w:rFonts w:ascii="Arial;sans-serif" w:hAnsi="Arial;sans-serif"/>
          <w:b/>
          <w:color w:val="000000"/>
          <w:sz w:val="19"/>
        </w:rPr>
      </w:pPr>
      <w:r>
        <w:rPr>
          <w:rFonts w:ascii="Arial;sans-serif" w:hAnsi="Arial;sans-serif"/>
          <w:b/>
          <w:color w:val="000000"/>
          <w:sz w:val="19"/>
        </w:rPr>
        <w:t>(3) Exhibits: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72"/>
        <w:gridCol w:w="239"/>
        <w:gridCol w:w="240"/>
        <w:gridCol w:w="2835"/>
        <w:gridCol w:w="2733"/>
        <w:gridCol w:w="3886"/>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Exhibit</w:t>
              <w:br/>
              <w:t>Number</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Description</w:t>
            </w:r>
          </w:p>
        </w:tc>
      </w:tr>
      <w:tr>
        <w:trPr/>
        <w:tc>
          <w:tcPr>
            <w:tcW w:w="751"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2.1+</w:t>
            </w:r>
          </w:p>
        </w:tc>
        <w:tc>
          <w:tcPr>
            <w:tcW w:w="945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9"/>
                  <w:u w:val="single"/>
                </w:rPr>
                <w:t>Stock Purchase Agreement dated November 8, 2023 by and among James River Group Holdings, Inc. and Fleming Intermediate Holdings LLC (incorporated by reference to Exhibit 2.1 of the Current Report on Form 8-K filed on November 9, 2023, Commission File No. 001-36777)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3.1</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9"/>
                  <w:u w:val="single"/>
                </w:rPr>
                <w:t>Certificate of Incorporation of James River Group Holdings, Inc. (incorporated by reference to Exhibit 3.1 of the Current Report on Form 8-K filed on November 7, 2025, Commission File No. 001-36777)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3.2</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9"/>
                  <w:u w:val="single"/>
                </w:rPr>
                <w:t>Certificate of Designations of 7% Series A Perpetual Cumulative Convertible Preferred Shares of James River Group Holdings, Inc. (incorporated by reference to Exhibit 3.2 of the Current Report on Form 8-K filed on November 7, 2025, Commission File No. 001-36777)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3.3</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9"/>
                  <w:u w:val="single"/>
                </w:rPr>
                <w:t>By-laws of James River Group Holdings, Inc. (incorporated by reference to Exhibit 3.3 of the Current Report on Form 8-K filed on November 7, 2025, Commission File No. 001-36777)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4.1+</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Indenture, dated as of May 26, 2004, by and between James River Group, Inc. and Wilmington Trust Company, as Trustee, relating to Floating Rate Senior Debentures Due 2034</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4.2+</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Indenture, dated as of May 26, 2004, by and between James River Group, Inc. and Wilmington Trust Company, as Trustee, relating to Floating Rate Junior Subordinated Debentures Due 2034</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4.3+</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Amended and Restated Declaration of Trust of James River Capital Trust I, dated as of May 26, 2004, by and among James River Group, Inc., as Sponsor, Wilmington Trust Company, as Institutional Trustee and Delaware Trustee, the Regular Trustees (as defined therein), and the holders, from time to time, of undivided beneficial interests in James River Capital Trust I</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4.4+</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Preferred Securities Guarantee Agreement, dated as of May 26, 2004, by James River Group, Inc., as Guarantor, and Wilmington Trust Company, as Preferred Guarantee Trustee, for the benefit of the holders of James River Capital Trust I</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4.5+</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Indenture, dated as of December 15, 2004, by and between James River Group, Inc. and Wilmington Trust Company, as Trustee, relating to Floating Rate Junior Subordinated Deferrable Interest Debentures Due 2034</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4.6+</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Amended and Restated Declaration of Trust of James River Capital Trust II, dated as of December 15, 2004, by and among James River Group, Inc., as Sponsor, Wilmington Trust Company, as Institutional Trustee and Delaware Trustee, the Administrators (as defined therein), and the holders, from time to time, of undivided beneficial interests in the James River Capital Trust II</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4.7+</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Guarantee Agreement, dated as of December 15, 2004, by James River Group, Inc., as Guarantor, and Wilmington Trust Company, as Guarantee Trustee, for the benefit of the holders, from time to time, of the capital securities of James River Capital Trust II</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4.8+</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Indenture, dated June 15, 2006, by and between James River Group, Inc. and Wilmington Trust Company, as Trustee, relating to Floating Rate Junior Subordinated Deferrable Interest Debentures Due 2036</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4.9+</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Amended and Restated Declaration of Trust of James River Capital Trust III, dated as of June 15, 2006, by and among James River Group, Inc., as Sponsor, Wilmington Trust Company, as Institutional Trustee and Delaware Trustee, the Administrators (as defined therein) and the holders, from time to time, of undivided beneficial interests in the James River Capital Trust III</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4.10+</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Guarantee Agreement, dated as of June 15, 2006, by James River Group, Inc., as Guarantor, and Wilmington Trust Company, as Guarantee Trustee, for the benefit of the holders, from time to time, of the capital securities of James River Capital Trust III</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4.11+</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Indenture, dated December 11, 2007, by and between James River Group, Inc. and Wilmington Trust Company, as Trustee, relating to Fixed/Floating Rate Junior Subordinated Deferrable Interest Debentures Due 2037</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4.12+</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Amended and Restated Declaration of Trust, dated December 11, 2007, by and among James River Group, Inc., as Sponsor, Wilmington Trust Company, as Institutional Trustee and Delaware Trustee and the Administrators (as defined therein) and the holders, from time to time, of undivided beneficial interests in James River Capital Trust IV</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4.13+</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Guarantee Agreement, dated as of December 11, 2007, by James River Group, Inc., as Guarantor, and Wilmington Trust Company, as Guarantee Trustee, for the benefit of the holders, from time to time, of the capital securities of James River Capital Trust IV</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4.14+</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Indenture, dated as of January 10, 2008, among James River Group Holdings, Inc. and Wilmington Trust Company, as Trustee relating to Fixed/Floating Rate Junior Subordinated Deferrable Interest Debentures Due 2038</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4.15+</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Amended and Restated Declaration of Trust, dated as of January 10, 2008, by and among James River Group Holdings, Inc., as Sponsor, Wilmington Trust Company, as Institutional Trustee and Delaware Trustee and the Administrators (as defined therein) for the benefit of the holders, from time to time, of undivided beneficial interest in Franklin Holdings II (Bermuda) Capital Trust I</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73"/>
        <w:gridCol w:w="240"/>
        <w:gridCol w:w="241"/>
        <w:gridCol w:w="2938"/>
        <w:gridCol w:w="2685"/>
        <w:gridCol w:w="3828"/>
      </w:tblGrid>
      <w:tr>
        <w:trPr/>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28" w:type="dxa"/>
            <w:tcBorders/>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w:t>
              <w:br/>
              <w:t>Number</w:t>
            </w:r>
          </w:p>
        </w:tc>
        <w:tc>
          <w:tcPr>
            <w:tcW w:w="9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r>
      <w:tr>
        <w:trPr/>
        <w:tc>
          <w:tcPr>
            <w:tcW w:w="754"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4.16+</w:t>
            </w:r>
          </w:p>
        </w:tc>
        <w:tc>
          <w:tcPr>
            <w:tcW w:w="9451"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Guarantee Agreement, dated as of January 10, 2008, by and among James River Group Holdings, Inc., as Guarantor, and Wilmington Trust Company, as Guarantee Trustee, for the benefit of the holders, from time to time, of the capital securities of Franklin Holdings II (Bermuda) Capital Trust I</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4.17†</w:t>
            </w:r>
          </w:p>
        </w:tc>
        <w:tc>
          <w:tcPr>
            <w:tcW w:w="9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19"/>
                  <w:u w:val="single"/>
                </w:rPr>
                <w:t>Description of Registrant’s Securities Registered under Section 12 of the Securities Exchange Act of 1934</w:t>
              </w:r>
            </w:hyperlink>
            <w:r>
              <w:rPr>
                <w:color w:val="000000"/>
              </w:rPr>
              <w:t xml:space="preserve"> </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w:t>
            </w:r>
          </w:p>
        </w:tc>
        <w:tc>
          <w:tcPr>
            <w:tcW w:w="9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19"/>
                  <w:u w:val="single"/>
                </w:rPr>
                <w:t>Credit Agreement, dated as of June 12, 2025, by and among James River Group Holdings, Inc., KeyBank National Association, as Administrative Agent and Letter of Credit Issuer, KeyBank National Association and Truist Securities, Inc. as Joint Book Runners and Joint Lead Arrangers, Truist Bank as Syndication Agent, and the lender parties thereto (incorporated by reference to Exhibit 10.1 to the Current Report on Form 8-K filed on June 13, 2025, Commission File No. 001-36777)</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10.2</w:t>
            </w:r>
          </w:p>
        </w:tc>
        <w:tc>
          <w:tcPr>
            <w:tcW w:w="9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19"/>
                  <w:u w:val="single"/>
                </w:rPr>
                <w:t>Continuing Guaranty of Payment, dated as of June 12, 2025, by James River Group, Inc., as Guarantor, pursuant to Credit Agreement dated as of June 12, 2025, among James River Group Holdings, Inc., KeyBank National Association, as Administrative Agent and Letter of Credit Issuer, KeyBank National Association and Truist Securities, Inc., as Joint Book Runners and Joint Lead Arrangers, Truist Bank as Syndication Agent, and the lender parties thereto (incorporated by reference to Exhibit 10.3 to the Current Report on Form 8-K filed on June 13, 2025, Commission File No. 001-36777)</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10.3</w:t>
            </w:r>
          </w:p>
        </w:tc>
        <w:tc>
          <w:tcPr>
            <w:tcW w:w="9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19"/>
                  <w:u w:val="single"/>
                </w:rPr>
                <w:t>Form of Director and Officer Indemnification Agreement for James River Group Holdings, Inc. (incorporated by reference to Exhibit 10.4 to Post-Effective Amendment No. 1 to Form S-4, Registration No. 333-289276, filed on November 10, 2025, Commission File No. 001-36777)</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10.4*</w:t>
            </w:r>
          </w:p>
        </w:tc>
        <w:tc>
          <w:tcPr>
            <w:tcW w:w="9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19"/>
                  <w:u w:val="single"/>
                </w:rPr>
                <w:t>James River Group Holdings, Inc. 2014 Long-Term Incentive Plan (incorporated by reference to Exhibit 10.11 of Amendment No. 1 to the Registration Statement on Form S-1, Registration No. 333-199958, filed with the Commission on November 24, 2014)</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10.5*</w:t>
            </w:r>
          </w:p>
        </w:tc>
        <w:tc>
          <w:tcPr>
            <w:tcW w:w="9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19"/>
                  <w:u w:val="single"/>
                </w:rPr>
                <w:t>Amendment to the James River Group Holdings, Inc. 2014 Long-Term Incentive Plan (incorporated by reference to Exhibit 10.1 of the Current Report on Form 8-K filed on May 3, 2017, Commission File No. 001-36777)</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10.6*</w:t>
            </w:r>
          </w:p>
        </w:tc>
        <w:tc>
          <w:tcPr>
            <w:tcW w:w="9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FF"/>
                  <w:sz w:val="19"/>
                  <w:u w:val="single"/>
                </w:rPr>
                <w:t>Second Amendment to the James River Group Holdings, Inc. 2014 Long-Term Incentive Plan (incorporated by reference to Exhibit 10.1 to the Current Report on Form 8-K filed on October 26, 2022, Commission File No. 001-36777)</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10.7*</w:t>
            </w:r>
          </w:p>
        </w:tc>
        <w:tc>
          <w:tcPr>
            <w:tcW w:w="9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sans-serif" w:hAnsi="Arial;sans-serif"/>
                  <w:b w:val="false"/>
                  <w:color w:val="0000FF"/>
                  <w:sz w:val="19"/>
                  <w:u w:val="single"/>
                </w:rPr>
                <w:t>Third Amendment to the James River Group Holdings, Inc. 2014 Long-Term Incentive Plan (incorporated by reference to Exhibit 10.1 to the Current Report on Form 8-K filed on October 25, 2024; Commission File No. 001-36777)</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10.8*</w:t>
            </w:r>
          </w:p>
        </w:tc>
        <w:tc>
          <w:tcPr>
            <w:tcW w:w="9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sans-serif" w:hAnsi="Arial;sans-serif"/>
                  <w:b w:val="false"/>
                  <w:color w:val="0000FF"/>
                  <w:sz w:val="19"/>
                  <w:u w:val="single"/>
                </w:rPr>
                <w:t>Fourth Amendment to the James River Group Holdings, Inc. 2014 Long-Term Incentive Plan (incorporated by reference to Exhibit 10.1 to the Current Report on Form 8-K filed on October 24, 2025; Commission File No. 001-36777)</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10.9*</w:t>
            </w:r>
          </w:p>
        </w:tc>
        <w:tc>
          <w:tcPr>
            <w:tcW w:w="9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sans-serif" w:hAnsi="Arial;sans-serif"/>
                  <w:b w:val="false"/>
                  <w:color w:val="0000FF"/>
                  <w:sz w:val="19"/>
                  <w:u w:val="single"/>
                </w:rPr>
                <w:t>Fifth Amendment to the James River Group Holdings, Inc. 2014 Long-Term Incentive Plan (incorporated by reference to Exhibit 10.2 of Post-Effective Amendment No. 1 to the Registration Statement on Form S-8, Registration Nos. 333-200995, 333-217743, 333-231200, 333-268114, 333-283157, 333-283159, 333-291251, and 333-291252, filed with the Commission on November 10, 2025)</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10.10*†</w:t>
            </w:r>
          </w:p>
        </w:tc>
        <w:tc>
          <w:tcPr>
            <w:tcW w:w="9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19"/>
                  <w:u w:val="single"/>
                </w:rPr>
                <w:t>Form of Performance Restricted Share Unit Agreement (James River Group Holdings, Inc. 2014 Long-Term Incentive Plan)</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10.11*†</w:t>
            </w:r>
          </w:p>
        </w:tc>
        <w:tc>
          <w:tcPr>
            <w:tcW w:w="9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sans-serif" w:hAnsi="Arial;sans-serif"/>
                  <w:b w:val="false"/>
                  <w:color w:val="0000FF"/>
                  <w:sz w:val="19"/>
                  <w:u w:val="single"/>
                </w:rPr>
                <w:t>Form of Service-Based Restricted Share Unit Agreement (James River Group Holdings, Inc. 2014 Long-Term Incentive Plan)</w:t>
              </w:r>
            </w:hyperlink>
            <w:r>
              <w:rPr>
                <w:color w:val="000000"/>
              </w:rPr>
              <w:t xml:space="preserve"> </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10.12*†</w:t>
            </w:r>
          </w:p>
        </w:tc>
        <w:tc>
          <w:tcPr>
            <w:tcW w:w="9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sans-serif" w:hAnsi="Arial;sans-serif"/>
                  <w:b w:val="false"/>
                  <w:color w:val="0000FF"/>
                  <w:sz w:val="19"/>
                  <w:u w:val="single"/>
                </w:rPr>
                <w:t>James River Group Holdings, Inc. Short-Term Incentive Plan, as amended on April 24, 2025</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10.13*</w:t>
            </w:r>
          </w:p>
        </w:tc>
        <w:tc>
          <w:tcPr>
            <w:tcW w:w="9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sans-serif" w:hAnsi="Arial;sans-serif"/>
                  <w:b w:val="false"/>
                  <w:color w:val="0000FF"/>
                  <w:sz w:val="19"/>
                  <w:u w:val="single"/>
                </w:rPr>
                <w:t>James River Group Holdings, Inc. 2014 Non-Employee Director Incentive Plan (incorporated by reference to Exhibit 10.15 of Amendment No. 1 to the Registration Statement on Form S-1, Registration No. 333-199958, filed with the Commission on November 24, 2014)</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10.14*</w:t>
            </w:r>
          </w:p>
        </w:tc>
        <w:tc>
          <w:tcPr>
            <w:tcW w:w="9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0000FF"/>
                  <w:sz w:val="19"/>
                  <w:u w:val="single"/>
                </w:rPr>
                <w:t>Amendment to the 2014 Non-Employee Director Incentive Plan (incorporated by reference to Exhibit 10.1 of the Current Report on Form 8-K filed on May 1, 2019, Commission File No. 001-36777)</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10.15*</w:t>
            </w:r>
          </w:p>
        </w:tc>
        <w:tc>
          <w:tcPr>
            <w:tcW w:w="9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sans-serif" w:hAnsi="Arial;sans-serif"/>
                  <w:b w:val="false"/>
                  <w:color w:val="0000FF"/>
                  <w:sz w:val="19"/>
                  <w:u w:val="single"/>
                </w:rPr>
                <w:t>Second Amendment to the James River Group Holdings, Inc. 2014 Non-Employee Director Incentive Plan (incorporated by reference to Exhibit 10.2 of the Current Report on Form 8-K filed on October 25, 2024; Commission File No. 001-36777)</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10.16*</w:t>
            </w:r>
          </w:p>
        </w:tc>
        <w:tc>
          <w:tcPr>
            <w:tcW w:w="9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sans-serif" w:hAnsi="Arial;sans-serif"/>
                  <w:b w:val="false"/>
                  <w:color w:val="0000FF"/>
                  <w:sz w:val="19"/>
                  <w:u w:val="single"/>
                </w:rPr>
                <w:t>Third Amendment to the James River Group Holdings, Inc. 2014 Non-Employee Director Incentive Plan (incorporated by reference to Exhibit 10.2 of the Current Report on Form 8-K filed on October 24, 2025; Commission File No. 001-36777)</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10.17*</w:t>
            </w:r>
          </w:p>
        </w:tc>
        <w:tc>
          <w:tcPr>
            <w:tcW w:w="9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rial;sans-serif" w:hAnsi="Arial;sans-serif"/>
                  <w:b w:val="false"/>
                  <w:color w:val="0000FF"/>
                  <w:sz w:val="19"/>
                  <w:u w:val="single"/>
                </w:rPr>
                <w:t>Fourth Amendment to the James River Group Holdings, Inc. 2014 Non-Employee Director Incentive Plan (incorporated by reference to Exhibit 10.1 of Post-Effective Amendment No. 1 to the Registration Statement on Form S-8, Registration Nos. 333-200995, 333-217743, 333-231200, 333-268114, 333-283157, 333-283159, 333-291251, and 333-291252, filed with the Commission on November 10, 2025)</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74"/>
        <w:gridCol w:w="241"/>
        <w:gridCol w:w="242"/>
        <w:gridCol w:w="2762"/>
        <w:gridCol w:w="2762"/>
        <w:gridCol w:w="3924"/>
      </w:tblGrid>
      <w:tr>
        <w:trPr/>
        <w:tc>
          <w:tcPr>
            <w:tcW w:w="2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3924" w:type="dxa"/>
            <w:tcBorders/>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w:t>
              <w:br/>
              <w:t>Number</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r>
      <w:tr>
        <w:trPr/>
        <w:tc>
          <w:tcPr>
            <w:tcW w:w="757"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10.18*†</w:t>
            </w:r>
          </w:p>
        </w:tc>
        <w:tc>
          <w:tcPr>
            <w:tcW w:w="9448"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sans-serif" w:hAnsi="Arial;sans-serif"/>
                  <w:b w:val="false"/>
                  <w:color w:val="0000FF"/>
                  <w:sz w:val="19"/>
                  <w:u w:val="single"/>
                </w:rPr>
                <w:t>Form of Restricted Share Unit Award Agreement (James River Group Holdings, Inc., 2014 Non-Employee Director Incentive Plan)</w:t>
              </w:r>
            </w:hyperlink>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10.19*</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Arial;sans-serif" w:hAnsi="Arial;sans-serif"/>
                  <w:b w:val="false"/>
                  <w:color w:val="0000FF"/>
                  <w:sz w:val="19"/>
                  <w:u w:val="single"/>
                </w:rPr>
                <w:t>Amended and Restated Employment Agreement, dated as of July 30, 2024, by and between Frank D’Orazio, James River Group Holdings, Inc. and James River Group, Inc. (incorporated by reference to Exhibit 10.2 to the Current Report on Form 8-K filed with on July 31, 2024; Commission File No. 001-36777)</w:t>
              </w:r>
            </w:hyperlink>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10.20*</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rvrex1020.htm">
              <w:r>
                <w:rPr>
                  <w:rStyle w:val="InternetLink"/>
                  <w:rFonts w:ascii="Arial;sans-serif" w:hAnsi="Arial;sans-serif"/>
                  <w:b w:val="false"/>
                  <w:color w:val="0000FF"/>
                  <w:sz w:val="19"/>
                  <w:u w:val="single"/>
                </w:rPr>
                <w:t>First Amendment to the Employment Agreement, dated as of July 30, 2024, by and between Frank D’Orazio, James River Group Holdings, Inc. and James River Group, Inc.</w:t>
              </w:r>
            </w:hyperlink>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10.21*</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Arial;sans-serif" w:hAnsi="Arial;sans-serif"/>
                  <w:b w:val="false"/>
                  <w:color w:val="0000FF"/>
                  <w:sz w:val="19"/>
                  <w:u w:val="single"/>
                </w:rPr>
                <w:t>Employment Agreement, dated December 19, 2016, by and among James River Group Holdings, Inc., James River Group, Inc., and Sarah C. Doran (incorporated by reference to Exhibit 10.1 to the Current Report on Form 8-K filed on December 22, 2016, Commission File No. 001-36777)</w:t>
              </w:r>
            </w:hyperlink>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10.22*</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Arial;sans-serif" w:hAnsi="Arial;sans-serif"/>
                  <w:b w:val="false"/>
                  <w:color w:val="0000FF"/>
                  <w:sz w:val="19"/>
                  <w:u w:val="single"/>
                </w:rPr>
                <w:t>Amendment to Employment Agreement dated December 19, 2016, between Sarah C. Doran and James River Group Holdings, Inc., and its subsidiary, James River Group, Inc. (incorporated by reference to Exhibit 10.1 to the Quarterly Report on Form 10-Q filed on November 8, 2018, Commission File No. 001-36777)</w:t>
              </w:r>
            </w:hyperlink>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10.23*</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Arial;sans-serif" w:hAnsi="Arial;sans-serif"/>
                  <w:b w:val="false"/>
                  <w:color w:val="0000FF"/>
                  <w:sz w:val="19"/>
                  <w:u w:val="single"/>
                </w:rPr>
                <w:t>Amended and Restated Employment Agreement, dated January 15, 2018, by and among James River Group, Inc., certain subsidiaries of James River Group, Inc. and Richard Schmitzer (incorporated by reference to Exhibit 10.22 to Annual Report on Form 10-K filed on March 1, 2018, Commission File No. 001-36777)</w:t>
              </w:r>
            </w:hyperlink>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10.24*</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Arial;sans-serif" w:hAnsi="Arial;sans-serif"/>
                  <w:b w:val="false"/>
                  <w:color w:val="0000FF"/>
                  <w:sz w:val="19"/>
                  <w:u w:val="single"/>
                </w:rPr>
                <w:t>Amendment to Amended and Restated Employment Agreement, dated January 15, 2018, by and among James River Group, Inc., certain subsidiaries of James River Group, Inc. and Richard Schmitzer (incorporated by reference to Exhibit 10.3 to the Quarterly Report on Form 10-Q filed on August 5, 2025, Commission File No. 001-36777)</w:t>
              </w:r>
            </w:hyperlink>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10.25*</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Arial;sans-serif" w:hAnsi="Arial;sans-serif"/>
                  <w:b w:val="false"/>
                  <w:color w:val="0000FF"/>
                  <w:sz w:val="19"/>
                  <w:u w:val="single"/>
                </w:rPr>
                <w:t>Amendment dated August 11, 2025 to Amended and Restated Employment Agreement, dated January 15, 2018, by and among James River Group, Inc., certain subsidiaries of James River Group, Inc. and Richard Schmitzer (incorporated by reference to Exhibit 10.1 of the Current Report on Form 8-K filed on August 14, 2025, Commission File No. 001-36777)</w:t>
              </w:r>
            </w:hyperlink>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10.26*†</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Arial;sans-serif" w:hAnsi="Arial;sans-serif"/>
                  <w:b w:val="false"/>
                  <w:color w:val="0000FF"/>
                  <w:sz w:val="19"/>
                  <w:u w:val="single"/>
                </w:rPr>
                <w:t>Amended and Restated Employment Agreement, dated December 10, 2025, by and between Michael Hoffmann and James River Group Holdings, Inc.</w:t>
              </w:r>
            </w:hyperlink>
            <w:r>
              <w:rPr>
                <w:color w:val="000000"/>
              </w:rPr>
              <w:t xml:space="preserve"> </w:t>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10.27</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Arial;sans-serif" w:hAnsi="Arial;sans-serif"/>
                  <w:b w:val="false"/>
                  <w:color w:val="0000FF"/>
                  <w:sz w:val="19"/>
                  <w:u w:val="single"/>
                </w:rPr>
                <w:t>Investment Agreement, dated February 24, 2022, by and between James River Group Holdings, Inc. and GPC Partners Investments (Thames) LP (incorporated by reference to Exhibit 10.1 on the Current Report on Form 8-K filed on February 28, 2022; Commission File No. 001-36777)</w:t>
              </w:r>
            </w:hyperlink>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10.28</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Arial;sans-serif" w:hAnsi="Arial;sans-serif"/>
                  <w:b w:val="false"/>
                  <w:color w:val="0000FF"/>
                  <w:sz w:val="19"/>
                  <w:u w:val="single"/>
                </w:rPr>
                <w:t>Amendment No. 1 to Investment Agreement, dated March 1, 2022, by and between James River Group Holdings, Inc. and GPC Partners Investments (Thames) LP (incorporated by reference to Exhibit 10.2 to the Quarterly Report on Form 10-Q filed on May 10, 2022; Commission File No. 001-36777)</w:t>
              </w:r>
            </w:hyperlink>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10.29</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Arial;sans-serif" w:hAnsi="Arial;sans-serif"/>
                  <w:b w:val="false"/>
                  <w:color w:val="0000FF"/>
                  <w:sz w:val="19"/>
                  <w:u w:val="single"/>
                </w:rPr>
                <w:t>First Amendment to Investment Agreement, dated November 11, 2024, by and between James River Group Holdings, Inc. and GPC Partners Investments (Thames) LP (incorporated by reference to Exhibit 4.1 of the Current Report on Form 8-K filed on November 13, 2024; Commission File No. 001-36777)</w:t>
              </w:r>
            </w:hyperlink>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10.30</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Arial;sans-serif" w:hAnsi="Arial;sans-serif"/>
                  <w:b w:val="false"/>
                  <w:color w:val="0000FF"/>
                  <w:sz w:val="19"/>
                  <w:u w:val="single"/>
                </w:rPr>
                <w:t>Registration Rights Agreement, dated March 1, 2022, by and between James River Group Holdings, Inc. and GPC Partners Investments (Thames) LP (incorporated by reference to Exhibit 10.4 to the Quarterly Report on Form 10-Q filed on May 10, 2022; Commission File No. 001-36777)</w:t>
              </w:r>
            </w:hyperlink>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10.31</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Arial;sans-serif" w:hAnsi="Arial;sans-serif"/>
                  <w:b w:val="false"/>
                  <w:color w:val="0000FF"/>
                  <w:sz w:val="19"/>
                  <w:u w:val="single"/>
                </w:rPr>
                <w:t>First Amendment to the Registration Rights Agreement, dated as of November 11, 2024, by and among James River Group Holdings, Inc. and GPC Partners Investments (Thames) LP (incorporated by reference to Exhibit 10.3 of the Current Report on Form 8-K filed on November 13, 2024; Commission File No. 001-36777)</w:t>
              </w:r>
            </w:hyperlink>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10.32</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Arial;sans-serif" w:hAnsi="Arial;sans-serif"/>
                  <w:b w:val="false"/>
                  <w:color w:val="0000FF"/>
                  <w:sz w:val="19"/>
                  <w:u w:val="single"/>
                </w:rPr>
                <w:t>Loss Portfolio Transfer Reinsurance Agreement dated September 27, 2021 between James River Insurance Company and James River Casualty Company and Aleka Insurance, Inc. (incorporated by reference to Exhibit 10.1 on the Current Report on Form 8-K filed on September 30, 2021, Commission File No. 001-36777)</w:t>
              </w:r>
            </w:hyperlink>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10.33</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Arial;sans-serif" w:hAnsi="Arial;sans-serif"/>
                  <w:b w:val="false"/>
                  <w:color w:val="0000FF"/>
                  <w:sz w:val="19"/>
                  <w:u w:val="single"/>
                </w:rPr>
                <w:t>Trust Agreement dated September 27, 2021 among James River Insurance Company and James River Casualty Company, Aleka Insurance, Inc., and Wells Fargo Bank, N.A. (incorporated by reference to Exhibit 10.2 on the Current Report on Form 8-K filed on September 30, 2021, Commission File No. 001-36777)</w:t>
              </w:r>
            </w:hyperlink>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10.34+</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Arial;sans-serif" w:hAnsi="Arial;sans-serif"/>
                  <w:b w:val="false"/>
                  <w:color w:val="0000FF"/>
                  <w:sz w:val="19"/>
                  <w:u w:val="single"/>
                </w:rPr>
                <w:t>Combined Loss Portfolio Transfer and Adverse Development Cover Reinsurance Contract dated July 2, 2024 between James River Insurance Company and James River Casualty Company and State National Insurance Company, Inc. (incorporated by reference to Exhibit 10.1 to the Current Report on Form 8-K filed on July 9, 2024; Commission File No. 001-36777)</w:t>
              </w:r>
            </w:hyperlink>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10.35</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Arial;sans-serif" w:hAnsi="Arial;sans-serif"/>
                  <w:b w:val="false"/>
                  <w:color w:val="0000FF"/>
                  <w:sz w:val="19"/>
                  <w:u w:val="single"/>
                </w:rPr>
                <w:t>Subscription Agreement, dated November 11, 2024, by and between James River Group Holdings, Inc. and Cavello Bay Reinsurance Limited (incorporated by reference to Exhibit 10.1 of the Current Report on Form 8-K filed on November 13, 2024; Commission File No. 001-36777)</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86"/>
        <w:gridCol w:w="251"/>
        <w:gridCol w:w="252"/>
        <w:gridCol w:w="2890"/>
        <w:gridCol w:w="2694"/>
        <w:gridCol w:w="3832"/>
      </w:tblGrid>
      <w:tr>
        <w:trPr/>
        <w:tc>
          <w:tcPr>
            <w:tcW w:w="2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32" w:type="dxa"/>
            <w:tcBorders/>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w:t>
              <w:br/>
              <w:t>Number</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r>
      <w:tr>
        <w:trPr/>
        <w:tc>
          <w:tcPr>
            <w:tcW w:w="789"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10.36</w:t>
            </w:r>
          </w:p>
        </w:tc>
        <w:tc>
          <w:tcPr>
            <w:tcW w:w="9416" w:type="dxa"/>
            <w:gridSpan w:val="3"/>
            <w:tcBorders>
              <w:top w:val="single" w:sz="4" w:space="0" w:color="636466"/>
            </w:tcBorders>
            <w:tcMar>
              <w:top w:w="3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Arial;sans-serif" w:hAnsi="Arial;sans-serif"/>
                  <w:b w:val="false"/>
                  <w:color w:val="0000FF"/>
                  <w:sz w:val="19"/>
                  <w:u w:val="single"/>
                </w:rPr>
                <w:t>Registration Rights Agreement, dated December 23, 2024, by and among James River Group Holdings, Inc. and Cavello Bay Reinsurance Limited (incorporated by reference to Exhibit 10.40 to the Annual Report on Form 10-K filed on March 4, 2025, Commission File No. 001-36777)</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10.37+</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Arial;sans-serif" w:hAnsi="Arial;sans-serif"/>
                  <w:b w:val="false"/>
                  <w:color w:val="0000FF"/>
                  <w:sz w:val="19"/>
                  <w:u w:val="single"/>
                </w:rPr>
                <w:t xml:space="preserve">Adverse Development Cover Reinsurance Contract, dated November 11, 2024, by and between James River Insurance Company and James River Casualty Company, and Cavello Bay Reinsurance Limited (incorporated by reference to Exhibit 10.2 of the Current Report on Form 8-K filed on November 13, 2024; Commission File No. 001-36777) </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10.38*</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rvrex1038.htm">
              <w:r>
                <w:rPr>
                  <w:rStyle w:val="InternetLink"/>
                  <w:rFonts w:ascii="Arial;sans-serif" w:hAnsi="Arial;sans-serif"/>
                  <w:b w:val="false"/>
                  <w:color w:val="0000FF"/>
                  <w:sz w:val="19"/>
                  <w:u w:val="single"/>
                </w:rPr>
                <w:t>Amended and Restated Employment Agreement, dated as of December 4, 2023, by and between Jeanette Miller, James River Group Holdings, Inc. and James River Group, Inc.</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10.39*</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rvrex1039.htm">
              <w:r>
                <w:rPr>
                  <w:rStyle w:val="InternetLink"/>
                  <w:rFonts w:ascii="Arial;sans-serif" w:hAnsi="Arial;sans-serif"/>
                  <w:b w:val="false"/>
                  <w:color w:val="0000FF"/>
                  <w:sz w:val="19"/>
                  <w:u w:val="single"/>
                </w:rPr>
                <w:t>First Amendment to the Employment Agreement, dated as of December 4, 2023, by and between Jeanette Miller, James River Group Holdings, Inc. and James River Group, Inc.</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10.40*</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rvrex1040.htm">
              <w:r>
                <w:rPr>
                  <w:rStyle w:val="InternetLink"/>
                  <w:rFonts w:ascii="Arial;sans-serif" w:hAnsi="Arial;sans-serif"/>
                  <w:b w:val="false"/>
                  <w:color w:val="0000FF"/>
                  <w:sz w:val="19"/>
                  <w:u w:val="single"/>
                </w:rPr>
                <w:t>Employment Agreement, dated May 2, 2025, by and between Todd Sutherland, James River Management Company, Inc. and James River Insurance Company</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19.1†</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Arial;sans-serif" w:hAnsi="Arial;sans-serif"/>
                  <w:b w:val="false"/>
                  <w:color w:val="0000FF"/>
                  <w:sz w:val="19"/>
                  <w:u w:val="single"/>
                </w:rPr>
                <w:t>James River Group Holdings, Inc. Insider Trading Policy</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21.1†</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Arial;sans-serif" w:hAnsi="Arial;sans-serif"/>
                  <w:b w:val="false"/>
                  <w:color w:val="0000FF"/>
                  <w:sz w:val="19"/>
                  <w:u w:val="single"/>
                </w:rPr>
                <w:t>List of subsidiaries of James River Group Holdings, Inc.</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23.1†</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Arial;sans-serif" w:hAnsi="Arial;sans-serif"/>
                  <w:b w:val="false"/>
                  <w:color w:val="0000FF"/>
                  <w:sz w:val="19"/>
                  <w:u w:val="single"/>
                </w:rPr>
                <w:t>Consent of Ernst &amp; Young LLP, Independent Registered Public Accounting Firm</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31.1†</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Arial;sans-serif" w:hAnsi="Arial;sans-serif"/>
                  <w:b w:val="false"/>
                  <w:color w:val="0000FF"/>
                  <w:sz w:val="19"/>
                  <w:u w:val="single"/>
                </w:rPr>
                <w:t>Principal Executive Officer Certification pursuant to Rule 13a-14(a)/15d-14(a)</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31.2†</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Arial;sans-serif" w:hAnsi="Arial;sans-serif"/>
                  <w:b w:val="false"/>
                  <w:color w:val="0000FF"/>
                  <w:sz w:val="19"/>
                  <w:u w:val="single"/>
                </w:rPr>
                <w:t>Principal Financial Officer Certification pursuant to Rule 13a-14(a)/15d-14(a)</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31.3</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rvrex313.htm">
              <w:r>
                <w:rPr>
                  <w:rStyle w:val="InternetLink"/>
                  <w:rFonts w:ascii="Arial;sans-serif" w:hAnsi="Arial;sans-serif"/>
                  <w:b w:val="false"/>
                  <w:color w:val="0000FF"/>
                  <w:sz w:val="19"/>
                  <w:u w:val="single"/>
                </w:rPr>
                <w:t>Principal Executive Officer Certification pursuant to Rule 13a-14(a)/15d-14(a)</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31.4</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rvrex314.htm">
              <w:r>
                <w:rPr>
                  <w:rStyle w:val="InternetLink"/>
                  <w:rFonts w:ascii="Arial;sans-serif" w:hAnsi="Arial;sans-serif"/>
                  <w:b w:val="false"/>
                  <w:color w:val="0000FF"/>
                  <w:sz w:val="19"/>
                  <w:u w:val="single"/>
                </w:rPr>
                <w:t>Principal Financial Officer Certification pursuant to Rule 13a-14(a)/15d-14(a)</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32.1†</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Arial;sans-serif" w:hAnsi="Arial;sans-serif"/>
                  <w:b w:val="false"/>
                  <w:color w:val="0000FF"/>
                  <w:sz w:val="19"/>
                  <w:u w:val="single"/>
                </w:rPr>
                <w:t>Principal Executive Officer and Principal Financial Officer Certification pursuant to 18 U.S.C. Section 1350, as adopted pursuant to Section 906 of the Sarbanes-Oxley Act of 2002</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97.1†</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Arial;sans-serif" w:hAnsi="Arial;sans-serif"/>
                  <w:b w:val="false"/>
                  <w:color w:val="0000FF"/>
                  <w:sz w:val="19"/>
                  <w:u w:val="single"/>
                </w:rPr>
                <w:t>James River Group Holdings, Inc. Executive Officer Incentive Compensation Recovery Policy</w:t>
              </w:r>
            </w:hyperlink>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101.INS</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Instance Document</w:t>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101.SCH</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Schema Document</w:t>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101.CAL</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Calculation Linkbase Document</w:t>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101.DEF</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Definition Linkbase Document</w:t>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101.LAB</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Label Linkbase Document</w:t>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101.PRE</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Presentation Linkbase Document</w:t>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104</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Cover Page Interactive Data File - the cover page XBRL tags are embedded within the Inline XBRL document in Exhibit 101.</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 Denotes a management contract or compensatory plan or arrangement.</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xml:space="preserve">† </w:t>
            </w:r>
            <w:r>
              <w:rPr>
                <w:rFonts w:ascii="Arial;sans-serif" w:hAnsi="Arial;sans-serif"/>
                <w:b w:val="false"/>
                <w:color w:val="000000"/>
                <w:sz w:val="19"/>
              </w:rPr>
              <w:t>Previously filed with the Original Form 10-K.</w:t>
            </w:r>
          </w:p>
        </w:tc>
      </w:tr>
    </w:tbl>
    <w:p>
      <w:pPr>
        <w:pStyle w:val="TextBody"/>
        <w:bidi w:val="0"/>
        <w:spacing w:lineRule="auto" w:line="288" w:before="0" w:after="0"/>
        <w:ind w:left="0" w:right="0" w:hanging="360"/>
        <w:jc w:val="left"/>
        <w:rPr>
          <w:rFonts w:ascii="Arial;sans-serif" w:hAnsi="Arial;sans-serif"/>
          <w:b w:val="false"/>
          <w:color w:val="000000"/>
          <w:sz w:val="19"/>
        </w:rPr>
      </w:pPr>
      <w:r>
        <w:rPr>
          <w:rFonts w:ascii="Arial;sans-serif" w:hAnsi="Arial;sans-serif"/>
          <w:b w:val="false"/>
          <w:color w:val="000000"/>
          <w:sz w:val="19"/>
        </w:rPr>
        <w:t>+    Exhibit or Schedules to Exhibit not filed with the Securities and Exchange Commission pursuant to Item 601(b)(4)(iii) and Regulation 601(a)(5) of Regulation S-K. The Company will furnish a copy of the omitted Exhibit or Schedules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180"/>
        <w:jc w:val="center"/>
        <w:rPr>
          <w:rFonts w:ascii="Arial;sans-serif" w:hAnsi="Arial;sans-serif"/>
          <w:b/>
          <w:color w:val="053273"/>
          <w:sz w:val="22"/>
        </w:rPr>
      </w:pPr>
      <w:r>
        <w:rPr>
          <w:rFonts w:ascii="Arial;sans-serif" w:hAnsi="Arial;sans-serif"/>
          <w:b/>
          <w:color w:val="053273"/>
          <w:sz w:val="22"/>
        </w:rPr>
        <w:t>SIGNATURE</w:t>
      </w:r>
    </w:p>
    <w:p>
      <w:pPr>
        <w:pStyle w:val="TextBody"/>
        <w:bidi w:val="0"/>
        <w:spacing w:lineRule="auto" w:line="288" w:before="0" w:after="180"/>
        <w:ind w:left="0" w:right="0" w:firstLine="360"/>
        <w:jc w:val="left"/>
        <w:rPr>
          <w:rFonts w:ascii="Arial;sans-serif" w:hAnsi="Arial;sans-serif"/>
          <w:b w:val="false"/>
          <w:color w:val="000000"/>
          <w:sz w:val="19"/>
        </w:rPr>
      </w:pPr>
      <w:r>
        <w:rPr>
          <w:rFonts w:ascii="Arial;sans-serif" w:hAnsi="Arial;sans-serif"/>
          <w:b w:val="false"/>
          <w:color w:val="000000"/>
          <w:sz w:val="19"/>
        </w:rPr>
        <w:t>Pursuant to the requirements of Section 13 or 15(d) of the Securities Exchange Act of 1934, the registrant has duly caused this report to be signed on its behalf by the undersigned thereunto duly authorized.</w:t>
      </w:r>
    </w:p>
    <w:tbl>
      <w:tblPr>
        <w:tblW w:w="6846" w:type="dxa"/>
        <w:jc w:val="left"/>
        <w:tblInd w:w="0" w:type="dxa"/>
        <w:tblLayout w:type="fixed"/>
        <w:tblCellMar>
          <w:top w:w="28" w:type="dxa"/>
          <w:left w:w="28" w:type="dxa"/>
          <w:bottom w:w="28" w:type="dxa"/>
          <w:right w:w="28" w:type="dxa"/>
        </w:tblCellMar>
      </w:tblPr>
      <w:tblGrid>
        <w:gridCol w:w="280"/>
        <w:gridCol w:w="247"/>
        <w:gridCol w:w="247"/>
        <w:gridCol w:w="247"/>
        <w:gridCol w:w="247"/>
        <w:gridCol w:w="247"/>
        <w:gridCol w:w="1079"/>
        <w:gridCol w:w="1079"/>
        <w:gridCol w:w="1082"/>
        <w:gridCol w:w="247"/>
        <w:gridCol w:w="247"/>
        <w:gridCol w:w="247"/>
        <w:gridCol w:w="396"/>
        <w:gridCol w:w="396"/>
        <w:gridCol w:w="558"/>
      </w:tblGrid>
      <w:tr>
        <w:trPr/>
        <w:tc>
          <w:tcPr>
            <w:tcW w:w="28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6846"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JAMES RIVER GROUP HOLDINGS, INC.</w:t>
            </w:r>
          </w:p>
        </w:tc>
      </w:tr>
      <w:tr>
        <w:trPr/>
        <w:tc>
          <w:tcPr>
            <w:tcW w:w="684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By:</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9"/>
              </w:rPr>
            </w:pPr>
            <w:r>
              <w:rPr>
                <w:rFonts w:ascii="Arial;sans-serif" w:hAnsi="Arial;sans-serif"/>
                <w:b w:val="false"/>
                <w:color w:val="000000"/>
                <w:sz w:val="19"/>
              </w:rPr>
              <w:t>/s/ Frank N. D’Orazio</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April 30, 2026</w:t>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76" w:before="0" w:after="0"/>
              <w:jc w:val="left"/>
              <w:rPr>
                <w:rFonts w:ascii="Arial;sans-serif" w:hAnsi="Arial;sans-serif"/>
                <w:b w:val="false"/>
                <w:color w:val="000000"/>
                <w:sz w:val="19"/>
              </w:rPr>
            </w:pPr>
            <w:r>
              <w:rPr>
                <w:rFonts w:ascii="Arial;sans-serif" w:hAnsi="Arial;sans-serif"/>
                <w:b w:val="false"/>
                <w:color w:val="000000"/>
                <w:sz w:val="19"/>
              </w:rPr>
              <w:t>Frank N. D’Orazio</w:t>
            </w:r>
          </w:p>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Chief Executive Officer and Director</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3"/>
        </w:rPr>
      </w:pPr>
      <w:r>
        <w:rPr>
          <w:rFonts w:ascii="Times New Roman;serif" w:hAnsi="Times New Roman;serif"/>
          <w:b/>
          <w:color w:val="000000"/>
          <w:sz w:val="23"/>
        </w:rPr>
        <w:t>Exhibit 10.20</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1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360"/>
        <w:jc w:val="left"/>
        <w:rPr>
          <w:rFonts w:ascii="Times New Roman;serif" w:hAnsi="Times New Roman;serif"/>
          <w:b w:val="false"/>
          <w:color w:val="000000"/>
          <w:sz w:val="24"/>
        </w:rPr>
      </w:pPr>
      <w:r>
        <w:rPr>
          <w:rFonts w:ascii="Times New Roman;serif" w:hAnsi="Times New Roman;serif"/>
          <w:b w:val="false"/>
          <w:color w:val="000000"/>
          <w:sz w:val="24"/>
        </w:rPr>
        <w:t>April 27,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Mr. Frank D’Orazio</w:t>
        <w:br/>
        <w:t>c/o the address set forth in the Company’s records</w: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First Amendment to the Employment Agreement</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dated as of July 30, 2024</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Dear Frank:</w:t>
      </w:r>
    </w:p>
    <w:p>
      <w:pPr>
        <w:pStyle w:val="TextBody"/>
        <w:bidi w:val="0"/>
        <w:spacing w:lineRule="auto" w:line="288" w:before="240" w:after="283"/>
        <w:ind w:left="0" w:right="0" w:firstLine="720"/>
        <w:jc w:val="both"/>
        <w:rPr/>
      </w:pPr>
      <w:r>
        <w:rPr>
          <w:rFonts w:ascii="Times New Roman;serif" w:hAnsi="Times New Roman;serif"/>
          <w:b w:val="false"/>
          <w:color w:val="000000"/>
          <w:sz w:val="24"/>
        </w:rPr>
        <w:t>This letter (this “</w:t>
      </w:r>
      <w:r>
        <w:rPr>
          <w:rFonts w:ascii="Times New Roman;serif" w:hAnsi="Times New Roman;serif"/>
          <w:b w:val="false"/>
          <w:color w:val="000000"/>
          <w:sz w:val="24"/>
          <w:u w:val="single"/>
        </w:rPr>
        <w:t>Letter</w:t>
      </w:r>
      <w:r>
        <w:rPr>
          <w:color w:val="000000"/>
        </w:rPr>
        <w:t>”</w:t>
      </w:r>
      <w:r>
        <w:rPr>
          <w:rFonts w:ascii="Times New Roman;serif" w:hAnsi="Times New Roman;serif"/>
          <w:b w:val="false"/>
          <w:color w:val="000000"/>
          <w:sz w:val="24"/>
        </w:rPr>
        <w:t>) amends the employment agreement with James River Group Holdings Inc., a Delaware corporation (f/k/a James River Group Holdings, Ltd., a Bermuda exempted company) (“</w:t>
      </w:r>
      <w:r>
        <w:rPr>
          <w:rFonts w:ascii="Times New Roman;serif" w:hAnsi="Times New Roman;serif"/>
          <w:b w:val="false"/>
          <w:color w:val="000000"/>
          <w:sz w:val="24"/>
          <w:u w:val="single"/>
        </w:rPr>
        <w:t>Holdings</w:t>
      </w:r>
      <w:r>
        <w:rPr>
          <w:color w:val="000000"/>
        </w:rPr>
        <w:t>”</w:t>
      </w:r>
      <w:r>
        <w:rPr>
          <w:rFonts w:ascii="Times New Roman;serif" w:hAnsi="Times New Roman;serif"/>
          <w:b w:val="false"/>
          <w:color w:val="000000"/>
          <w:sz w:val="24"/>
        </w:rPr>
        <w:t>), and its subsidiary James River Group,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dated as of July 30, 2024 (the “</w:t>
      </w:r>
      <w:r>
        <w:rPr>
          <w:rFonts w:ascii="Times New Roman;serif" w:hAnsi="Times New Roman;serif"/>
          <w:b w:val="false"/>
          <w:color w:val="000000"/>
          <w:sz w:val="24"/>
          <w:u w:val="single"/>
        </w:rPr>
        <w:t>Employment Agreement</w:t>
      </w:r>
      <w:r>
        <w:rPr>
          <w:color w:val="000000"/>
        </w:rPr>
        <w:t>”</w:t>
      </w:r>
      <w:r>
        <w:rPr>
          <w:rFonts w:ascii="Times New Roman;serif" w:hAnsi="Times New Roman;serif"/>
          <w:b w:val="false"/>
          <w:color w:val="000000"/>
          <w:sz w:val="24"/>
        </w:rPr>
        <w:t>). Capitalized terms used but not defined in this Letter shall have the meanings ascribed to them in the Employment Agreement (as amended herein).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Certain Defined Terms</w:t>
      </w:r>
      <w:r>
        <w:rPr>
          <w:rFonts w:ascii="Times New Roman;serif" w:hAnsi="Times New Roman;serif"/>
          <w:b w:val="false"/>
          <w:color w:val="000000"/>
          <w:sz w:val="24"/>
        </w:rPr>
        <w:t>. Effective as of the date of this Letter, all references to “Holdings” in the Employment Agreement shall be deemed to refer to James River Group Holdings, Inc., a Delaware corporation.</w:t>
      </w:r>
    </w:p>
    <w:p>
      <w:pPr>
        <w:pStyle w:val="TextBody"/>
        <w:bidi w:val="0"/>
        <w:spacing w:lineRule="auto" w:line="288" w:before="120" w:after="12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Short-Term Incentive Plan; Long-Term Incentive Plan</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2(b)</w:t>
      </w:r>
      <w:r>
        <w:rPr>
          <w:color w:val="000000"/>
        </w:rPr>
        <w:t xml:space="preserve"> </w:t>
      </w:r>
      <w:r>
        <w:rPr>
          <w:rFonts w:ascii="Times New Roman;serif" w:hAnsi="Times New Roman;serif"/>
          <w:b w:val="false"/>
          <w:color w:val="000000"/>
          <w:sz w:val="24"/>
        </w:rPr>
        <w:t xml:space="preserve">of the Employment Agreement is amended by deleting the fifth sentence of such </w:t>
      </w:r>
      <w:r>
        <w:rPr>
          <w:rFonts w:ascii="Times New Roman;serif" w:hAnsi="Times New Roman;serif"/>
          <w:b w:val="false"/>
          <w:color w:val="000000"/>
          <w:sz w:val="24"/>
          <w:u w:val="single"/>
        </w:rPr>
        <w:t>Section 2(b)</w:t>
      </w:r>
      <w:r>
        <w:rPr>
          <w:color w:val="000000"/>
        </w:rPr>
        <w:t xml:space="preserve"> </w:t>
      </w:r>
      <w:r>
        <w:rPr>
          <w:rFonts w:ascii="Times New Roman;serif" w:hAnsi="Times New Roman;serif"/>
          <w:b w:val="false"/>
          <w:color w:val="000000"/>
          <w:sz w:val="24"/>
        </w:rPr>
        <w:t xml:space="preserve">in its entirety and replacing it with the following new sentence: </w:t>
      </w:r>
    </w:p>
    <w:p>
      <w:pPr>
        <w:pStyle w:val="TextBody"/>
        <w:bidi w:val="0"/>
        <w:spacing w:lineRule="auto" w:line="288" w:before="120" w:after="120"/>
        <w:jc w:val="both"/>
        <w:rPr>
          <w:color w:val="000000"/>
        </w:rPr>
      </w:pPr>
      <w:r>
        <w:rPr>
          <w:color w:val="000000"/>
        </w:rPr>
        <w:t>“</w:t>
      </w:r>
      <w:r>
        <w:rPr>
          <w:rFonts w:ascii="Times New Roman;serif" w:hAnsi="Times New Roman;serif"/>
          <w:b w:val="false"/>
          <w:color w:val="000000"/>
          <w:sz w:val="24"/>
        </w:rPr>
        <w:t>Commencing as of the 2026 fiscal year, (i) the target STI Plan award for any year shall be 150% of Executive’s base salary, and (ii) the target LTI Plan award for any year shall be 200% of Executive’s base salary, in each case, for such year Executive is employed by the Company.”</w:t>
      </w:r>
    </w:p>
    <w:p>
      <w:pPr>
        <w:pStyle w:val="TextBody"/>
        <w:bidi w:val="0"/>
        <w:spacing w:lineRule="auto" w:line="288" w:before="120" w:after="120"/>
        <w:jc w:val="both"/>
        <w:rPr/>
      </w:pPr>
      <w:r>
        <w:rPr>
          <w:rFonts w:ascii="Times New Roman;serif" w:hAnsi="Times New Roman;serif"/>
          <w:b w:val="false"/>
          <w:color w:val="000000"/>
          <w:sz w:val="24"/>
        </w:rPr>
        <w:t xml:space="preserve">Except as expressly amended pursuant to this paragraph 2, the remainder of </w:t>
      </w:r>
      <w:r>
        <w:rPr>
          <w:rFonts w:ascii="Times New Roman;serif" w:hAnsi="Times New Roman;serif"/>
          <w:b w:val="false"/>
          <w:color w:val="000000"/>
          <w:sz w:val="24"/>
          <w:u w:val="single"/>
        </w:rPr>
        <w:t>Section 2(b)</w:t>
      </w:r>
      <w:r>
        <w:rPr>
          <w:color w:val="000000"/>
        </w:rPr>
        <w:t xml:space="preserve"> </w:t>
      </w:r>
      <w:r>
        <w:rPr>
          <w:rFonts w:ascii="Times New Roman;serif" w:hAnsi="Times New Roman;serif"/>
          <w:b w:val="false"/>
          <w:color w:val="000000"/>
          <w:sz w:val="24"/>
        </w:rPr>
        <w:t>of the Employment Agreement shall remain unmodified in any manner.</w:t>
      </w:r>
    </w:p>
    <w:p>
      <w:pPr>
        <w:pStyle w:val="TextBody"/>
        <w:bidi w:val="0"/>
        <w:spacing w:lineRule="auto" w:line="288" w:before="120" w:after="12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Confidential Information and Privileged Information</w:t>
      </w:r>
      <w:r>
        <w:rPr>
          <w:rFonts w:ascii="Times New Roman;serif" w:hAnsi="Times New Roman;serif"/>
          <w:b w:val="false"/>
          <w:color w:val="000000"/>
          <w:sz w:val="24"/>
        </w:rPr>
        <w:t xml:space="preserve">. The section heading for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 xml:space="preserve">of the Employment Agreement is hereby revised as follows (with added language in </w:t>
      </w:r>
      <w:r>
        <w:rPr>
          <w:rFonts w:ascii="Times New Roman;serif" w:hAnsi="Times New Roman;serif"/>
          <w:b/>
          <w:color w:val="000000"/>
          <w:sz w:val="24"/>
          <w:u w:val="single"/>
        </w:rPr>
        <w:t>bold underline</w:t>
      </w:r>
      <w:r>
        <w:rPr>
          <w:rFonts w:ascii="Times New Roman;serif" w:hAnsi="Times New Roman;serif"/>
          <w:b w:val="false"/>
          <w:color w:val="000000"/>
          <w:sz w:val="24"/>
        </w:rPr>
        <w:t xml:space="preserve">): </w:t>
      </w:r>
    </w:p>
    <w:p>
      <w:pPr>
        <w:pStyle w:val="TextBody"/>
        <w:bidi w:val="0"/>
        <w:spacing w:lineRule="auto" w:line="288" w:before="120" w:after="120"/>
        <w:jc w:val="both"/>
        <w:rPr/>
      </w:pPr>
      <w:r>
        <w:rPr>
          <w:color w:val="000000"/>
        </w:rPr>
        <w:t>“</w:t>
      </w:r>
      <w:r>
        <w:rPr>
          <w:rFonts w:ascii="Times New Roman;serif" w:hAnsi="Times New Roman;serif"/>
          <w:b w:val="false"/>
          <w:color w:val="000000"/>
          <w:sz w:val="24"/>
        </w:rPr>
        <w:t>Confidential Information and Privileged Information</w:t>
      </w:r>
      <w:r>
        <w:rPr>
          <w:rFonts w:ascii="Times New Roman;serif" w:hAnsi="Times New Roman;serif"/>
          <w:b/>
          <w:color w:val="000000"/>
          <w:sz w:val="24"/>
          <w:u w:val="single"/>
        </w:rPr>
        <w:t>; Right to Communicate</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13360"/>
                <wp:effectExtent l="0" t="0" r="0" b="0"/>
                <wp:wrapNone/>
                <wp:docPr id="54" name="Frame53"/>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color w:val="000000"/>
          <w:sz w:val="24"/>
          <w:u w:val="single"/>
        </w:rPr>
        <w:t>Section 4(b)</w:t>
      </w:r>
      <w:r>
        <w:rPr>
          <w:color w:val="000000"/>
        </w:rPr>
        <w:t xml:space="preserve"> </w:t>
      </w:r>
      <w:r>
        <w:rPr>
          <w:rFonts w:ascii="Times New Roman;serif" w:hAnsi="Times New Roman;serif"/>
          <w:b w:val="false"/>
          <w:color w:val="000000"/>
          <w:sz w:val="24"/>
        </w:rPr>
        <w:t xml:space="preserve">of the Employment Agreement is amended as follows (with deleted language </w:t>
      </w:r>
      <w:r>
        <w:rPr>
          <w:rFonts w:ascii="Times New Roman;serif" w:hAnsi="Times New Roman;serif"/>
          <w:b w:val="false"/>
          <w:strike/>
          <w:color w:val="000000"/>
          <w:sz w:val="24"/>
        </w:rPr>
        <w:t>struck through</w:t>
      </w:r>
      <w:r>
        <w:rPr>
          <w:color w:val="000000"/>
        </w:rPr>
        <w:t xml:space="preserve"> </w:t>
      </w:r>
      <w:r>
        <w:rPr>
          <w:rFonts w:ascii="Times New Roman;serif" w:hAnsi="Times New Roman;serif"/>
          <w:b w:val="false"/>
          <w:color w:val="000000"/>
          <w:sz w:val="24"/>
        </w:rPr>
        <w:t xml:space="preserve">and added language in </w:t>
      </w:r>
      <w:r>
        <w:rPr>
          <w:rFonts w:ascii="Times New Roman;serif" w:hAnsi="Times New Roman;serif"/>
          <w:b/>
          <w:color w:val="000000"/>
          <w:sz w:val="24"/>
          <w:u w:val="single"/>
        </w:rPr>
        <w:t>bold underline</w:t>
      </w:r>
      <w:r>
        <w:rPr>
          <w:rFonts w:ascii="Times New Roman;serif" w:hAnsi="Times New Roman;serif"/>
          <w:b w:val="false"/>
          <w:color w:val="000000"/>
          <w:sz w:val="24"/>
        </w:rPr>
        <w:t>):</w:t>
      </w:r>
    </w:p>
    <w:p>
      <w:pPr>
        <w:pStyle w:val="TextBody"/>
        <w:bidi w:val="0"/>
        <w:spacing w:lineRule="auto" w:line="288" w:before="120" w:after="120"/>
        <w:ind w:left="0" w:right="0" w:firstLine="720"/>
        <w:jc w:val="both"/>
        <w:rPr/>
      </w:pPr>
      <w:r>
        <w:rPr>
          <w:rFonts w:ascii="Times New Roman;serif" w:hAnsi="Times New Roman;serif"/>
          <w:b w:val="false"/>
          <w:color w:val="000000"/>
          <w:sz w:val="24"/>
        </w:rPr>
        <w:t>(b) “</w:t>
      </w:r>
      <w:r>
        <w:rPr>
          <w:rFonts w:ascii="Times New Roman;serif" w:hAnsi="Times New Roman;serif"/>
          <w:b/>
          <w:color w:val="000000"/>
          <w:sz w:val="24"/>
          <w:u w:val="single"/>
        </w:rPr>
        <w:t>Notwithstanding any provision of this Agreement to the contrary or any other agreement executed by Executive to the contrary, there shall be no restriction on Executive’s ability to (a) speak with law enforcement, the United States Equal Employment Opportunity Commission, or any state or local agency charged with the investigation or enforcement of equal employment opportunity, or an attorney retained by Executive; (b) report violations of any law or regulation to, or initiate, testify, assist, comply with a subpoena from, or participate in any manner with an investigation conducted by, an appropriate local, state, or federal agency; (c) testify in an administrative, legislative, or judicial proceeding concerning alleged criminal conduct or alleged sexual harassment on the part of the Company Group or any agent or employee of the Company Group, when Executive has been required or requested to attend the proceeding pursuant to a court order, subpoena, or written request from an administrative agency or the legislature, or otherwise provide truthful testimony or information pursuant to subpoena, court order, or similar legal process; (d) otherwise engage in whistleblower activity protected by the Exchange Act, the Dodd Frank Act, or any rules or regulations issued thereunder, including, without limitation, Rule 21F-17; or (e) file or disclose any facts necessary to receive unemployment insurance, Medicaid, or other public benefits to which Executive is entitled.</w:t>
      </w:r>
      <w:r>
        <w:rPr>
          <w:color w:val="000000"/>
        </w:rPr>
        <w:t xml:space="preserve"> </w:t>
      </w:r>
      <w:r>
        <w:rPr>
          <w:rFonts w:ascii="Times New Roman;serif" w:hAnsi="Times New Roman;serif"/>
          <w:b w:val="false"/>
          <w:strike/>
          <w:color w:val="0E0E0E"/>
          <w:sz w:val="24"/>
        </w:rPr>
        <w:t xml:space="preserve">Notwithstanding any provision of this Agreement to the contrary, </w:t>
      </w:r>
      <w:r>
        <w:rPr>
          <w:rFonts w:ascii="Times New Roman;serif" w:hAnsi="Times New Roman;serif"/>
          <w:b/>
          <w:color w:val="000000"/>
          <w:sz w:val="24"/>
          <w:u w:val="single"/>
        </w:rPr>
        <w:t>In addition,</w:t>
      </w:r>
      <w:r>
        <w:rPr>
          <w:color w:val="000000"/>
        </w:rPr>
        <w:t xml:space="preserve"> </w:t>
      </w:r>
      <w:r>
        <w:rPr>
          <w:rFonts w:ascii="Times New Roman;serif" w:hAnsi="Times New Roman;serif"/>
          <w:b w:val="false"/>
          <w:color w:val="000000"/>
          <w:sz w:val="24"/>
        </w:rPr>
        <w:t>under 18 U.S.C. §1833(b), “</w:t>
      </w:r>
      <w:r>
        <w:rPr>
          <w:rFonts w:ascii="Times New Roman;serif" w:hAnsi="Times New Roman;serif"/>
          <w:b/>
          <w:color w:val="000000"/>
          <w:sz w:val="24"/>
          <w:u w:val="single"/>
        </w:rPr>
        <w:t>(1)</w:t>
      </w:r>
      <w:r>
        <w:rPr>
          <w:color w:val="000000"/>
        </w:rPr>
        <w:t xml:space="preserve"> </w:t>
      </w:r>
      <w:r>
        <w:rPr>
          <w:rFonts w:ascii="Times New Roman;serif" w:hAnsi="Times New Roman;serif"/>
          <w:b w:val="false"/>
          <w:color w:val="000000"/>
          <w:sz w:val="24"/>
        </w:rPr>
        <w:t>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r>
        <w:rPr>
          <w:color w:val="000000"/>
          <w:u w:val="single"/>
        </w:rPr>
        <w:t xml:space="preserve"> </w:t>
      </w:r>
      <w:r>
        <w:rPr>
          <w:rFonts w:ascii="Times New Roman;serif" w:hAnsi="Times New Roman;serif"/>
          <w:b/>
          <w:color w:val="000000"/>
          <w:sz w:val="24"/>
          <w:u w:val="single"/>
        </w:rPr>
        <w:t>(2)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r>
        <w:rPr>
          <w:color w:val="000000"/>
        </w:rPr>
        <w:t xml:space="preserve"> </w:t>
      </w:r>
      <w:r>
        <w:rPr>
          <w:rFonts w:ascii="Times New Roman;serif" w:hAnsi="Times New Roman;serif"/>
          <w:b w:val="false"/>
          <w:color w:val="000000"/>
          <w:sz w:val="24"/>
        </w:rPr>
        <w:t>Nothing in this Agreement</w:t>
      </w:r>
      <w:r>
        <w:rPr>
          <w:rFonts w:ascii="Times New Roman;serif" w:hAnsi="Times New Roman;serif"/>
          <w:b/>
          <w:color w:val="000000"/>
          <w:sz w:val="24"/>
        </w:rPr>
        <w:t>,</w:t>
      </w:r>
      <w:r>
        <w:rPr>
          <w:color w:val="000000"/>
          <w:u w:val="single"/>
        </w:rPr>
        <w:t xml:space="preserve"> </w:t>
      </w:r>
      <w:r>
        <w:rPr>
          <w:rFonts w:ascii="Times New Roman;serif" w:hAnsi="Times New Roman;serif"/>
          <w:b/>
          <w:color w:val="000000"/>
          <w:sz w:val="24"/>
          <w:u w:val="single"/>
        </w:rPr>
        <w:t>any other agreement executed by Executive,</w:t>
      </w:r>
      <w:r>
        <w:rPr>
          <w:color w:val="000000"/>
        </w:rPr>
        <w:t xml:space="preserve"> </w:t>
      </w:r>
      <w:r>
        <w:rPr>
          <w:rFonts w:ascii="Times New Roman;serif" w:hAnsi="Times New Roman;serif"/>
          <w:b w:val="false"/>
          <w:color w:val="000000"/>
          <w:sz w:val="24"/>
        </w:rPr>
        <w:t>or any other policy of the Company Group is intended to conflict with this statutory protection, and no director, officer, or member of management has the authority to impose any rule to the contrary. In addition, the confidentiality and non-disparagement prohibitions in this Agreement shall not apply to a sexual assault dispute or sexual harassment dispute arising after the date Executive commenced his employment with the Company Group.</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23545"/>
                <wp:effectExtent l="0" t="0" r="0" b="0"/>
                <wp:wrapNone/>
                <wp:docPr id="55" name="Frame54"/>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60" w:after="283"/>
                        <w:jc w:val="left"/>
                        <w:rPr/>
                      </w:pPr>
                      <w:r>
                        <w:rPr/>
                      </w:r>
                    </w:p>
                  </w:txbxContent>
                </v:textbox>
                <w10:wrap type="none"/>
              </v:rect>
            </w:pict>
          </mc:Fallback>
        </mc:AlternateContent>
      </w:r>
    </w:p>
    <w:p>
      <w:pPr>
        <w:pStyle w:val="TextBody"/>
        <w:bidi w:val="0"/>
        <w:spacing w:lineRule="auto" w:line="288" w:before="120" w:after="12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Compensation and Benefits Upon Termination</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7(d)</w:t>
      </w:r>
      <w:r>
        <w:rPr>
          <w:color w:val="000000"/>
        </w:rPr>
        <w:t xml:space="preserve"> </w:t>
      </w:r>
      <w:r>
        <w:rPr>
          <w:rFonts w:ascii="Times New Roman;serif" w:hAnsi="Times New Roman;serif"/>
          <w:b w:val="false"/>
          <w:color w:val="000000"/>
          <w:sz w:val="24"/>
        </w:rPr>
        <w:t>of the Employment Agreement is amended and restated by replacing it in its entirety with the following:</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4"/>
        </w:rPr>
        <w:t>(d) For purposes of this Agreement, “</w:t>
      </w:r>
      <w:r>
        <w:rPr>
          <w:rFonts w:ascii="Times New Roman;serif" w:hAnsi="Times New Roman;serif"/>
          <w:b w:val="false"/>
          <w:color w:val="000000"/>
          <w:sz w:val="24"/>
          <w:u w:val="single"/>
        </w:rPr>
        <w:t>Termination Date</w:t>
      </w:r>
      <w:r>
        <w:rPr>
          <w:color w:val="000000"/>
        </w:rPr>
        <w:t xml:space="preserve">” </w:t>
      </w:r>
      <w:r>
        <w:rPr>
          <w:rFonts w:ascii="Times New Roman;serif" w:hAnsi="Times New Roman;serif"/>
          <w:b w:val="false"/>
          <w:color w:val="000000"/>
          <w:sz w:val="24"/>
        </w:rPr>
        <w:t>means the date of Executive’s “separation from service” within the meaning of Section 409A of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and the regulations promulgated thereunder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For purposes of this Agreement, “Change in Control” shall have the meaning ascribed to it in the James River Group Holdings, Inc. 2014 Long-Term Incentive Plan, as amended.”</w:t>
      </w:r>
    </w:p>
    <w:p>
      <w:pPr>
        <w:pStyle w:val="TextBody"/>
        <w:bidi w:val="0"/>
        <w:spacing w:lineRule="auto" w:line="288" w:before="120" w:after="12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17(d)</w:t>
      </w:r>
      <w:r>
        <w:rPr>
          <w:color w:val="000000"/>
        </w:rPr>
        <w:t xml:space="preserve"> </w:t>
      </w:r>
      <w:r>
        <w:rPr>
          <w:rFonts w:ascii="Times New Roman;serif" w:hAnsi="Times New Roman;serif"/>
          <w:b w:val="false"/>
          <w:color w:val="000000"/>
          <w:sz w:val="24"/>
        </w:rPr>
        <w:t xml:space="preserve">of the Employment Agreement is amended as follows (with added language in </w:t>
      </w:r>
      <w:r>
        <w:rPr>
          <w:rFonts w:ascii="Times New Roman;serif" w:hAnsi="Times New Roman;serif"/>
          <w:b/>
          <w:color w:val="000000"/>
          <w:sz w:val="24"/>
          <w:u w:val="single"/>
        </w:rPr>
        <w:t>bold underline</w:t>
      </w:r>
      <w:r>
        <w:rPr>
          <w:rFonts w:ascii="Times New Roman;serif" w:hAnsi="Times New Roman;serif"/>
          <w:b w:val="false"/>
          <w:color w:val="000000"/>
          <w:sz w:val="24"/>
        </w:rPr>
        <w: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4"/>
        </w:rPr>
        <w:t xml:space="preserve">(d) </w:t>
      </w:r>
      <w:r>
        <w:rPr>
          <w:rFonts w:ascii="Times New Roman;serif" w:hAnsi="Times New Roman;serif"/>
          <w:b w:val="false"/>
          <w:color w:val="0E0E0E"/>
          <w:sz w:val="24"/>
          <w:u w:val="single"/>
        </w:rPr>
        <w:t>Waiver of Jury Trial</w:t>
      </w:r>
      <w:r>
        <w:rPr>
          <w:rFonts w:ascii="Times New Roman;serif" w:hAnsi="Times New Roman;serif"/>
          <w:b w:val="false"/>
          <w:color w:val="0E0E0E"/>
          <w:sz w:val="24"/>
        </w:rPr>
        <w:t>. IN THE EVENT OF ANY LITIGATION WITH RESPECT TO ANY MATTER CONNECTED WITH THIS AGREEMENT OR THE AGREEMENTS</w:t>
      </w:r>
      <w:r>
        <w:rPr>
          <w:color w:val="0E0E0E"/>
        </w:rPr>
        <w:t xml:space="preserve"> </w:t>
      </w:r>
      <w:r>
        <w:rPr>
          <w:rFonts w:ascii="Times New Roman;serif" w:hAnsi="Times New Roman;serif"/>
          <w:b w:val="false"/>
          <w:color w:val="0E0E0E"/>
          <w:sz w:val="24"/>
        </w:rPr>
        <w:t>OR TRANSACTIONS CONTEMPLATED HEREUNDER ALL OF THE PARTIES HERETO WAIVE ALL RIGHTS TO A TRIAL BY JURY</w:t>
      </w:r>
      <w:r>
        <w:rPr>
          <w:rFonts w:ascii="Times New Roman;serif" w:hAnsi="Times New Roman;serif"/>
          <w:b/>
          <w:color w:val="000000"/>
          <w:sz w:val="24"/>
          <w:u w:val="single"/>
        </w:rPr>
        <w:t>, UNLESS APPLICABLE LAW PROHIBITS SUCH WAIVER</w:t>
      </w:r>
      <w:r>
        <w:rPr>
          <w:rFonts w:ascii="Times New Roman;serif" w:hAnsi="Times New Roman;serif"/>
          <w:b w:val="false"/>
          <w:color w:val="000000"/>
          <w:sz w:val="24"/>
        </w:rPr>
        <w:t>.”</w:t>
      </w:r>
    </w:p>
    <w:p>
      <w:pPr>
        <w:pStyle w:val="TextBody"/>
        <w:bidi w:val="0"/>
        <w:spacing w:lineRule="auto" w:line="288" w:before="120" w:after="12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Third-Party Beneficiaries</w:t>
      </w:r>
      <w:r>
        <w:rPr>
          <w:rFonts w:ascii="Times New Roman;serif" w:hAnsi="Times New Roman;serif"/>
          <w:b w:val="false"/>
          <w:color w:val="000000"/>
          <w:sz w:val="24"/>
        </w:rPr>
        <w:t xml:space="preserve">. A new </w:t>
      </w:r>
      <w:r>
        <w:rPr>
          <w:rFonts w:ascii="Times New Roman;serif" w:hAnsi="Times New Roman;serif"/>
          <w:b w:val="false"/>
          <w:color w:val="000000"/>
          <w:sz w:val="24"/>
          <w:u w:val="single"/>
        </w:rPr>
        <w:t>Section 20</w:t>
      </w:r>
      <w:r>
        <w:rPr>
          <w:color w:val="000000"/>
        </w:rPr>
        <w:t xml:space="preserve"> </w:t>
      </w:r>
      <w:r>
        <w:rPr>
          <w:rFonts w:ascii="Times New Roman;serif" w:hAnsi="Times New Roman;serif"/>
          <w:b w:val="false"/>
          <w:color w:val="000000"/>
          <w:sz w:val="24"/>
        </w:rPr>
        <w:t>of the Employment Agreement is hereby added as follows:</w:t>
      </w:r>
    </w:p>
    <w:p>
      <w:pPr>
        <w:pStyle w:val="TextBody"/>
        <w:bidi w:val="0"/>
        <w:spacing w:lineRule="auto" w:line="288" w:before="120" w:after="120"/>
        <w:ind w:left="0" w:right="0" w:hanging="576"/>
        <w:jc w:val="both"/>
        <w:rPr/>
      </w:pPr>
      <w:r>
        <w:rPr>
          <w:color w:val="000000"/>
        </w:rPr>
        <w:t>“</w:t>
      </w:r>
      <w:r>
        <w:rPr>
          <w:rFonts w:ascii="Times New Roman;serif" w:hAnsi="Times New Roman;serif"/>
          <w:b w:val="false"/>
          <w:color w:val="000000"/>
          <w:sz w:val="24"/>
        </w:rPr>
        <w:t xml:space="preserve">20. </w:t>
      </w:r>
      <w:r>
        <w:rPr>
          <w:rFonts w:ascii="Times New Roman;serif" w:hAnsi="Times New Roman;serif"/>
          <w:b w:val="false"/>
          <w:color w:val="000000"/>
          <w:sz w:val="24"/>
          <w:u w:val="single"/>
        </w:rPr>
        <w:t>Third-Party Beneficiaries</w:t>
      </w:r>
      <w:r>
        <w:rPr>
          <w:rFonts w:ascii="Times New Roman;serif" w:hAnsi="Times New Roman;serif"/>
          <w:b w:val="false"/>
          <w:color w:val="000000"/>
          <w:sz w:val="24"/>
        </w:rPr>
        <w:t>. Holdings and each of its Affiliates is a third-party beneficiary of this Agreement with respect to its Confidential Information and other business interests, and Holdings has the full right and power to enforce and protect its rights and interests under this Agreement without limitation or other restriction.”</w:t>
      </w:r>
    </w:p>
    <w:p>
      <w:pPr>
        <w:pStyle w:val="TextBody"/>
        <w:bidi w:val="0"/>
        <w:spacing w:lineRule="auto" w:line="288" w:before="120" w:after="12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Waiver</w:t>
      </w:r>
      <w:r>
        <w:rPr>
          <w:rFonts w:ascii="Times New Roman;serif" w:hAnsi="Times New Roman;serif"/>
          <w:b w:val="false"/>
          <w:color w:val="000000"/>
          <w:sz w:val="24"/>
        </w:rPr>
        <w:t xml:space="preserve">. A new </w:t>
      </w:r>
      <w:r>
        <w:rPr>
          <w:rFonts w:ascii="Times New Roman;serif" w:hAnsi="Times New Roman;serif"/>
          <w:b w:val="false"/>
          <w:color w:val="000000"/>
          <w:sz w:val="24"/>
          <w:u w:val="single"/>
        </w:rPr>
        <w:t>Section 21</w:t>
      </w:r>
      <w:r>
        <w:rPr>
          <w:color w:val="000000"/>
        </w:rPr>
        <w:t xml:space="preserve"> </w:t>
      </w:r>
      <w:r>
        <w:rPr>
          <w:rFonts w:ascii="Times New Roman;serif" w:hAnsi="Times New Roman;serif"/>
          <w:b w:val="false"/>
          <w:color w:val="000000"/>
          <w:sz w:val="24"/>
        </w:rPr>
        <w:t>of the Employment Agreement is hereby added as follows:</w:t>
      </w:r>
    </w:p>
    <w:p>
      <w:pPr>
        <w:pStyle w:val="TextBody"/>
        <w:bidi w:val="0"/>
        <w:spacing w:lineRule="auto" w:line="288" w:before="120" w:after="120"/>
        <w:ind w:left="0" w:right="0" w:hanging="504"/>
        <w:jc w:val="both"/>
        <w:rPr/>
      </w:pPr>
      <w:r>
        <w:rPr>
          <w:color w:val="000000"/>
        </w:rPr>
        <w:t>“</w:t>
      </w:r>
      <w:r>
        <w:rPr>
          <w:rFonts w:ascii="Times New Roman;serif" w:hAnsi="Times New Roman;serif"/>
          <w:b w:val="false"/>
          <w:color w:val="000000"/>
          <w:sz w:val="24"/>
        </w:rPr>
        <w:t xml:space="preserve">21. </w:t>
      </w:r>
      <w:r>
        <w:rPr>
          <w:rFonts w:ascii="Times New Roman;serif" w:hAnsi="Times New Roman;serif"/>
          <w:b w:val="false"/>
          <w:color w:val="000000"/>
          <w:sz w:val="24"/>
          <w:u w:val="single"/>
        </w:rPr>
        <w:t>Waiver</w:t>
      </w:r>
      <w:r>
        <w:rPr>
          <w:rFonts w:ascii="Times New Roman;serif" w:hAnsi="Times New Roman;serif"/>
          <w:b w:val="false"/>
          <w:color w:val="000000"/>
          <w:sz w:val="24"/>
        </w:rPr>
        <w:t>. Except as expressly provided herein, no delay or failure of either party to exercise any right under this Agreement, and no partial or single exercise of any right, shall constitute a waiver of that or any other right unless expressly so provided in writing, and no such waiver shall operate or be construed as the waiver of the same or of another breach on a prior or subsequent occasion.”</w:t>
      </w:r>
    </w:p>
    <w:p>
      <w:pPr>
        <w:pStyle w:val="TextBody"/>
        <w:bidi w:val="0"/>
        <w:spacing w:lineRule="auto" w:line="288" w:before="120" w:after="12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No Other Modifications</w:t>
      </w:r>
      <w:r>
        <w:rPr>
          <w:rFonts w:ascii="Times New Roman;serif" w:hAnsi="Times New Roman;serif"/>
          <w:b w:val="false"/>
          <w:color w:val="000000"/>
          <w:sz w:val="24"/>
        </w:rPr>
        <w:t xml:space="preserve">. Pursuant to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 xml:space="preserve">of the Employment Agreement (“Entire Agreement; Amendments; Counterparts”), the Employment Agreement is hereby deemed to be amended, </w:t>
      </w:r>
      <w:r>
        <w:rPr>
          <w:rFonts w:ascii="Times New Roman;serif" w:hAnsi="Times New Roman;serif"/>
          <w:b w:val="false"/>
          <w:i/>
          <w:color w:val="000000"/>
          <w:sz w:val="24"/>
        </w:rPr>
        <w:t>mutatis mutandis</w:t>
      </w:r>
      <w:r>
        <w:rPr>
          <w:rFonts w:ascii="Times New Roman;serif" w:hAnsi="Times New Roman;serif"/>
          <w:b w:val="false"/>
          <w:color w:val="000000"/>
          <w:sz w:val="24"/>
        </w:rPr>
        <w:t>, to effect the intent set forth in paragraphs 1 through 7 above, and other than as set forth above, the remaining provisions of your Employment Agreement shall continue in full force and effect without any amendment or modification thereto.</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 * * * * * * * * *</w:t>
      </w:r>
    </w:p>
    <w:p>
      <w:pPr>
        <w:pStyle w:val="TextBody"/>
        <w:bidi w:val="0"/>
        <w:spacing w:before="0" w:after="0"/>
        <w:jc w:val="center"/>
        <w:rPr/>
      </w:pPr>
      <w:r>
        <w:rPr/>
      </w:r>
    </w:p>
    <w:p>
      <w:pPr>
        <w:pStyle w:val="TextBody"/>
        <w:bidi w:val="0"/>
        <w:spacing w:lineRule="auto" w:line="288" w:before="0" w:after="12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23545"/>
                <wp:effectExtent l="0" t="0" r="0" b="0"/>
                <wp:wrapNone/>
                <wp:docPr id="56" name="Frame55"/>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60" w:after="283"/>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804"/>
        <w:gridCol w:w="648"/>
        <w:gridCol w:w="648"/>
        <w:gridCol w:w="648"/>
        <w:gridCol w:w="648"/>
        <w:gridCol w:w="648"/>
        <w:gridCol w:w="701"/>
        <w:gridCol w:w="648"/>
        <w:gridCol w:w="648"/>
        <w:gridCol w:w="648"/>
        <w:gridCol w:w="648"/>
        <w:gridCol w:w="648"/>
        <w:gridCol w:w="648"/>
        <w:gridCol w:w="648"/>
        <w:gridCol w:w="924"/>
      </w:tblGrid>
      <w:tr>
        <w:trPr/>
        <w:tc>
          <w:tcPr>
            <w:tcW w:w="80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Kindly indicate your acceptance of this Letter by signing and returning a copy of this Letter to us at your earliest convenience.</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Very truly yours,</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James River Group Holdings, Inc.</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Christine LaSala</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Christine LaSala</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c>
          <w:tcPr>
            <w:tcW w:w="61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Director, Non-Executive Chairperson of the Board of Directors</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James River Group, Inc.</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Sarah C. Doran</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Sarah C. Doran</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SVP, Chief Financial Officer</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ACCEPTED AND AGREED</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Frank D’Orazio</w:t>
            </w:r>
          </w:p>
        </w:tc>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Frank D’Orazio</w:t>
            </w:r>
          </w:p>
        </w:tc>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Dated: April 27,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2"/>
        <w:jc w:val="right"/>
        <w:rPr>
          <w:rFonts w:ascii="Times New Roman;serif" w:hAnsi="Times New Roman;serif"/>
          <w:b/>
          <w:color w:val="000000"/>
          <w:sz w:val="24"/>
        </w:rPr>
      </w:pPr>
      <w:r>
        <w:rPr>
          <w:rFonts w:ascii="Times New Roman;serif" w:hAnsi="Times New Roman;serif"/>
          <w:b/>
          <w:color w:val="000000"/>
          <w:sz w:val="24"/>
        </w:rPr>
        <w:t>Exhibit 10.38</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6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4"/>
                              </w:rPr>
                              <w:t>Signature Page to First Amendment to Employment Agreement</w:t>
                            </w:r>
                            <w:r>
                              <w:rPr>
                                <w:rFonts w:ascii="Times New Roman;serif" w:hAnsi="Times New Roman;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6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4"/>
                        </w:rPr>
                        <w:t>Signature Page to First Amendment to Employment Agreement</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James River Group Holdings, Ltd.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Wellesley House, 2nd Floor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90 Pitts Bay Road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Pembroke HM 08 Bermuda</w:t>
      </w:r>
    </w:p>
    <w:p>
      <w:pPr>
        <w:pStyle w:val="TextBody"/>
        <w:bidi w:val="0"/>
        <w:spacing w:lineRule="auto" w:line="288" w:before="120" w:after="240"/>
        <w:jc w:val="right"/>
        <w:rPr>
          <w:rFonts w:ascii="Times New Roman;serif" w:hAnsi="Times New Roman;serif"/>
          <w:b w:val="false"/>
          <w:color w:val="000000"/>
          <w:sz w:val="24"/>
        </w:rPr>
      </w:pPr>
      <w:r>
        <w:rPr>
          <w:rFonts w:ascii="Times New Roman;serif" w:hAnsi="Times New Roman;serif"/>
          <w:b w:val="false"/>
          <w:color w:val="000000"/>
          <w:sz w:val="24"/>
        </w:rPr>
        <w:t>December 4, 2023</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Ms. Jeanette L. Miller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Dear Jeanette:</w:t>
      </w:r>
    </w:p>
    <w:p>
      <w:pPr>
        <w:pStyle w:val="TextBody"/>
        <w:bidi w:val="0"/>
        <w:spacing w:lineRule="auto" w:line="288" w:before="0" w:after="240"/>
        <w:jc w:val="both"/>
        <w:rPr/>
      </w:pPr>
      <w:r>
        <w:rPr>
          <w:rFonts w:ascii="Times New Roman;serif" w:hAnsi="Times New Roman;serif"/>
          <w:b w:val="false"/>
          <w:color w:val="000000"/>
          <w:sz w:val="24"/>
        </w:rPr>
        <w:t>The purpose of this letter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to confirm our agreement to amend and restate as of the Effective Date (as hereinafter defined) that certain letter agreement dated December 1, 2022 (the “</w:t>
      </w:r>
      <w:r>
        <w:rPr>
          <w:rFonts w:ascii="Times New Roman;serif" w:hAnsi="Times New Roman;serif"/>
          <w:b w:val="false"/>
          <w:color w:val="000000"/>
          <w:sz w:val="24"/>
          <w:u w:val="single"/>
        </w:rPr>
        <w:t>Original Employment Agreement</w:t>
      </w:r>
      <w:r>
        <w:rPr>
          <w:color w:val="000000"/>
        </w:rPr>
        <w:t>”</w:t>
      </w:r>
      <w:r>
        <w:rPr>
          <w:rFonts w:ascii="Times New Roman;serif" w:hAnsi="Times New Roman;serif"/>
          <w:b w:val="false"/>
          <w:color w:val="000000"/>
          <w:sz w:val="24"/>
        </w:rPr>
        <w:t>) with respect to the terms of your employment as Senior Vice President, Chief Legal Officer of James River Group Holdings, Ltd. (the “</w:t>
      </w:r>
      <w:r>
        <w:rPr>
          <w:rFonts w:ascii="Times New Roman;serif" w:hAnsi="Times New Roman;serif"/>
          <w:b w:val="false"/>
          <w:color w:val="000000"/>
          <w:sz w:val="24"/>
          <w:u w:val="single"/>
        </w:rPr>
        <w:t>Parent Company</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Holdings</w:t>
      </w:r>
      <w:r>
        <w:rPr>
          <w:color w:val="000000"/>
        </w:rPr>
        <w:t>”</w:t>
      </w:r>
      <w:r>
        <w:rPr>
          <w:rFonts w:ascii="Times New Roman;serif" w:hAnsi="Times New Roman;serif"/>
          <w:b w:val="false"/>
          <w:color w:val="000000"/>
          <w:sz w:val="24"/>
        </w:rPr>
        <w:t>) and of its subsidiary James River Group,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In consideration of the mutual promises contained in this Agreement, the parties to this Agreement hereby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EMPLOYMENT AND TERM.</w:t>
      </w:r>
      <w:r>
        <w:rPr>
          <w:color w:val="000000"/>
        </w:rPr>
        <w:t xml:space="preserve"> </w:t>
      </w:r>
      <w:r>
        <w:rPr>
          <w:rFonts w:ascii="Times New Roman;serif" w:hAnsi="Times New Roman;serif"/>
          <w:b w:val="false"/>
          <w:color w:val="000000"/>
          <w:sz w:val="24"/>
        </w:rPr>
        <w:t>Effective as of December 4, 2023, (the “</w:t>
      </w:r>
      <w:r>
        <w:rPr>
          <w:rFonts w:ascii="Times New Roman;serif" w:hAnsi="Times New Roman;serif"/>
          <w:b w:val="false"/>
          <w:color w:val="000000"/>
          <w:sz w:val="24"/>
          <w:u w:val="single"/>
        </w:rPr>
        <w:t>Effective</w:t>
      </w:r>
      <w:r>
        <w:rPr>
          <w:color w:val="000000"/>
        </w:rPr>
        <w:t xml:space="preserve"> </w:t>
      </w:r>
      <w:r>
        <w:rPr>
          <w:rFonts w:ascii="Times New Roman;serif" w:hAnsi="Times New Roman;serif"/>
          <w:b w:val="false"/>
          <w:color w:val="000000"/>
          <w:sz w:val="24"/>
          <w:u w:val="single"/>
        </w:rPr>
        <w:t>Date</w:t>
      </w:r>
      <w:r>
        <w:rPr>
          <w:color w:val="000000"/>
        </w:rPr>
        <w:t>”</w:t>
      </w:r>
      <w:r>
        <w:rPr>
          <w:rFonts w:ascii="Times New Roman;serif" w:hAnsi="Times New Roman;serif"/>
          <w:b w:val="false"/>
          <w:color w:val="000000"/>
          <w:sz w:val="24"/>
        </w:rPr>
        <w:t xml:space="preserve">), the Parent Company and the Company agree to continue to employ you (the </w:t>
      </w:r>
      <w:r>
        <w:rPr>
          <w:color w:val="000000"/>
          <w:u w:val="single"/>
        </w:rPr>
        <w:t>“</w:t>
      </w:r>
      <w:r>
        <w:rPr>
          <w:rFonts w:ascii="Times New Roman;serif" w:hAnsi="Times New Roman;serif"/>
          <w:b w:val="false"/>
          <w:color w:val="000000"/>
          <w:sz w:val="24"/>
          <w:u w:val="single"/>
        </w:rPr>
        <w:t>Executiv</w:t>
      </w:r>
      <w:r>
        <w:rPr>
          <w:rFonts w:ascii="Times New Roman;serif" w:hAnsi="Times New Roman;serif"/>
          <w:b w:val="false"/>
          <w:color w:val="000000"/>
          <w:sz w:val="24"/>
        </w:rPr>
        <w:t>e”) as its Senior Vice President, Chief Legal Officer of the Parent Company and Senior Vice President, Chief Legal Officer of the Company, and Executive hereby accepts such continued employment on the terms hereinafter set forth. The initial term of this Agreement shall commence as of the Effective Date and end on June 7, 2024, subject to the termination provisions of Section 6. The term of this Agreement shall thereafter be automatically renewed for additional one-year periods unless written notice to the contrary shall be given by either party to the other not less than sixty (60) days prior to the end of the initial or any renewal term that the term shall not thereafter be renewed (“</w:t>
      </w:r>
      <w:r>
        <w:rPr>
          <w:rFonts w:ascii="Times New Roman;serif" w:hAnsi="Times New Roman;serif"/>
          <w:b w:val="false"/>
          <w:color w:val="000000"/>
          <w:sz w:val="24"/>
          <w:u w:val="single"/>
        </w:rPr>
        <w:t>Non-Renewal Notice</w:t>
      </w:r>
      <w:r>
        <w:rPr>
          <w:color w:val="000000"/>
        </w:rPr>
        <w:t>”</w:t>
      </w:r>
      <w:r>
        <w:rPr>
          <w:rFonts w:ascii="Times New Roman;serif" w:hAnsi="Times New Roman;serif"/>
          <w:b w:val="false"/>
          <w:color w:val="000000"/>
          <w:sz w:val="24"/>
        </w:rPr>
        <w:t>), subject to the termination provisions of Section 6. The initial term plus any renewals thereof shall hereafter be referred to as the “</w:t>
      </w:r>
      <w:r>
        <w:rPr>
          <w:rFonts w:ascii="Times New Roman;serif" w:hAnsi="Times New Roman;serif"/>
          <w:b w:val="false"/>
          <w:color w:val="000000"/>
          <w:sz w:val="24"/>
          <w:u w:val="single"/>
        </w:rPr>
        <w:t>Term</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COMPENSATION.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Salary</w:t>
      </w:r>
      <w:r>
        <w:rPr>
          <w:rFonts w:ascii="Times New Roman;serif" w:hAnsi="Times New Roman;serif"/>
          <w:b w:val="false"/>
          <w:color w:val="000000"/>
          <w:sz w:val="24"/>
        </w:rPr>
        <w:t>. Commencing March 1, 2023, Executive has been paid a base salary of two hundred ninety-four thousand five hundred eighty dollars ($294,580) per year. Effective December 4, 2023, Executive shall be paid a base salary of not less than three hundred sixty thousand dollars ($360,000) payable in periodic installments by the Company in accordance with its normal payroll practices.</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Short-Term Incentive Plan; Long-Term Incentive Plan</w:t>
      </w:r>
      <w:r>
        <w:rPr>
          <w:rFonts w:ascii="Times New Roman;serif" w:hAnsi="Times New Roman;serif"/>
          <w:b w:val="false"/>
          <w:color w:val="000000"/>
          <w:sz w:val="24"/>
        </w:rPr>
        <w:t>. For each fiscal year of the Company during the Term in which Executive is employed by the Company, Executive shall be eligible to participate in any short-term incentive plan (“</w:t>
      </w:r>
      <w:r>
        <w:rPr>
          <w:rFonts w:ascii="Times New Roman;serif" w:hAnsi="Times New Roman;serif"/>
          <w:b w:val="false"/>
          <w:color w:val="000000"/>
          <w:sz w:val="24"/>
          <w:u w:val="single"/>
        </w:rPr>
        <w:t>STIP</w:t>
      </w:r>
      <w:r>
        <w:rPr>
          <w:color w:val="000000"/>
        </w:rPr>
        <w:t>”</w:t>
      </w:r>
      <w:r>
        <w:rPr>
          <w:rFonts w:ascii="Times New Roman;serif" w:hAnsi="Times New Roman;serif"/>
          <w:b w:val="false"/>
          <w:color w:val="000000"/>
          <w:sz w:val="24"/>
        </w:rPr>
        <w:t>) as the Board of Directors of the Parent Company (the “</w:t>
      </w:r>
      <w:r>
        <w:rPr>
          <w:rFonts w:ascii="Times New Roman;serif" w:hAnsi="Times New Roman;serif"/>
          <w:b w:val="false"/>
          <w:color w:val="000000"/>
          <w:sz w:val="24"/>
          <w:u w:val="single"/>
        </w:rPr>
        <w:t>Parent Board</w:t>
      </w:r>
      <w:r>
        <w:rPr>
          <w:color w:val="000000"/>
        </w:rPr>
        <w:t>”</w:t>
      </w:r>
      <w:r>
        <w:rPr>
          <w:rFonts w:ascii="Times New Roman;serif" w:hAnsi="Times New Roman;serif"/>
          <w:b w:val="false"/>
          <w:color w:val="000000"/>
          <w:sz w:val="24"/>
        </w:rPr>
        <w:t>), in its discretion, may adopt from time to time. Any award payable under the STIP shall be paid on a date determined in accordance with the terms of the STIP. In addition, for each fiscal year of the Company during the Term in which Executive is employed by the Company, Executive shall be eligible to participate in any long-term incentive plan (“</w:t>
      </w:r>
      <w:r>
        <w:rPr>
          <w:rFonts w:ascii="Times New Roman;serif" w:hAnsi="Times New Roman;serif"/>
          <w:b w:val="false"/>
          <w:color w:val="000000"/>
          <w:sz w:val="24"/>
          <w:u w:val="single"/>
        </w:rPr>
        <w:t>LTIP</w:t>
      </w:r>
      <w:r>
        <w:rPr>
          <w:color w:val="000000"/>
        </w:rPr>
        <w:t>”</w:t>
      </w:r>
      <w:r>
        <w:rPr>
          <w:rFonts w:ascii="Times New Roman;serif" w:hAnsi="Times New Roman;serif"/>
          <w:b w:val="false"/>
          <w:color w:val="000000"/>
          <w:sz w:val="24"/>
        </w:rPr>
        <w:t>) of the Company Group (as defined below) as adopted by the Parent Board from time to time. Options to acquire common shares (the “</w:t>
      </w:r>
      <w:r>
        <w:rPr>
          <w:rFonts w:ascii="Times New Roman;serif" w:hAnsi="Times New Roman;serif"/>
          <w:b w:val="false"/>
          <w:color w:val="000000"/>
          <w:sz w:val="24"/>
          <w:u w:val="single"/>
        </w:rPr>
        <w:t>Shares</w:t>
      </w:r>
      <w:r>
        <w:rPr>
          <w:color w:val="000000"/>
        </w:rPr>
        <w:t>”</w:t>
      </w:r>
      <w:r>
        <w:rPr>
          <w:rFonts w:ascii="Times New Roman;serif" w:hAnsi="Times New Roman;serif"/>
          <w:b w:val="false"/>
          <w:color w:val="000000"/>
          <w:sz w:val="24"/>
        </w:rPr>
        <w:t>) of the Parent Company (“</w:t>
      </w:r>
      <w:r>
        <w:rPr>
          <w:rFonts w:ascii="Times New Roman;serif" w:hAnsi="Times New Roman;serif"/>
          <w:b w:val="false"/>
          <w:color w:val="000000"/>
          <w:sz w:val="24"/>
          <w:u w:val="single"/>
        </w:rPr>
        <w:t>Options</w:t>
      </w:r>
      <w:r>
        <w:rPr>
          <w:color w:val="000000"/>
        </w:rPr>
        <w:t>”</w:t>
      </w:r>
      <w:r>
        <w:rPr>
          <w:rFonts w:ascii="Times New Roman;serif" w:hAnsi="Times New Roman;serif"/>
          <w:b w:val="false"/>
          <w:color w:val="000000"/>
          <w:sz w:val="24"/>
        </w:rPr>
        <w:t>) granted pursuant to the LTIP will be valued using a Black Scholes valuation model, and restricted stock units (“</w:t>
      </w:r>
      <w:r>
        <w:rPr>
          <w:rFonts w:ascii="Times New Roman;serif" w:hAnsi="Times New Roman;serif"/>
          <w:b w:val="false"/>
          <w:color w:val="000000"/>
          <w:sz w:val="24"/>
          <w:u w:val="single"/>
        </w:rPr>
        <w:t>RSUs</w:t>
      </w:r>
      <w:r>
        <w:rPr>
          <w:color w:val="000000"/>
        </w:rPr>
        <w:t>”</w:t>
      </w:r>
      <w:r>
        <w:rPr>
          <w:rFonts w:ascii="Times New Roman;serif" w:hAnsi="Times New Roman;serif"/>
          <w:b w:val="false"/>
          <w:color w:val="000000"/>
          <w:sz w:val="24"/>
        </w:rPr>
        <w:t>) of the Parent Company will be valued based upon the closing price of the Company’s publicly traded common shares on the day of the grant. The target STIP and LTIP award for any year shall each be 75% of Executive’s base salary for such year Executive is employed by the Company. Awards under the LTIP shall be subject to the vesting provisions under the LTIP.</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Vacation, Benefits.</w:t>
      </w:r>
      <w:r>
        <w:rPr>
          <w:color w:val="000000"/>
        </w:rPr>
        <w:t xml:space="preserve"> </w:t>
      </w:r>
      <w:r>
        <w:rPr>
          <w:rFonts w:ascii="Times New Roman;serif" w:hAnsi="Times New Roman;serif"/>
          <w:b w:val="false"/>
          <w:color w:val="000000"/>
          <w:sz w:val="24"/>
        </w:rPr>
        <w:t>During the Term Executive shall also be entitled to participate in all Company employee benefit plans, and to other fringe benefits generally available to executive employees of the Company Group or generally available to the Company’s United States-based executive employees at the Company’s expense, including:</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(i)a total of 28 days of paid vacation days per annum (not subject to carry over to subsequent years), which will be pro-rated for the first and last year of the Term;</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(ii)business expense reimbursement for all reasonable business expenses upon the presentation of reasonably itemized statements of such expenses in accordance with the Company’s policies and procedures. The amount of expenses eligible for reimbursement during any tax year of Executive shall not affect the expenses eligible for reimbursement in any other tax year. The right to reimbursement provided in this Agreement is not subject to liquidation or exchange for another benefit. In no event shall the reimbursement of an eligible expense occur later than the earlier of (i) six (6) months from the date of incurrence and (ii) the end of the calendar year following the calendar year in which such expense was incurred.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Clawback.</w:t>
      </w:r>
      <w:r>
        <w:rPr>
          <w:color w:val="000000"/>
        </w:rPr>
        <w:t xml:space="preserve"> </w:t>
      </w:r>
      <w:r>
        <w:rPr>
          <w:rFonts w:ascii="Times New Roman;serif" w:hAnsi="Times New Roman;serif"/>
          <w:b w:val="false"/>
          <w:color w:val="000000"/>
          <w:sz w:val="24"/>
        </w:rPr>
        <w:t xml:space="preserve">Executive acknowledges that to the extent required by applicable </w:t>
      </w:r>
      <w:r>
        <w:rPr>
          <w:rFonts w:ascii="Times New Roman;serif" w:hAnsi="Times New Roman;serif"/>
          <w:b w:val="false"/>
          <w:color w:val="1B1B1B"/>
          <w:sz w:val="24"/>
        </w:rPr>
        <w:t>law or written company policy adopted by the Parent Board to implement the requirements of such law (including without limitation Section 304 of the Sarbanes Oxley Act, Section 954 of the Dodd Frank Act, Rule 10D-1 of the Securities Exchange Act of 1934, as amended (the “</w:t>
      </w:r>
      <w:r>
        <w:rPr>
          <w:rFonts w:ascii="Times New Roman;serif" w:hAnsi="Times New Roman;serif"/>
          <w:b w:val="false"/>
          <w:color w:val="1B1B1B"/>
          <w:sz w:val="24"/>
          <w:u w:val="single"/>
        </w:rPr>
        <w:t>Exchange Act</w:t>
      </w:r>
      <w:r>
        <w:rPr>
          <w:color w:val="1B1B1B"/>
        </w:rPr>
        <w:t>”</w:t>
      </w:r>
      <w:r>
        <w:rPr>
          <w:rFonts w:ascii="Times New Roman;serif" w:hAnsi="Times New Roman;serif"/>
          <w:b w:val="false"/>
          <w:color w:val="1B1B1B"/>
          <w:sz w:val="24"/>
        </w:rPr>
        <w:t>), and listing rules of the Nasdaq Global Select Market adopted thereunder), any bonus and other compensation shall be subject to any clawback, recovery, forfeiture, recoupment or similar requirement as the Parent Board may determine in its sole discretion is necessary or desirable to implement such law, policy or stock exchange listing requirement.</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1B1B1B"/>
          <w:sz w:val="24"/>
          <w:u w:val="single"/>
        </w:rPr>
        <w:t>Withholdings and Deductions.</w:t>
      </w:r>
      <w:r>
        <w:rPr>
          <w:color w:val="1B1B1B"/>
        </w:rPr>
        <w:t xml:space="preserve"> </w:t>
      </w:r>
      <w:r>
        <w:rPr>
          <w:rFonts w:ascii="Times New Roman;serif" w:hAnsi="Times New Roman;serif"/>
          <w:b w:val="false"/>
          <w:color w:val="1B1B1B"/>
          <w:sz w:val="24"/>
        </w:rPr>
        <w:t>All payments and compensation under this Agreement shall be subject to all required federal, state and local withholdings and deductions, and such deductions as Executive may instruct the Company to take that are authorized by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DUTIES.</w:t>
      </w:r>
      <w:r>
        <w:rPr>
          <w:color w:val="000000"/>
        </w:rPr>
        <w:t xml:space="preserve"> </w:t>
      </w:r>
      <w:r>
        <w:rPr>
          <w:rFonts w:ascii="Times New Roman;serif" w:hAnsi="Times New Roman;serif"/>
          <w:b w:val="false"/>
          <w:color w:val="000000"/>
          <w:sz w:val="24"/>
        </w:rPr>
        <w:t xml:space="preserve">Executive shall perform all duties normally associated with the position of Senior Vice President, Chief Legal Officer of the Parent Company and all duties normally associated with the position of Senior Vice President, Chief Legal Officer of the Company. In her capacity as Senior Vice President, Chief Legal Officer of the Parent Company, Executive shall report directly to the Chief Financial Officer of the Parent Company, and as Senior Vice President, Chief Legal Officer of the Company, Executive shall report directly to the Chief Financial Officer of the Company. Executive will devote her entire working time, attention, and energies to carrying out and fulfilling her duties and responsibilities under this Agreement. Executive agrees to abide by all policies applicable to employees of the Company Group adopted by the Parent Board. Executive's duties as Senior Vice President, Chief Legal Officer of the Parent Company will be performed primarily at the Parent Company's offices in Pembroke, Bermuda, and the Executive's duties as Senior Vice President, Chief Legal Officer of the Company will be performed primarily at the Company's offices in Chapel Hill, North Carolina;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foregoing duties may be performed in locations other than the aforementioned locations if the business of the Company and the Parent Company so require, but at all times the Executive shall comply with the operational guidelines of the Parent Company and the Company with respect to the scope of duties and activities to be performed in Bermuda and the United States, as in effect from time to time. Executive represents that she is able and willing to engage in travel to Bermuda and other international travel as is necessary to the business interests of the Company Group.</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1C1C1C"/>
          <w:sz w:val="24"/>
          <w:u w:val="single"/>
        </w:rPr>
        <w:t>CONFIDENTIAL INFORMATION AND PRIVILEGED INFORMATION.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(a)Executive will not at any time during the Term or thereafter reveal, divulge, or make known to any person, firm, or corporation or use for her personal benefit or the benefit of others (except the Parent Company and any of its direct or indirect subsidiaries (hereinafter referred to as “</w:t>
      </w:r>
      <w:r>
        <w:rPr>
          <w:rFonts w:ascii="Times New Roman;serif" w:hAnsi="Times New Roman;serif"/>
          <w:b w:val="false"/>
          <w:color w:val="000000"/>
          <w:sz w:val="24"/>
          <w:u w:val="single"/>
        </w:rPr>
        <w:t>Affiliates</w:t>
      </w:r>
      <w:r>
        <w:rPr>
          <w:rFonts w:ascii="Times New Roman;serif" w:hAnsi="Times New Roman;serif"/>
          <w:b w:val="false"/>
          <w:color w:val="000000"/>
          <w:sz w:val="24"/>
        </w:rPr>
        <w:t>,” and all of the foregoing, the “</w:t>
      </w:r>
      <w:r>
        <w:rPr>
          <w:rFonts w:ascii="Times New Roman;serif" w:hAnsi="Times New Roman;serif"/>
          <w:b w:val="false"/>
          <w:color w:val="000000"/>
          <w:sz w:val="24"/>
          <w:u w:val="single"/>
        </w:rPr>
        <w:t>Company Group</w:t>
      </w:r>
      <w:r>
        <w:rPr>
          <w:color w:val="000000"/>
        </w:rPr>
        <w:t>”</w:t>
      </w:r>
      <w:r>
        <w:rPr>
          <w:rFonts w:ascii="Times New Roman;serif" w:hAnsi="Times New Roman;serif"/>
          <w:b w:val="false"/>
          <w:color w:val="000000"/>
          <w:sz w:val="24"/>
        </w:rPr>
        <w:t>)), directly or indirectly, any confidential or proprietary information received or developed by her during the course of her employment. For the purposes of this Section 4(a) confidential and proprietary information (“</w:t>
      </w:r>
      <w:r>
        <w:rPr>
          <w:rFonts w:ascii="Times New Roman;serif" w:hAnsi="Times New Roman;serif"/>
          <w:b w:val="false"/>
          <w:color w:val="000000"/>
          <w:sz w:val="24"/>
          <w:u w:val="single"/>
        </w:rPr>
        <w:t>Confidential Information</w:t>
      </w:r>
      <w:r>
        <w:rPr>
          <w:color w:val="000000"/>
        </w:rPr>
        <w:t>”</w:t>
      </w:r>
      <w:r>
        <w:rPr>
          <w:rFonts w:ascii="Times New Roman;serif" w:hAnsi="Times New Roman;serif"/>
          <w:b w:val="false"/>
          <w:color w:val="000000"/>
          <w:sz w:val="24"/>
        </w:rPr>
        <w:t>) shall be defined to mean (1) all historical and pro forma projections of loss ratios incurred by the Company Group; (2) all historical and pro forma actuarial data relating to the Company Group; (3) historical and pro forma financial results, revenue statements, and projections for the Company Group; (4) all information relating to the Company Group’s systems and software (other than the portion thereof provided by the vendor to all purchasers of such systems and software); (5) all information relating to Company’s unique underwriting approach; (6) all information relating to plans for, or internal or external discussions regarding, acquisitions of or mergers with any business or line of business; (7) non-public business plans; (8) all other information relating to the financial, business, or other affairs of the Company Group including their customers; (9) any information about any shareholder of Holdings or any of its Affiliates, or any of their officers or employees, that has been furnished or made available to Executive as a result of her position with the Company; and (10) any information about any employee of the Company Group. Section 4(a) shall not apply to Executive following the termination of her employment with the Company with respect to any Confidential Information known or made generally available to the general public or within the industry by persons other than Executive or a person acting with or at the request of Executive. The confidentiality requirements set forth in this Section 4(a) are in addition to, but do not modify, Executive’s obligations under applicable law of the State of North Carolina to protect the confidentiality of information disclosed to her by the Company Group for purposes of obtaining legal advice, as well as any other information protected by the attorney-client privilege.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(b)Executive will not at any time during the Term or thereafter reveal, divulge, or make known to any person, firm, or corporation, or use for her personal benefit or the benefit of others (except the Company Group), directly or indirectly, the name or names of any Customers (as defined below) of the Company Group, nor will she reveal, divulge, or make known to any person, firm, or corporation or use for her personal benefit or the benefit of others (except the Company Group), directly or indirectly, any trade secrets or any knowledge or information concerning any business methods or operational procedures engaged in by the Company Group (collectively, “</w:t>
      </w:r>
      <w:r>
        <w:rPr>
          <w:rFonts w:ascii="Times New Roman;serif" w:hAnsi="Times New Roman;serif"/>
          <w:b w:val="false"/>
          <w:color w:val="000000"/>
          <w:sz w:val="24"/>
          <w:u w:val="single"/>
        </w:rPr>
        <w:t>Privileged Information</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the restrictions set forth in this Section 4(b) shall not apply to Executive following the termination of her employment with the Company with respect to any Privileged Information known or made generally available to the general public or within the industry by persons other than Executive or a person acting with or at the request of Executive.</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(c)Notwithstanding any provision of this Agreement to the contrary, under 18 U.S.C. section 1833 (b),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(B)is made in a complaint or other document filed in a lawsuit or other proceeding, if such filing is made under seal.” Nothing in this Agreement or any other policy of the Companies is intended to conflict with this statutory protection, and no director, officer or member of management has the authority to impose any rule to the contrary. In addition, the confidentiality and non-disparagement prohibitions in this Agreement shall not apply to a sexual assault dispute or sexual harassment dispute arising after the date Executive commenced her employment with the Company Group.</w:t>
      </w:r>
    </w:p>
    <w:p>
      <w:pPr>
        <w:pStyle w:val="TextBody"/>
        <w:bidi w:val="0"/>
        <w:spacing w:lineRule="auto" w:line="288" w:before="0" w:after="240"/>
        <w:ind w:left="0" w:right="0" w:firstLine="1440"/>
        <w:jc w:val="both"/>
        <w:rPr/>
      </w:pPr>
      <w:r>
        <w:rPr>
          <w:rFonts w:ascii="Times New Roman;serif" w:hAnsi="Times New Roman;serif"/>
          <w:b w:val="false"/>
          <w:color w:val="000000"/>
          <w:sz w:val="24"/>
        </w:rPr>
        <w:t>(d)Executive will not at any time during the Term or thereafter make negative or disparaging remarks about the Company Group or their respective current and former parents, subsidiaries, divisions, affiliates, shareholders, officers, directors, attorneys, agents, employees, successors and assigns (“</w:t>
      </w:r>
      <w:r>
        <w:rPr>
          <w:rFonts w:ascii="Times New Roman;serif" w:hAnsi="Times New Roman;serif"/>
          <w:b w:val="false"/>
          <w:color w:val="000000"/>
          <w:sz w:val="24"/>
          <w:u w:val="single"/>
        </w:rPr>
        <w:t>Company Group Protected Parties</w:t>
      </w:r>
      <w:r>
        <w:rPr>
          <w:color w:val="000000"/>
        </w:rPr>
        <w:t>”</w:t>
      </w:r>
      <w:r>
        <w:rPr>
          <w:rFonts w:ascii="Times New Roman;serif" w:hAnsi="Times New Roman;serif"/>
          <w:b w:val="false"/>
          <w:color w:val="000000"/>
          <w:sz w:val="24"/>
        </w:rPr>
        <w:t>). Executive will not provide information or issue statements regarding the Company Group or the Company Group Protected Parties, or take any other action, that would cause the Company Group or the Company Group Protected Parties embarrassment or humiliation or otherwise cause or contribute to them being held in disrepute. Nothing in this Agreement shall be deemed to preclude Executive from: providing truthful testimony or statements in a legal or arbitration proceeding or pursuant to subpoena, court order, or similar legal process; providing truthful information to government or regulatory agencies; or disclosing details relating to a claim of sexual assault.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(e)For purposes of this Agreement, the following capitalized term shall have the meaning set forth below:</w:t>
      </w:r>
    </w:p>
    <w:p>
      <w:pPr>
        <w:pStyle w:val="TextBody"/>
        <w:bidi w:val="0"/>
        <w:spacing w:lineRule="auto" w:line="288" w:before="0" w:after="240"/>
        <w:ind w:left="0" w:right="0" w:firstLine="630"/>
        <w:jc w:val="both"/>
        <w:rPr/>
      </w:pPr>
      <w:r>
        <w:rPr>
          <w:color w:val="000000"/>
        </w:rPr>
        <w:t>“</w:t>
      </w:r>
      <w:r>
        <w:rPr>
          <w:rFonts w:ascii="Times New Roman;serif" w:hAnsi="Times New Roman;serif"/>
          <w:b w:val="false"/>
          <w:color w:val="000000"/>
          <w:sz w:val="24"/>
          <w:u w:val="single"/>
        </w:rPr>
        <w:t>Customer</w:t>
      </w:r>
      <w:r>
        <w:rPr>
          <w:color w:val="000000"/>
        </w:rPr>
        <w:t xml:space="preserve">” </w:t>
      </w:r>
      <w:r>
        <w:rPr>
          <w:rFonts w:ascii="Times New Roman;serif" w:hAnsi="Times New Roman;serif"/>
          <w:b w:val="false"/>
          <w:color w:val="000000"/>
          <w:sz w:val="24"/>
        </w:rPr>
        <w:t>shall mean any customer of the Company Group that (A) purchased products or services from the Company Group during the twelve-month period immediately preceding Executive’s last day of employment with Parent Company and/or the Company (the “</w:t>
      </w:r>
      <w:r>
        <w:rPr>
          <w:rFonts w:ascii="Times New Roman;serif" w:hAnsi="Times New Roman;serif"/>
          <w:b w:val="false"/>
          <w:color w:val="000000"/>
          <w:sz w:val="24"/>
          <w:u w:val="single"/>
        </w:rPr>
        <w:t>Final Year</w:t>
      </w:r>
      <w:r>
        <w:rPr>
          <w:color w:val="000000"/>
        </w:rPr>
        <w:t>”</w:t>
      </w:r>
      <w:r>
        <w:rPr>
          <w:rFonts w:ascii="Times New Roman;serif" w:hAnsi="Times New Roman;serif"/>
          <w:b w:val="false"/>
          <w:color w:val="000000"/>
          <w:sz w:val="24"/>
        </w:rPr>
        <w:t>), and (B) about which Executive had access to Confidential Information or Privileged Information.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NON-COMPETITION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(a)Executive acknowledges and agrees that as the Parent Company’s and the Company’s Senior Vice President, Chief Legal Officer (i) she has been and will continue to be provided and have access to the Company Group’s Confidential Information and Privileged Information; and (ii) has been and will continue to have unique insight into and knowledge of the Company Group’s business strategies, compliance and legal strategies, and the skills, talents and capabilities of the Company Group’s key employees.</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(b)Executive agrees that during her employment by the Parent Company and/or the Company she will not (i) compete against the Company Group in any manner, including without limitation by engaging in, or by assisting any other person or entity to engage in, or by having an ownership interest in, any Competitive Business (as defined below) in the Territory (as defined below), or (ii) solicit, or assist others in soliciting, Key Employees (as defined below) to either leave the Company Group or to engage in a Competitive Business.</w:t>
      </w:r>
    </w:p>
    <w:p>
      <w:pPr>
        <w:pStyle w:val="TextBody"/>
        <w:bidi w:val="0"/>
        <w:spacing w:lineRule="auto" w:line="288" w:before="0" w:after="240"/>
        <w:jc w:val="both"/>
        <w:rPr/>
      </w:pPr>
      <w:r>
        <w:rPr>
          <w:rFonts w:ascii="Times New Roman;serif" w:hAnsi="Times New Roman;serif"/>
          <w:b w:val="false"/>
          <w:color w:val="000000"/>
          <w:sz w:val="24"/>
        </w:rPr>
        <w:t xml:space="preserve">Executive further agrees that after her employment by the Parent Company and/or the Company ends, she will not during the Restricted Period (i) be employed in any management capacity by any insurance company that engages in Competitive Business in the Territory to provide services to or on behalf of such insurance company in the Territory that compete with the products or services provided by the Company or the Parent Company during the Final Year;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after employment with the Company ends Executive is not restricted by this Section 5 from providing legal advice to any insurance carrier either as an employee or a contractor, or (ii) solicit, or assist others in soliciting, Key Employees (as defined below) to either leave the Company Group or to engage in a Competitive Business.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(c)For purposes of this Agreement, the following capitalized terms shall have </w:t>
      </w:r>
      <w:r>
        <w:rPr>
          <w:rFonts w:ascii="Times New Roman;serif" w:hAnsi="Times New Roman;serif"/>
          <w:b w:val="false"/>
          <w:color w:val="1D1D1D"/>
          <w:sz w:val="24"/>
        </w:rPr>
        <w:t>the meanings set forth below:</w:t>
      </w:r>
    </w:p>
    <w:p>
      <w:pPr>
        <w:pStyle w:val="TextBody"/>
        <w:bidi w:val="0"/>
        <w:spacing w:lineRule="auto" w:line="288" w:before="0" w:after="240"/>
        <w:ind w:left="0" w:right="0" w:firstLine="2160"/>
        <w:jc w:val="both"/>
        <w:rPr/>
      </w:pPr>
      <w:r>
        <w:rPr>
          <w:rFonts w:ascii="Times New Roman;serif" w:hAnsi="Times New Roman;serif"/>
          <w:b w:val="false"/>
          <w:color w:val="000000"/>
          <w:sz w:val="24"/>
        </w:rPr>
        <w:t>(i)</w:t>
      </w:r>
      <w:r>
        <w:rPr>
          <w:color w:val="000000"/>
        </w:rPr>
        <w:t>“</w:t>
      </w:r>
      <w:r>
        <w:rPr>
          <w:rFonts w:ascii="Times New Roman;serif" w:hAnsi="Times New Roman;serif"/>
          <w:b w:val="false"/>
          <w:color w:val="000000"/>
          <w:sz w:val="24"/>
          <w:u w:val="single"/>
        </w:rPr>
        <w:t>Restricted Period</w:t>
      </w:r>
      <w:r>
        <w:rPr>
          <w:color w:val="000000"/>
        </w:rPr>
        <w:t xml:space="preserve">” </w:t>
      </w:r>
      <w:r>
        <w:rPr>
          <w:rFonts w:ascii="Times New Roman;serif" w:hAnsi="Times New Roman;serif"/>
          <w:b w:val="false"/>
          <w:color w:val="000000"/>
          <w:sz w:val="24"/>
        </w:rPr>
        <w:t>shall mean twelve (12) months, except that in the event of a termination within twelve (12) months after a Change in Control without Cause, for Good Reason or due to a Company Non-Renewal Termination, “Restricted Period” shall mean eighteen (18) months.</w:t>
      </w:r>
    </w:p>
    <w:p>
      <w:pPr>
        <w:pStyle w:val="TextBody"/>
        <w:bidi w:val="0"/>
        <w:spacing w:lineRule="auto" w:line="288" w:before="0" w:after="240"/>
        <w:ind w:left="0" w:right="0" w:firstLine="2160"/>
        <w:jc w:val="both"/>
        <w:rPr/>
      </w:pPr>
      <w:r>
        <w:rPr>
          <w:rFonts w:ascii="Times New Roman;serif" w:hAnsi="Times New Roman;serif"/>
          <w:b w:val="false"/>
          <w:color w:val="000000"/>
          <w:sz w:val="24"/>
        </w:rPr>
        <w:t>(ii)</w:t>
      </w:r>
      <w:r>
        <w:rPr>
          <w:color w:val="000000"/>
        </w:rPr>
        <w:t>“</w:t>
      </w:r>
      <w:r>
        <w:rPr>
          <w:rFonts w:ascii="Times New Roman;serif" w:hAnsi="Times New Roman;serif"/>
          <w:b w:val="false"/>
          <w:color w:val="000000"/>
          <w:sz w:val="24"/>
          <w:u w:val="single"/>
        </w:rPr>
        <w:t>Competitive Business</w:t>
      </w:r>
      <w:r>
        <w:rPr>
          <w:color w:val="000000"/>
        </w:rPr>
        <w:t xml:space="preserve">” </w:t>
      </w:r>
      <w:r>
        <w:rPr>
          <w:rFonts w:ascii="Times New Roman;serif" w:hAnsi="Times New Roman;serif"/>
          <w:b w:val="false"/>
          <w:color w:val="000000"/>
          <w:sz w:val="24"/>
        </w:rPr>
        <w:t>shall mean the business of acquiring, holding, and/or operating admitted market insurance companies or excess and surplus line insurance companies, and any other material business that the Company Group is engaged in as of the date of this Agreement and as the business of the Company Group evolves during Executive’s employment with the Parent Company and/or the Company. For informational purposes only and not for the purpose of construing or restricting the scope of the term “Competitive Business,” the parties agree that the following activities in which the Company Group is currently engaged are within the scope of Competitive Business: writing admitted market business for retail agents or brokers and writing excess and surplus lines business for wholesale brokers.</w:t>
      </w:r>
    </w:p>
    <w:p>
      <w:pPr>
        <w:pStyle w:val="TextBody"/>
        <w:bidi w:val="0"/>
        <w:spacing w:lineRule="auto" w:line="288" w:before="0" w:after="240"/>
        <w:ind w:left="0" w:right="0" w:firstLine="2160"/>
        <w:jc w:val="both"/>
        <w:rPr/>
      </w:pPr>
      <w:r>
        <w:rPr>
          <w:rFonts w:ascii="Times New Roman;serif" w:hAnsi="Times New Roman;serif"/>
          <w:b w:val="false"/>
          <w:color w:val="000000"/>
          <w:sz w:val="24"/>
        </w:rPr>
        <w:t>(iii)</w:t>
      </w:r>
      <w:r>
        <w:rPr>
          <w:color w:val="000000"/>
        </w:rPr>
        <w:t>“</w:t>
      </w:r>
      <w:r>
        <w:rPr>
          <w:rFonts w:ascii="Times New Roman;serif" w:hAnsi="Times New Roman;serif"/>
          <w:b w:val="false"/>
          <w:color w:val="000000"/>
          <w:sz w:val="24"/>
          <w:u w:val="single"/>
        </w:rPr>
        <w:t>Territory</w:t>
      </w:r>
      <w:r>
        <w:rPr>
          <w:color w:val="000000"/>
        </w:rPr>
        <w:t xml:space="preserve">” </w:t>
      </w:r>
      <w:r>
        <w:rPr>
          <w:rFonts w:ascii="Times New Roman;serif" w:hAnsi="Times New Roman;serif"/>
          <w:b w:val="false"/>
          <w:color w:val="000000"/>
          <w:sz w:val="24"/>
        </w:rPr>
        <w:t>shall mean Bermuda and each and every state or other United States jurisdiction (“</w:t>
      </w:r>
      <w:r>
        <w:rPr>
          <w:rFonts w:ascii="Times New Roman;serif" w:hAnsi="Times New Roman;serif"/>
          <w:b w:val="false"/>
          <w:color w:val="000000"/>
          <w:sz w:val="24"/>
          <w:u w:val="single"/>
        </w:rPr>
        <w:t>State(s)</w:t>
      </w:r>
      <w:r>
        <w:rPr>
          <w:color w:val="000000"/>
        </w:rPr>
        <w:t>”</w:t>
      </w:r>
      <w:r>
        <w:rPr>
          <w:rFonts w:ascii="Times New Roman;serif" w:hAnsi="Times New Roman;serif"/>
          <w:b w:val="false"/>
          <w:color w:val="000000"/>
          <w:sz w:val="24"/>
        </w:rPr>
        <w:t>) where the Company or its subsidiaries is authorized to underwrite insurance and has either underwritten insurance during the Final Year, or has underwritten insurance policies in effect during the Final Year.</w:t>
      </w:r>
    </w:p>
    <w:p>
      <w:pPr>
        <w:pStyle w:val="TextBody"/>
        <w:bidi w:val="0"/>
        <w:spacing w:lineRule="auto" w:line="288" w:before="0" w:after="240"/>
        <w:ind w:left="0" w:right="0" w:firstLine="2160"/>
        <w:jc w:val="both"/>
        <w:rPr/>
      </w:pPr>
      <w:r>
        <w:rPr>
          <w:rFonts w:ascii="Times New Roman;serif" w:hAnsi="Times New Roman;serif"/>
          <w:b w:val="false"/>
          <w:color w:val="000000"/>
          <w:sz w:val="24"/>
        </w:rPr>
        <w:t>(iv)</w:t>
      </w:r>
      <w:r>
        <w:rPr>
          <w:color w:val="000000"/>
        </w:rPr>
        <w:t>“</w:t>
      </w:r>
      <w:r>
        <w:rPr>
          <w:rFonts w:ascii="Times New Roman;serif" w:hAnsi="Times New Roman;serif"/>
          <w:b w:val="false"/>
          <w:color w:val="000000"/>
          <w:sz w:val="24"/>
          <w:u w:val="single"/>
        </w:rPr>
        <w:t>Key Employees</w:t>
      </w:r>
      <w:r>
        <w:rPr>
          <w:color w:val="000000"/>
        </w:rPr>
        <w:t xml:space="preserve">” </w:t>
      </w:r>
      <w:r>
        <w:rPr>
          <w:rFonts w:ascii="Times New Roman;serif" w:hAnsi="Times New Roman;serif"/>
          <w:b w:val="false"/>
          <w:color w:val="000000"/>
          <w:sz w:val="24"/>
        </w:rPr>
        <w:t>shall mean any executive, managerial, or supervisory level employee of the Company Group under Executive’s direct or indirect management authority during the Final Year (as defined above in Section 4).</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(d)The restrictions contained in this Section 5 shall not prevent the purchase of ownership by Executive of not more than three percent (3%) of the securities of any class of any corporation, whether or not such corporation is engaged in any Competitive Business, which are publicly traded on any securities exchange or any “over the counter” market.</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TERMINATION.</w:t>
      </w:r>
      <w:r>
        <w:rPr>
          <w:color w:val="000000"/>
        </w:rPr>
        <w:t xml:space="preserve"> </w:t>
      </w:r>
      <w:r>
        <w:rPr>
          <w:rFonts w:ascii="Times New Roman;serif" w:hAnsi="Times New Roman;serif"/>
          <w:b w:val="false"/>
          <w:color w:val="000000"/>
          <w:sz w:val="24"/>
        </w:rPr>
        <w:t>Executive’s employment hereunder shall terminate under the following circumstances: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Termination for Cause.</w:t>
      </w:r>
      <w:r>
        <w:rPr>
          <w:color w:val="000000"/>
        </w:rPr>
        <w:t xml:space="preserve"> </w:t>
      </w:r>
      <w:r>
        <w:rPr>
          <w:rFonts w:ascii="Times New Roman;serif" w:hAnsi="Times New Roman;serif"/>
          <w:b w:val="false"/>
          <w:color w:val="000000"/>
          <w:sz w:val="24"/>
        </w:rPr>
        <w:t xml:space="preserve">The Parent Company and/or the Company may terminate the employment of Executive for Cause at any time by providing written notice to Executive specifying the cause of the termination. For the purposes of this Agreement, “Cause” means that: (i) Executive willfully violated Sections 4 or 5 of this Agreement; (ii) Executive grossly neglected her duties hereunder; (iii) Executive was convicted of a felony or a crime involving moral turpitude (meaning a crime that includes the commission of an act of depravity, dishonesty, or bad morals); (iv) Executive has committed an act of </w:t>
      </w:r>
      <w:r>
        <w:rPr>
          <w:rFonts w:ascii="Times New Roman;serif" w:hAnsi="Times New Roman;serif"/>
          <w:b w:val="false"/>
          <w:color w:val="1C1C1C"/>
          <w:sz w:val="24"/>
        </w:rPr>
        <w:t>dishonesty, fraud, or embezzlement against any entity in the Company Group; (v) Executive otherwise willfully and/or knowingly breached this Agreement in any material respect or willfully and/or knowingly violated the Parent Company’s or the Company’s operating guidelines or policies; or (vi) Executive willfully failed or refused to follow the lawful instructions of the Chief Executive Officer or Chief Financial Officer of the Parent Company or the Chief Executive Officer or Chief Financial Officer of the Company that are consistent with this Agreement (“</w:t>
      </w:r>
      <w:r>
        <w:rPr>
          <w:rFonts w:ascii="Times New Roman;serif" w:hAnsi="Times New Roman;serif"/>
          <w:b w:val="false"/>
          <w:color w:val="1C1C1C"/>
          <w:sz w:val="24"/>
          <w:u w:val="single"/>
        </w:rPr>
        <w:t>Insubordination</w:t>
      </w:r>
      <w:r>
        <w:rPr>
          <w:color w:val="1C1C1C"/>
        </w:rPr>
        <w:t>”</w:t>
      </w:r>
      <w:r>
        <w:rPr>
          <w:rFonts w:ascii="Times New Roman;serif" w:hAnsi="Times New Roman;serif"/>
          <w:b w:val="false"/>
          <w:color w:val="1C1C1C"/>
          <w:sz w:val="24"/>
        </w:rPr>
        <w:t>). In the event that the Parent Company and/or the Company provides written notice of termination for Cause pursuant to Section 6(a)(ii) or (vi), Executive shall be entitled to cure any alleged neglect of her duties or Insubordination, to the extent curable, within thirty (30) days of receiving written notice from the Parent Company and/or the Company specifying the factual basis for its belief that Executive grossly neglected her duties hereunder or engaged in Insubordination. If Executive is terminated for Cause, Executive’s compensation shall terminate on the date of such termination, and all Options or RSUs, whether vested or unvested at that time, shall be immediately forfeited and canceled effective as of the date of such termination.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Termination Without Cause/Non-Renewal</w:t>
      </w:r>
      <w:r>
        <w:rPr>
          <w:rFonts w:ascii="Times New Roman;serif" w:hAnsi="Times New Roman;serif"/>
          <w:b w:val="false"/>
          <w:color w:val="000000"/>
          <w:sz w:val="24"/>
        </w:rPr>
        <w:t>. The Parent Company and/or the Company may terminate Executive at any time without Cause, with or without prior notice. If (i) the Parent Company and/or the Company delivers a timely Non-Renewal Notice and Executive has not timely delivered a Non-Renewal Notice, (ii) Executive continues in employment with the Parent Company and/or the Company through the last day of the Term and (iii) the parties have not executed a written agreement applicable to Executive’s employment after the expiration of the Term, the Executive’s employment shall terminate on the last day of the Term (a “</w:t>
      </w:r>
      <w:r>
        <w:rPr>
          <w:rFonts w:ascii="Times New Roman;serif" w:hAnsi="Times New Roman;serif"/>
          <w:b w:val="false"/>
          <w:color w:val="000000"/>
          <w:sz w:val="24"/>
          <w:u w:val="single"/>
        </w:rPr>
        <w:t>Company Non-Renewal Termination</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Termination by Executive for Good Reason.</w:t>
      </w:r>
      <w:r>
        <w:rPr>
          <w:color w:val="000000"/>
        </w:rPr>
        <w:t xml:space="preserve"> </w:t>
      </w:r>
      <w:r>
        <w:rPr>
          <w:rFonts w:ascii="Times New Roman;serif" w:hAnsi="Times New Roman;serif"/>
          <w:b w:val="false"/>
          <w:color w:val="000000"/>
          <w:sz w:val="24"/>
        </w:rPr>
        <w:t>Executive may, at her option, terminate this Agreement for Good Reason in accordance with the terms of this Section 6(c). “</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shall mean the occurrence of any one or more of the following events without the prior consent of Executive:</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(i)A material diminution in Executive’s authority, duties or responsibilities, or requiring Executive to report directly to a person or persons other than the Parent Company’s and/or the Company’s Chief Financial Officer or Chief Executive Officer, or the Parent or Company Board;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(ii)A material diminution in Executive’s Base Salary; or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(iii)Any action or inaction by the Parent Company and/or the Company which constitutes a material breach of the terms of this Agreement;</w:t>
      </w:r>
    </w:p>
    <w:p>
      <w:pPr>
        <w:pStyle w:val="TextBody"/>
        <w:bidi w:val="0"/>
        <w:spacing w:lineRule="auto" w:line="288" w:before="0" w:after="240"/>
        <w:jc w:val="both"/>
        <w:rPr/>
      </w:pPr>
      <w:r>
        <w:rPr>
          <w:rFonts w:ascii="Times New Roman;serif" w:hAnsi="Times New Roman;serif"/>
          <w:b w:val="false"/>
          <w:color w:val="000000"/>
          <w:sz w:val="24"/>
        </w:rPr>
        <w:t>and, in each case, the failure by the Parent Company and/or the Company, to cure such condition within the thirty (30) day period after receipt of written notice from Executive specifying in detail the factual basis for her belief that she has Good Reason to resign (“</w:t>
      </w:r>
      <w:r>
        <w:rPr>
          <w:rFonts w:ascii="Times New Roman;serif" w:hAnsi="Times New Roman;serif"/>
          <w:b w:val="false"/>
          <w:color w:val="000000"/>
          <w:sz w:val="24"/>
          <w:u w:val="single"/>
        </w:rPr>
        <w:t>Good Reason Notice</w:t>
      </w:r>
      <w:r>
        <w:rPr>
          <w:color w:val="000000"/>
        </w:rPr>
        <w:t>”</w:t>
      </w:r>
      <w:r>
        <w:rPr>
          <w:rFonts w:ascii="Times New Roman;serif" w:hAnsi="Times New Roman;serif"/>
          <w:b w:val="false"/>
          <w:color w:val="000000"/>
          <w:sz w:val="24"/>
        </w:rPr>
        <w:t>). Executive must deliver a Good Reason Notice to the Parent Company and the Company within thirty (30) calendar days after the initial existence of a Good Reason condition, and, if the Parent Company and/or the Company, as applicable, fails to timely cure such Good Reason condition, Executive must terminate her employment within one year after the initial existence of such Good Reason condition, and any failure by Executive to timely comply with either of these requirements shall constitute a waiver of Executive’s right to resign for Good Reason for such condition.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Termination due to Death or Disability.</w:t>
      </w:r>
      <w:r>
        <w:rPr>
          <w:color w:val="000000"/>
        </w:rPr>
        <w:t xml:space="preserve"> </w:t>
      </w:r>
      <w:r>
        <w:rPr>
          <w:rFonts w:ascii="Times New Roman;serif" w:hAnsi="Times New Roman;serif"/>
          <w:b w:val="false"/>
          <w:color w:val="000000"/>
          <w:sz w:val="24"/>
        </w:rPr>
        <w:t>Executive’s employment hereunder shall terminate upon her death. The Parent Company and/or the Company may terminate Executive’s employment if she is prevented from performing her responsibilities under this Agreement because of “Disability.” A “</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means that Executive is unable to engage in any substantial gainful activity by reason of a medically determinable physical or mental impairment that can be expected to result in death or can be expected to last for a continuous period of not less than 12 months, or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or disability insurance benefit plan covering Company employees (“</w:t>
      </w:r>
      <w:r>
        <w:rPr>
          <w:rFonts w:ascii="Times New Roman;serif" w:hAnsi="Times New Roman;serif"/>
          <w:b w:val="false"/>
          <w:color w:val="000000"/>
          <w:sz w:val="24"/>
          <w:u w:val="single"/>
        </w:rPr>
        <w:t>Disability Plan</w:t>
      </w:r>
      <w:r>
        <w:rPr>
          <w:color w:val="000000"/>
        </w:rPr>
        <w:t>”</w:t>
      </w:r>
      <w:r>
        <w:rPr>
          <w:rFonts w:ascii="Times New Roman;serif" w:hAnsi="Times New Roman;serif"/>
          <w:b w:val="false"/>
          <w:color w:val="000000"/>
          <w:sz w:val="24"/>
        </w:rPr>
        <w:t>). If Executive is unable to perform her responsibilities, by reason of any accident, illness, or mental, or physical impairment, for a period that is reasonably anticipated by the Company to be longer than the waiting period in the Disability Plan, then, at the Company’s request, Executive shall promptly apply for such income replacement benefits.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Expiration of Term.</w:t>
      </w:r>
      <w:r>
        <w:rPr>
          <w:color w:val="000000"/>
        </w:rPr>
        <w:t xml:space="preserve"> </w:t>
      </w:r>
      <w:r>
        <w:rPr>
          <w:rFonts w:ascii="Times New Roman;serif" w:hAnsi="Times New Roman;serif"/>
          <w:b w:val="false"/>
          <w:color w:val="000000"/>
          <w:sz w:val="24"/>
        </w:rPr>
        <w:t>If (i) Executive delivers a timely Non-Renewal Notice pursuant to Section 1 (whether or not the Parent Company and/or the Company has timely delivered a timely Non-Renewal Notice), (ii) Executive continues in employment with the Parent Company and the Company through the last day of the Term, and (iii) the parties have not executed a written agreement applicable to Executive’s employment after the expiration of the Term, the Executive’s employment shall terminate on the last day of the Term (“</w:t>
      </w:r>
      <w:r>
        <w:rPr>
          <w:rFonts w:ascii="Times New Roman;serif" w:hAnsi="Times New Roman;serif"/>
          <w:b w:val="false"/>
          <w:color w:val="000000"/>
          <w:sz w:val="24"/>
          <w:u w:val="single"/>
        </w:rPr>
        <w:t>Executive Non-Renewal</w:t>
      </w:r>
      <w:r>
        <w:rPr>
          <w:color w:val="000000"/>
        </w:rPr>
        <w:t xml:space="preserve"> </w:t>
      </w:r>
      <w:r>
        <w:rPr>
          <w:rFonts w:ascii="Times New Roman;serif" w:hAnsi="Times New Roman;serif"/>
          <w:b w:val="false"/>
          <w:color w:val="000000"/>
          <w:sz w:val="24"/>
          <w:u w:val="single"/>
        </w:rPr>
        <w:t>Termination</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COMPENSATION AND BENEFITS UPON TERMINATION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(a)If, during the Term, the Parent Company and/or the Company terminates Executive’s employment without Cause, there is a Company Non-Renewal Termination, or Executive terminates her employment for Good Reason, then:</w:t>
      </w:r>
    </w:p>
    <w:p>
      <w:pPr>
        <w:pStyle w:val="TextBody"/>
        <w:bidi w:val="0"/>
        <w:spacing w:lineRule="auto" w:line="288" w:before="0" w:after="240"/>
        <w:ind w:left="0" w:right="0" w:firstLine="2160"/>
        <w:jc w:val="both"/>
        <w:rPr/>
      </w:pPr>
      <w:r>
        <w:rPr>
          <w:rFonts w:ascii="Times New Roman;serif" w:hAnsi="Times New Roman;serif"/>
          <w:b w:val="false"/>
          <w:color w:val="000000"/>
          <w:sz w:val="24"/>
        </w:rPr>
        <w:t>(i)as soon as practicable following such termination but no later than ten (10) days after the Termination Date (as defined below), the Company shall pay to Executive her accrued but yet unpaid base salary earned through the Termination Date and any accrued, but unused vacation pay through the Termination Date (the “</w:t>
      </w:r>
      <w:r>
        <w:rPr>
          <w:rFonts w:ascii="Times New Roman;serif" w:hAnsi="Times New Roman;serif"/>
          <w:b w:val="false"/>
          <w:color w:val="000000"/>
          <w:sz w:val="24"/>
          <w:u w:val="single"/>
        </w:rPr>
        <w:t>Accrued Obligations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(ii)within forty-five (45) days following the Termination Date, the Company shall reimburse Executive for reasonable expenses incurred, but not paid prior to the Termination Date;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(iii)subject to the execution and delivery of a general release (which release shall not alter or result in the waiver of Executive’s right to exercise the portion of any stock option that vested through the Termination Date, or any rights under this Section 7(a)) in a form acceptable to the Company within forty-five (45) days after the Termination Date, which release has not been revoked, Executive is entitled to receive:</w:t>
      </w:r>
    </w:p>
    <w:p>
      <w:pPr>
        <w:pStyle w:val="TextBody"/>
        <w:bidi w:val="0"/>
        <w:spacing w:lineRule="auto" w:line="288" w:before="0" w:after="240"/>
        <w:ind w:left="0" w:right="0" w:firstLine="2160"/>
        <w:jc w:val="both"/>
        <w:rPr/>
      </w:pPr>
      <w:r>
        <w:rPr>
          <w:rFonts w:ascii="Times New Roman;serif" w:hAnsi="Times New Roman;serif"/>
          <w:b w:val="false"/>
          <w:color w:val="000000"/>
          <w:sz w:val="24"/>
        </w:rPr>
        <w:t>(A)In the event of a termination without Cause or for Good Reason or a Company Non-Renewal Termination (x) before a Change in Control (as defined in Section 7(d)) or more than twelve (12) months after a Change in Control, an amount equal to Executive’s then current base salary for a period of twelve (12) months after the Termination Date, or (y) within twelve (12) months after a Change in Control, an amount equal to Executive’s then current base salary for a period of eighteen (18) months after the Termination Date, which in any case shall be paid in periodic installments in accordance with the Company’s normal payroll practices commencing on the first payroll cycle which is at least ten (10) business days after the 45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after the Termination Date unless (a) such payment is required to be delayed pursuant to Section 8 below, or (b) the first payroll date which is at least ten (10) business days after the 45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after the Termination Date occurs in the calendar year following the calendar year of the Termination Date, in which case payments pursuant to this section shall be made no earlier than the first business day of the calendar year following the calendar year of the Termination Date;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(B)the continuation of coverage under all employee benefit insurance plans in which Executive was a participant as of the Termination Date, to the extent such post-employment coverage is authorized by such plans, at the Company’s expense with such periodic payments for such coverage(s) made for and during the period of twelve (12) months after the Termination Date. The Company makes no representations regarding the taxability or non-taxability of such payments.</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(b)If Executive is terminated by the Parent Company and/or the Company for Cause or due to death or Disability, or if a termination of employment occurs pursuant to Section 6(e) as a result of Executive’s delivering a timely Non-Renewal Notice: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(i)within ten (10) days following the Termination Date, the Company shall pay to Executive the Accrued Obligations;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(ii)within forty-five (45) days following the Termination Date, the Company shall reimburse Executive for reasonable expenses incurred, but not paid prior to the Termination Date.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(c)Except for payments provided under Sections 7(a)(i), 7(a)(ii), 7(b) and 7(e), all compensation and benefits paid pursuant to this Section 7 shall cease and Executive shall promptly return any amount paid under Section 7(a)(iii) to the Company if Executive violates any of the terms of Sections 4 or 5 above during the Restricted Period. In addition to these remedies, the Company and the Company Group shall have all other remedies provided by this Agreement and by law for the breach of Sections 4 or 5 above.</w:t>
      </w:r>
    </w:p>
    <w:p>
      <w:pPr>
        <w:pStyle w:val="TextBody"/>
        <w:bidi w:val="0"/>
        <w:spacing w:lineRule="auto" w:line="288" w:before="0" w:after="240"/>
        <w:ind w:left="0" w:right="0" w:firstLine="1440"/>
        <w:jc w:val="both"/>
        <w:rPr/>
      </w:pPr>
      <w:r>
        <w:rPr>
          <w:rFonts w:ascii="Times New Roman;serif" w:hAnsi="Times New Roman;serif"/>
          <w:b w:val="false"/>
          <w:color w:val="000000"/>
          <w:sz w:val="24"/>
        </w:rPr>
        <w:t>(d)For purposes of this Agreement, “</w:t>
      </w:r>
      <w:r>
        <w:rPr>
          <w:rFonts w:ascii="Times New Roman;serif" w:hAnsi="Times New Roman;serif"/>
          <w:b w:val="false"/>
          <w:color w:val="000000"/>
          <w:sz w:val="24"/>
          <w:u w:val="single"/>
        </w:rPr>
        <w:t>Termination Date</w:t>
      </w:r>
      <w:r>
        <w:rPr>
          <w:color w:val="000000"/>
        </w:rPr>
        <w:t xml:space="preserve">” </w:t>
      </w:r>
      <w:r>
        <w:rPr>
          <w:rFonts w:ascii="Times New Roman;serif" w:hAnsi="Times New Roman;serif"/>
          <w:b w:val="false"/>
          <w:color w:val="000000"/>
          <w:sz w:val="24"/>
        </w:rPr>
        <w:t>means the date of Executive’s “separation from service” within the meaning of Section 409A of the Internal Revenue Code of 1986, as amended (the “Code”), and the regulations promulgated thereunder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For purposes of this Agreement, “</w:t>
      </w:r>
      <w:r>
        <w:rPr>
          <w:rFonts w:ascii="Times New Roman;serif" w:hAnsi="Times New Roman;serif"/>
          <w:b w:val="false"/>
          <w:color w:val="000000"/>
          <w:sz w:val="24"/>
          <w:u w:val="single"/>
        </w:rPr>
        <w:t>Change in Control</w:t>
      </w:r>
      <w:r>
        <w:rPr>
          <w:color w:val="000000"/>
        </w:rPr>
        <w:t xml:space="preserve">” </w:t>
      </w:r>
      <w:r>
        <w:rPr>
          <w:rFonts w:ascii="Times New Roman;serif" w:hAnsi="Times New Roman;serif"/>
          <w:b w:val="false"/>
          <w:color w:val="000000"/>
          <w:sz w:val="24"/>
        </w:rPr>
        <w:t>means the first to occur of the following events: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(i)the purchase or other acquisition (other than from the Parent Company), in a single transaction or series of related transactions, by any person, entity or group of persons, within the meaning of Section 13(d) or 14(d) of the Exchange Act (excluding, for this purpose, the Parent Company or the Company Group or any employee benefit plan of the Parent Company or the Company Group), of beneficial ownership (within the meaning of Rule 13d-3 promulgated under the Act) of 50% or more of either the then-outstanding Shares or the combined voting power of the Parent Company’s then-outstanding voting securities entitled to vote generally in the election of directors;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(ii)the consummation of a reorganization, merger, amalgamation or consolidation involving the Parent Company, in each case with respect to which persons who were the shareholders of the Parent Company immediately prior to such reorganization, merger, amalgamation or consolidation do not, immediately thereafter, own more than 50% of, respectively, the Shares and the combined voting power entitled to vote generally in the election of directors of the reorganized, merged, amalgamated or consolidated corporation’s then-outstanding voting securities;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(iii)a liquidation or dissolution of the Parent Company or the sale of all or substantially all of the assets of the Parent Company;</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Notwithstanding anything herein to the contrary, an event described above shall be considered a Change in Control hereunder only if it also constitutes a “change in the ownership or effective control of the corporation or in the ownership of a substantial portion of the assets of the corporation” within the meaning of Section 409A(a)(2)(v) of the Code, to the extent necessary to avoid the adverse tax consequences thereunder with respect to any payment subject to Section 409A of the Code. A Change in Control shall be deemed to occur on the date on which the event giving rise to the Change in Control occurs, provided, in the case of a Change in Control by reason of a liquidation or dissolution of the Parent Company, such date shall be the date on which Holdings shall commence such liquidation or dissolution.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(e)Executive’s rights with respect to payment of any cash award under the STIP, or the vesting and exercise of any equity award under the LTIP after the Termination Date shall be governed by the applicable STIP and equity award agreements and LTIP, respectively.</w:t>
      </w:r>
    </w:p>
    <w:p>
      <w:pPr>
        <w:pStyle w:val="TextBody"/>
        <w:bidi w:val="0"/>
        <w:spacing w:lineRule="auto" w:line="288"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409A COMPLIANCE</w:t>
      </w:r>
      <w:r>
        <w:rPr>
          <w:rFonts w:ascii="Times New Roman;serif" w:hAnsi="Times New Roman;serif"/>
          <w:b w:val="false"/>
          <w:color w:val="000000"/>
          <w:sz w:val="24"/>
        </w:rPr>
        <w:t>. This Agreement shall be interpreted and administered in a manner so that any amount or benefit payable hereunder shall be paid or provided in a manner that is either exempt from or compliant with the requirements Section 409A and applicable Internal Revenue Service guidance and Treasury Regulations issued thereunder (and any applicable transition relief under Section 409A). Notwithstanding anything else contained in this Agreement to the contrary, if Executive is a “specified employee” under the Parent Company’s specified employee policy as in effect on the Termination Date, or if no such policy is then in effect, within the meaning of Section 409A, any payment required to be made to Executive hereunder upon or following the Termination Date shall be delayed until after the six-month anniversary of Executive’s “separation from service” (as such term is defined in Section 409A) to the extent necessary to comply with, and avoid imposition on Executive of any additional tax, interest, or penalty imposed under, Section 409A. Should payments be delayed in accordance with the preceding sentence, the accumulated payment that would have been made but for the period of the delay shall be paid in a single lump sum during the ten-day period following the six-month anniversary of the Termination Date. Each payroll period payment described in Section 7(a)(iv)(1) shall be treated as a separate payment for purposes of Section 409A.</w:t>
      </w:r>
    </w:p>
    <w:p>
      <w:pPr>
        <w:pStyle w:val="TextBody"/>
        <w:bidi w:val="0"/>
        <w:spacing w:lineRule="auto" w:line="288"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UNIQUENESS OF SERVICES; ACKNOWLEDGEMENTS.</w:t>
      </w:r>
      <w:r>
        <w:rPr>
          <w:color w:val="000000"/>
        </w:rPr>
        <w:t xml:space="preserve"> </w:t>
      </w:r>
      <w:r>
        <w:rPr>
          <w:rFonts w:ascii="Times New Roman;serif" w:hAnsi="Times New Roman;serif"/>
          <w:b w:val="false"/>
          <w:color w:val="000000"/>
          <w:sz w:val="24"/>
        </w:rPr>
        <w:t>Executive acknowledges that the services to be rendered under the provisions of this Agreement are of a special, unique, and extraordinary character; involve access to and development of Confidential Information and Privileged Information; and that it would be difficult or impossible to replace such services and that, by reason thereof, Executive agrees and consents that if she violates any of the provisions of Sections 4 and 5 of this Agreement, the Company, and/or the Company Group, in addition to any other rights and remedies available under this Agreement or otherwise, shall be entitled to an injunction to be issued by a court of competent jurisdiction restricting Executive from committing or continuing any violation of Sections 4 and 5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FURTHER ACKNOWLEDGEMENTS</w:t>
      </w:r>
      <w:r>
        <w:rPr>
          <w:rFonts w:ascii="Times New Roman;serif" w:hAnsi="Times New Roman;serif"/>
          <w:b w:val="false"/>
          <w:color w:val="000000"/>
          <w:sz w:val="24"/>
        </w:rPr>
        <w:t>. Executive further acknowledges and agrees that the restrictions contained in Sections 4 and 5 above are reasonable and necessary to protect the legitimate interest of the Company Group, in view of, among other things, the short duration of the restrictions; the narrow scope of the restrictions; the Company Group’s interests in protecting its trade secrets, Confidential Information, and Privileged Information (which Executive agrees has a useful life to competitors of more than eighteen (18) months); Executive’s background and capabilities which will allow her to seek and accept employment without violation of the restrictions; Executive’s opportunity to acquire a substantial equity interest in the Company Group through the award of RSUs or other equity awards; and Executive’s entitlements under this Agreement. If any provision contained in Sections 4 or 5 above is adjudged unreasonable by a court of competent jurisdiction or arbitrator in any proceeding, then such provision shall be deemed modified as provided in Sections 4 or 5 above or by reducing the scope of such provision, the period of time during which such provision is applicable and/or the geographic area to which such provision applies, to the extent necessary for such provision to be adjudged reasonable and enforceable.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NOTICES.</w:t>
      </w:r>
      <w:r>
        <w:rPr>
          <w:color w:val="000000"/>
        </w:rPr>
        <w:t xml:space="preserve"> </w:t>
      </w:r>
      <w:r>
        <w:rPr>
          <w:rFonts w:ascii="Times New Roman;serif" w:hAnsi="Times New Roman;serif"/>
          <w:b w:val="false"/>
          <w:color w:val="000000"/>
          <w:sz w:val="24"/>
        </w:rPr>
        <w:t>Any notices provided for or permitted by this Agreement shall be in writing and shall be deemed to have been duly given when delivered in person, by electronic mail, or three (3) days after it is mailed if delivered by registered or certified mail, return receipt requested, postage prepaid, addressed to the party for whom intended at such party’s address set forth above or to such other address as such party may designate by notice in writing given in the manner provided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SECTION HEADINGS.</w:t>
      </w:r>
      <w:r>
        <w:rPr>
          <w:color w:val="000000"/>
        </w:rPr>
        <w:t xml:space="preserve"> </w:t>
      </w:r>
      <w:r>
        <w:rPr>
          <w:rFonts w:ascii="Times New Roman;serif" w:hAnsi="Times New Roman;serif"/>
          <w:b w:val="false"/>
          <w:color w:val="000000"/>
          <w:sz w:val="24"/>
        </w:rPr>
        <w:t>The section headings in this Agreement are for convenience of reference only, and they form no part of this Agreement and shall not affect its interpretation.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ENTIRE AGREEMENT; AMENDMENTS; COUNTERPARTS.</w:t>
      </w:r>
      <w:r>
        <w:rPr>
          <w:color w:val="000000"/>
        </w:rPr>
        <w:t xml:space="preserve"> </w:t>
      </w:r>
      <w:r>
        <w:rPr>
          <w:rFonts w:ascii="Times New Roman;serif" w:hAnsi="Times New Roman;serif"/>
          <w:b w:val="false"/>
          <w:color w:val="000000"/>
          <w:sz w:val="24"/>
        </w:rPr>
        <w:t>This Agreement constitutes the entire agreement and understanding between Executive, the Parent Company and the Company with respect to the subject matter hereof and shall supersede any and all other prior agreements and understandings, whether oral or written, relating thereto or the employment of Executive by the Parent Company and the Company, including, without limitation, the Original Employment Agreement. This Agreement may not be rescinded, modified, or amended, unless an amendment is agreed to in a writing signed by Executive, by the Chief Executive Officer or Chief Financial Officer of the Parent Company or another duly authorized officer of the Parent Company (other than Executive), and by the Chief Executive Officer or Chief Financial Officer of the Company or another duly authorized officer of the Company (other than Executive), and any waiver shall be set forth in writing and signed by the party to be charged. This Agreement may be executed in any number of counterparts, including by facsimile, each of which shall be an original, but all of which together shall constitute one and the same instrument.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PARTIAL INVALIDITY.</w:t>
      </w:r>
      <w:r>
        <w:rPr>
          <w:color w:val="000000"/>
        </w:rPr>
        <w:t xml:space="preserve"> </w:t>
      </w:r>
      <w:r>
        <w:rPr>
          <w:rFonts w:ascii="Times New Roman;serif" w:hAnsi="Times New Roman;serif"/>
          <w:b w:val="false"/>
          <w:color w:val="000000"/>
          <w:sz w:val="24"/>
        </w:rPr>
        <w:t xml:space="preserve">The invalidity or unenforceability, by statute, court decision, or otherwise, of any term or condition of this Agreement shall not affect the validity or </w:t>
      </w:r>
      <w:r>
        <w:rPr>
          <w:rFonts w:ascii="Times New Roman;serif" w:hAnsi="Times New Roman;serif"/>
          <w:b w:val="false"/>
          <w:color w:val="0D0D0D"/>
          <w:sz w:val="24"/>
        </w:rPr>
        <w:t>enforceability of any other term or condition hereof.</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GOVERNING LAW.</w:t>
      </w:r>
      <w:r>
        <w:rPr>
          <w:color w:val="000000"/>
        </w:rPr>
        <w:t xml:space="preserve"> </w:t>
      </w:r>
      <w:r>
        <w:rPr>
          <w:rFonts w:ascii="Times New Roman;serif" w:hAnsi="Times New Roman;serif"/>
          <w:b w:val="false"/>
          <w:color w:val="000000"/>
          <w:sz w:val="24"/>
        </w:rPr>
        <w:t>This Agreement shall be construed and administered in accordance with the laws of the State of North Carolina, without regard to the principles of conflicts of law which might otherwise apply.</w:t>
      </w:r>
    </w:p>
    <w:p>
      <w:pPr>
        <w:pStyle w:val="TextBody"/>
        <w:bidi w:val="0"/>
        <w:spacing w:lineRule="auto" w:line="288" w:before="0" w:after="240"/>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ASSIGNABILITY.</w:t>
      </w:r>
      <w:r>
        <w:rPr>
          <w:color w:val="000000"/>
        </w:rPr>
        <w:t xml:space="preserve"> </w:t>
      </w:r>
      <w:r>
        <w:rPr>
          <w:rFonts w:ascii="Times New Roman;serif" w:hAnsi="Times New Roman;serif"/>
          <w:b w:val="false"/>
          <w:color w:val="000000"/>
          <w:sz w:val="24"/>
        </w:rPr>
        <w:t xml:space="preserve">This Agreement may not be assigned by Executive, and any purported assignment by Executive shall be null and void. All of the terms and conditions of this Agreement shall be binding upon and inure to the benefit of the Parent Company and the Company, and their successors (including without limitation any successor to the Parent Company’s or Company’s business as the result of a merger or consolidation of the Company, whether or not the Parent Company or the Company survives such merger or consolidation) and assigns. Successors to the Company shall include, without limitation, any corporation or corporations acquiring, directly or indirectly, all or substantially all of the assets of the Company </w:t>
      </w:r>
      <w:r>
        <w:rPr>
          <w:rFonts w:ascii="Times New Roman;serif" w:hAnsi="Times New Roman;serif"/>
          <w:b w:val="false"/>
          <w:color w:val="0D0D0D"/>
          <w:sz w:val="24"/>
        </w:rPr>
        <w:t>whether by merger, consolidation, purchase, or otherwise and such successor shall thereafter be deemed the “Company” for purposes hereof. Successors to the Parent Company shall include, without limitation, any corporation or corporations acquiring, directly or indirectly, all or substantially all of the assets of the Parent Company whether by merger, consolidation, purchase, or otherwise and such successor shall thereafter be deemed the “Parent Company” for purposes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DISPUTE RESOLUTION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Arbitration</w:t>
      </w:r>
      <w:r>
        <w:rPr>
          <w:rFonts w:ascii="Times New Roman;serif" w:hAnsi="Times New Roman;serif"/>
          <w:b w:val="false"/>
          <w:color w:val="000000"/>
          <w:sz w:val="24"/>
        </w:rPr>
        <w:t xml:space="preserve">. In the event of disputes between the parties with respect to the terms and conditions of this Agreement, such disputes shall be resolved by and through an arbitration proceeding to be conducted under the auspices of the American Arbitration Association (or any like organization successor thereto) in Charlotte, North Carolina, or another location in North Carolina that is mutually agreed by the parties;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either party may seek temporary or preliminary injunctive relief, or other appropriate relief (including, without limitation, enforcement of Sections 4 and 5 above) from a court in aid of arbitration. Such arbitration proceeding shall be conducted pursuant to the commercial arbitration rules (formal or informal) of the American Arbitration Association in as expedited a manner as is then permitted by such rules (the “</w:t>
      </w:r>
      <w:r>
        <w:rPr>
          <w:rFonts w:ascii="Times New Roman;serif" w:hAnsi="Times New Roman;serif"/>
          <w:b w:val="false"/>
          <w:color w:val="000000"/>
          <w:sz w:val="24"/>
          <w:u w:val="single"/>
        </w:rPr>
        <w:t>Arbitration</w:t>
      </w:r>
      <w:r>
        <w:rPr>
          <w:color w:val="000000"/>
        </w:rPr>
        <w:t>”</w:t>
      </w:r>
      <w:r>
        <w:rPr>
          <w:rFonts w:ascii="Times New Roman;serif" w:hAnsi="Times New Roman;serif"/>
          <w:b w:val="false"/>
          <w:color w:val="000000"/>
          <w:sz w:val="24"/>
        </w:rPr>
        <w:t>). Both the foregoing agreement of the parties to arbitrate any and all such claims, and the results, determination, finding, judgment, and/or award rendered through such Arbitration, shall be final and binding on the parties to this Agreement and may be specifically enforced by legal proceedings. This Section 17(a) is without prejudice to the Executive’s statutory right to complain to an employment inspector and/or employment tribunal under Bermuda’s Employment Act 2.</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Procedure</w:t>
      </w:r>
      <w:r>
        <w:rPr>
          <w:rFonts w:ascii="Times New Roman;serif" w:hAnsi="Times New Roman;serif"/>
          <w:b w:val="false"/>
          <w:color w:val="000000"/>
          <w:sz w:val="24"/>
        </w:rPr>
        <w:t>. Such Arbitration may be initiated by written notice from either party to the other which shall be a compulsory and binding proceeding on each party. The Arbitration shall be conducted by an arbitrator selected in accordance with the procedures of the American Arbitration Association. Time is of the essence of this arbitration procedure, and the arbitrator shall be instructed and required to render his or her decision within thirty (30) days following completion of the Arbitration.</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Venue and Jurisdiction</w:t>
      </w:r>
      <w:r>
        <w:rPr>
          <w:rFonts w:ascii="Times New Roman;serif" w:hAnsi="Times New Roman;serif"/>
          <w:b w:val="false"/>
          <w:color w:val="000000"/>
          <w:sz w:val="24"/>
        </w:rPr>
        <w:t xml:space="preserve">. Any action to compel arbitration hereunder or otherwise relating to this Agreement shall be brought exclusively in either a state court or federal court located in Raleigh, North Carolina;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with respect to an action brought in Virginia, if a federal court has jurisdiction over the subject matter thereof, then such action shall be brought in federal court, and the Parent Company, the Company and Executive hereby irrevocably submit with regard to any such action or proceeding for itself and in respect to its property, generally and unconditionally, to the jurisdiction of the aforesaid courts.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IN THE EVENT OF ANY LITIGATION WITH RESPECT TO ANY MATTER CONNECTED WITH THIS AGREEMENT OR THE AGREEMENTS OR TRANSACTIONS CONTEMPLATED HEREUNDER ALL OF THE PARTIES HERETO WAIVE ALL RIGHTS TO A TRIAL BY JURY.</w:t>
      </w:r>
    </w:p>
    <w:p>
      <w:pPr>
        <w:pStyle w:val="TextBody"/>
        <w:bidi w:val="0"/>
        <w:spacing w:lineRule="auto" w:line="288" w:before="0" w:after="240"/>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COOPERATION</w:t>
      </w:r>
      <w:r>
        <w:rPr>
          <w:rFonts w:ascii="Times New Roman;serif" w:hAnsi="Times New Roman;serif"/>
          <w:b w:val="false"/>
          <w:color w:val="000000"/>
          <w:sz w:val="24"/>
        </w:rPr>
        <w:t xml:space="preserve">. Executive agrees that, upon reasonable notice and without the necessity of the Parent Company or the Company obtaining a subpoena or court order, Executive shall provide reasonable cooperation in connection with any suit, action or proceeding (or any appeal from any suit, action or proceeding), or the decision to commence on behalf of the Parent Company or the Company any suit, action or proceeding, and any investigation and/or defense of any claims asserted against any of the Parent Company’s, the Company’s or their Affiliates’ current or former directors, officers, employees, shareholders, partners, members, agents or representatives of any of the foregoing, which relates to events occurring during Executive’s employment hereunder by the Parent Company and the Company as to which Executive may have relevant information (including but not limited to furnishing relevant information and materials to the Parent Company, the Company or their respective designees and/or providing testimony at depositions and at trial);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with respect to such cooperation occurring following termination of Executive’s employment, the Parent Company or the Company shall reimburse Executive for expenses reasonably incurred in connection herewith and shall schedule such cooperation to the extent reasonably practicable so as not to unreasonably interfere with Executive’s business or personal affairs. Notwithstanding anything to the contrary, in the event the Parent Company or the Company requests cooperation from Executive after her employment with the Parent Company or the Company has terminated and at a time when Executive is not receiving any severance pay from the Parent Company or the Company, Executive shall not be required to devote more than 40 hours of her time per year with respect to this Section 18, except that such 40 hour cap shall not include or apply to any time spent testifying at a deposition or at trial, or spent testifying before or being interviewed by any administrative or regulatory agency.</w:t>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[The balance of this page is intentionally left blank.]</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tbl>
      <w:tblPr>
        <w:tblW w:w="9829" w:type="dxa"/>
        <w:jc w:val="left"/>
        <w:tblInd w:w="0" w:type="dxa"/>
        <w:tblLayout w:type="fixed"/>
        <w:tblCellMar>
          <w:top w:w="28" w:type="dxa"/>
          <w:left w:w="28" w:type="dxa"/>
          <w:bottom w:w="28" w:type="dxa"/>
          <w:right w:w="28" w:type="dxa"/>
        </w:tblCellMar>
      </w:tblPr>
      <w:tblGrid>
        <w:gridCol w:w="719"/>
        <w:gridCol w:w="632"/>
        <w:gridCol w:w="632"/>
        <w:gridCol w:w="632"/>
        <w:gridCol w:w="632"/>
        <w:gridCol w:w="632"/>
        <w:gridCol w:w="632"/>
        <w:gridCol w:w="632"/>
        <w:gridCol w:w="632"/>
        <w:gridCol w:w="632"/>
        <w:gridCol w:w="632"/>
        <w:gridCol w:w="632"/>
        <w:gridCol w:w="632"/>
        <w:gridCol w:w="632"/>
        <w:gridCol w:w="894"/>
      </w:tblGrid>
      <w:tr>
        <w:trPr/>
        <w:tc>
          <w:tcPr>
            <w:tcW w:w="71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r>
      <w:tr>
        <w:trPr/>
        <w:tc>
          <w:tcPr>
            <w:tcW w:w="982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Kindly indicate your acceptance of this Agreement by signing and returning a copy of this letter to me.</w:t>
            </w:r>
          </w:p>
        </w:tc>
      </w:tr>
      <w:tr>
        <w:trPr/>
        <w:tc>
          <w:tcPr>
            <w:tcW w:w="982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Very truly yours,</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James River Group Holdings, Ltd.</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0"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Sarah Doran</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Sarah Doran</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James River Group, Inc.</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0"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Sarah Doran</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Sarah Doran</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ACCEPTED AND AGREED THIS 6TH DAY OF DECEMBER, 2023</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Jeanette L. Miller</w:t>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Jeanette L. Miller</w:t>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10.39</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360"/>
        <w:jc w:val="left"/>
        <w:rPr>
          <w:rFonts w:ascii="Times New Roman;serif" w:hAnsi="Times New Roman;serif"/>
          <w:b w:val="false"/>
          <w:color w:val="000000"/>
          <w:sz w:val="24"/>
        </w:rPr>
      </w:pPr>
      <w:r>
        <w:rPr>
          <w:rFonts w:ascii="Times New Roman;serif" w:hAnsi="Times New Roman;serif"/>
          <w:b w:val="false"/>
          <w:color w:val="000000"/>
          <w:sz w:val="24"/>
        </w:rPr>
        <w:t>April 27,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Ms. Jeanette L. Miller</w:t>
        <w:br/>
        <w:t>c/o the address set forth in the Company’s records</w: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First Amendment to the Employment Agreement</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dated as of December 4, 2023</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Dear Jeanette: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This letter (this “</w:t>
      </w:r>
      <w:r>
        <w:rPr>
          <w:rFonts w:ascii="Times New Roman;serif" w:hAnsi="Times New Roman;serif"/>
          <w:b w:val="false"/>
          <w:color w:val="000000"/>
          <w:sz w:val="24"/>
          <w:u w:val="single"/>
        </w:rPr>
        <w:t>Letter</w:t>
      </w:r>
      <w:r>
        <w:rPr>
          <w:color w:val="000000"/>
        </w:rPr>
        <w:t>”</w:t>
      </w:r>
      <w:r>
        <w:rPr>
          <w:rFonts w:ascii="Times New Roman;serif" w:hAnsi="Times New Roman;serif"/>
          <w:b w:val="false"/>
          <w:color w:val="000000"/>
          <w:sz w:val="24"/>
        </w:rPr>
        <w:t>) amends the employment agreement with James River Group Holdings Inc., a Delaware corporation (f/k/a James River Group Holdings, Ltd., a Bermuda exempted company) (“</w:t>
      </w:r>
      <w:r>
        <w:rPr>
          <w:rFonts w:ascii="Times New Roman;serif" w:hAnsi="Times New Roman;serif"/>
          <w:b w:val="false"/>
          <w:color w:val="000000"/>
          <w:sz w:val="24"/>
          <w:u w:val="single"/>
        </w:rPr>
        <w:t>Parent Company</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Holdings</w:t>
      </w:r>
      <w:r>
        <w:rPr>
          <w:color w:val="000000"/>
        </w:rPr>
        <w:t>”</w:t>
      </w:r>
      <w:r>
        <w:rPr>
          <w:rFonts w:ascii="Times New Roman;serif" w:hAnsi="Times New Roman;serif"/>
          <w:b w:val="false"/>
          <w:color w:val="000000"/>
          <w:sz w:val="24"/>
        </w:rPr>
        <w:t>), and its subsidiary James River Group,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dated as of December 4, 2023 (the “</w:t>
      </w:r>
      <w:r>
        <w:rPr>
          <w:rFonts w:ascii="Times New Roman;serif" w:hAnsi="Times New Roman;serif"/>
          <w:b w:val="false"/>
          <w:color w:val="000000"/>
          <w:sz w:val="24"/>
          <w:u w:val="single"/>
        </w:rPr>
        <w:t>Employment Agreement</w:t>
      </w:r>
      <w:r>
        <w:rPr>
          <w:color w:val="000000"/>
        </w:rPr>
        <w:t>”</w:t>
      </w:r>
      <w:r>
        <w:rPr>
          <w:rFonts w:ascii="Times New Roman;serif" w:hAnsi="Times New Roman;serif"/>
          <w:b w:val="false"/>
          <w:color w:val="000000"/>
          <w:sz w:val="24"/>
        </w:rPr>
        <w:t>). Capitalized terms used but not defined in this Letter shall have the meanings ascribed to them in the Employment Agreement (as amended herein).</w:t>
      </w:r>
    </w:p>
    <w:p>
      <w:pPr>
        <w:pStyle w:val="TextBody"/>
        <w:bidi w:val="0"/>
        <w:spacing w:lineRule="auto" w:line="288" w:before="120" w:after="12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Certain Defined Terms</w:t>
      </w:r>
      <w:r>
        <w:rPr>
          <w:rFonts w:ascii="Times New Roman;serif" w:hAnsi="Times New Roman;serif"/>
          <w:b w:val="false"/>
          <w:color w:val="000000"/>
          <w:sz w:val="24"/>
        </w:rPr>
        <w:t>. Effective as of the date of this Letter, all references to “Parent Company” and “Holdings” in the Employment Agreement shall be deemed to refer to James River Group Holdings, Inc., a Delaware corporation.</w:t>
      </w:r>
    </w:p>
    <w:p>
      <w:pPr>
        <w:pStyle w:val="TextBody"/>
        <w:bidi w:val="0"/>
        <w:spacing w:lineRule="auto" w:line="288" w:before="120" w:after="12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Short-Term Incentive Plan; Long-Term Incentive Plan</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2(b)</w:t>
      </w:r>
      <w:r>
        <w:rPr>
          <w:color w:val="000000"/>
        </w:rPr>
        <w:t xml:space="preserve"> </w:t>
      </w:r>
      <w:r>
        <w:rPr>
          <w:rFonts w:ascii="Times New Roman;serif" w:hAnsi="Times New Roman;serif"/>
          <w:b w:val="false"/>
          <w:color w:val="000000"/>
          <w:sz w:val="24"/>
        </w:rPr>
        <w:t xml:space="preserve">of the Employment Agreement is amended by deleting the fourth sentence of such </w:t>
      </w:r>
      <w:r>
        <w:rPr>
          <w:rFonts w:ascii="Times New Roman;serif" w:hAnsi="Times New Roman;serif"/>
          <w:b w:val="false"/>
          <w:color w:val="000000"/>
          <w:sz w:val="24"/>
          <w:u w:val="single"/>
        </w:rPr>
        <w:t>Section 2(b)</w:t>
      </w:r>
      <w:r>
        <w:rPr>
          <w:color w:val="000000"/>
        </w:rPr>
        <w:t xml:space="preserve"> </w:t>
      </w:r>
      <w:r>
        <w:rPr>
          <w:rFonts w:ascii="Times New Roman;serif" w:hAnsi="Times New Roman;serif"/>
          <w:b w:val="false"/>
          <w:color w:val="000000"/>
          <w:sz w:val="24"/>
        </w:rPr>
        <w:t xml:space="preserve">in its entirety and replacing it with the following new sentence: </w:t>
      </w:r>
    </w:p>
    <w:p>
      <w:pPr>
        <w:pStyle w:val="TextBody"/>
        <w:bidi w:val="0"/>
        <w:spacing w:lineRule="auto" w:line="288" w:before="120" w:after="120"/>
        <w:jc w:val="both"/>
        <w:rPr>
          <w:color w:val="000000"/>
        </w:rPr>
      </w:pPr>
      <w:r>
        <w:rPr>
          <w:color w:val="000000"/>
        </w:rPr>
        <w:t>“</w:t>
      </w:r>
      <w:r>
        <w:rPr>
          <w:rFonts w:ascii="Times New Roman;serif" w:hAnsi="Times New Roman;serif"/>
          <w:b w:val="false"/>
          <w:color w:val="000000"/>
          <w:sz w:val="24"/>
        </w:rPr>
        <w:t>Commencing as of the 2026 fiscal year, (i) the target STIP award for any year shall be 75% of Executive’s base salary, and (ii) the target LTIP award for any year shall be 100% of Executive’s base salary, in each case, for such year Executive is employed by the Company.”</w:t>
      </w:r>
    </w:p>
    <w:p>
      <w:pPr>
        <w:pStyle w:val="TextBody"/>
        <w:bidi w:val="0"/>
        <w:spacing w:lineRule="auto" w:line="288" w:before="120" w:after="120"/>
        <w:jc w:val="both"/>
        <w:rPr/>
      </w:pPr>
      <w:r>
        <w:rPr>
          <w:rFonts w:ascii="Times New Roman;serif" w:hAnsi="Times New Roman;serif"/>
          <w:b w:val="false"/>
          <w:color w:val="000000"/>
          <w:sz w:val="24"/>
        </w:rPr>
        <w:t xml:space="preserve">Except as expressly amended pursuant to this paragraph 2, the remainder of </w:t>
      </w:r>
      <w:r>
        <w:rPr>
          <w:rFonts w:ascii="Times New Roman;serif" w:hAnsi="Times New Roman;serif"/>
          <w:b w:val="false"/>
          <w:color w:val="000000"/>
          <w:sz w:val="24"/>
          <w:u w:val="single"/>
        </w:rPr>
        <w:t>Section 2(b)</w:t>
      </w:r>
      <w:r>
        <w:rPr>
          <w:color w:val="000000"/>
        </w:rPr>
        <w:t xml:space="preserve"> </w:t>
      </w:r>
      <w:r>
        <w:rPr>
          <w:rFonts w:ascii="Times New Roman;serif" w:hAnsi="Times New Roman;serif"/>
          <w:b w:val="false"/>
          <w:color w:val="000000"/>
          <w:sz w:val="24"/>
        </w:rPr>
        <w:t>of the Employment Agreement shall remain unmodified in any manner.</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13360"/>
                <wp:effectExtent l="0" t="0" r="0" b="0"/>
                <wp:wrapNone/>
                <wp:docPr id="73" name="Frame7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120" w:after="12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Duties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 xml:space="preserve">of the Employment Agreement is amended as follows (with deleted language </w:t>
      </w:r>
      <w:r>
        <w:rPr>
          <w:rFonts w:ascii="Times New Roman;serif" w:hAnsi="Times New Roman;serif"/>
          <w:b w:val="false"/>
          <w:strike/>
          <w:color w:val="000000"/>
          <w:sz w:val="24"/>
        </w:rPr>
        <w:t>struck through</w:t>
      </w:r>
      <w:r>
        <w:rPr>
          <w:color w:val="000000"/>
        </w:rPr>
        <w:t xml:space="preserve"> </w:t>
      </w:r>
      <w:r>
        <w:rPr>
          <w:rFonts w:ascii="Times New Roman;serif" w:hAnsi="Times New Roman;serif"/>
          <w:b w:val="false"/>
          <w:color w:val="000000"/>
          <w:sz w:val="24"/>
        </w:rPr>
        <w:t xml:space="preserve">and added language in </w:t>
      </w:r>
      <w:r>
        <w:rPr>
          <w:rFonts w:ascii="Times New Roman;serif" w:hAnsi="Times New Roman;serif"/>
          <w:b/>
          <w:color w:val="000000"/>
          <w:sz w:val="24"/>
          <w:u w:val="single"/>
        </w:rPr>
        <w:t>bold underline</w:t>
      </w:r>
      <w:r>
        <w:rPr>
          <w:rFonts w:ascii="Times New Roman;serif" w:hAnsi="Times New Roman;serif"/>
          <w:b w:val="false"/>
          <w:color w:val="000000"/>
          <w:sz w:val="24"/>
        </w:rPr>
        <w:t>):</w:t>
      </w:r>
    </w:p>
    <w:p>
      <w:pPr>
        <w:pStyle w:val="TextBody"/>
        <w:bidi w:val="0"/>
        <w:spacing w:lineRule="auto" w:line="288" w:before="120" w:after="120"/>
        <w:jc w:val="both"/>
        <w:rPr/>
      </w:pPr>
      <w:r>
        <w:rPr>
          <w:color w:val="000000"/>
        </w:rPr>
        <w:t>“</w:t>
      </w:r>
      <w:r>
        <w:rPr>
          <w:rFonts w:ascii="Times New Roman;serif" w:hAnsi="Times New Roman;serif"/>
          <w:b w:val="false"/>
          <w:color w:val="000000"/>
          <w:sz w:val="24"/>
          <w:u w:val="single"/>
        </w:rPr>
        <w:t>Duties</w:t>
      </w:r>
      <w:r>
        <w:rPr>
          <w:rFonts w:ascii="Times New Roman;serif" w:hAnsi="Times New Roman;serif"/>
          <w:b w:val="false"/>
          <w:color w:val="000000"/>
          <w:sz w:val="24"/>
        </w:rPr>
        <w:t>. Executive shall perform all duties normally associated with the position of Senior Vice President, Chief Legal Officer of the Parent Company and all duties normally associated with the position of Senior Vice President, Chief Legal Officer of the Company. In her capacity as Senior Vice President, Chief Legal Officer of the Parent Company, Executive shall report directly to the Chief Financial Officer of the Parent Company, and as Senior Vice President, Chief Legal Officer of the Company, Executive shall report directly to the Chief Financial Officer of the Company. Executive will devote her entire working time, attention, and energies to carrying out and fulfilling her duties and responsibilities under this Agreement. Executive agrees to abide by all policies applicable to employees of the Company Group adopted by the Parent Board.</w:t>
      </w:r>
      <w:r>
        <w:rPr>
          <w:strike/>
          <w:color w:val="000000"/>
        </w:rPr>
        <w:t xml:space="preserve"> </w:t>
      </w:r>
      <w:r>
        <w:rPr>
          <w:rFonts w:ascii="Times New Roman;serif" w:hAnsi="Times New Roman;serif"/>
          <w:b w:val="false"/>
          <w:strike/>
          <w:color w:val="000000"/>
          <w:sz w:val="24"/>
        </w:rPr>
        <w:t>Executive’s duties as Senior Vice President, Chief Legal Officer of the Parent Company will be performed primarily at the Parent Company’s offices in Pembroke, Bermuda, and the</w:t>
      </w:r>
      <w:r>
        <w:rPr>
          <w:color w:val="000000"/>
        </w:rPr>
        <w:t xml:space="preserve"> </w:t>
      </w:r>
      <w:r>
        <w:rPr>
          <w:rFonts w:ascii="Times New Roman;serif" w:hAnsi="Times New Roman;serif"/>
          <w:b w:val="false"/>
          <w:color w:val="000000"/>
          <w:sz w:val="24"/>
        </w:rPr>
        <w:t xml:space="preserve">Executive's duties as Senior Vice President, Chief Legal Officer of the </w:t>
      </w:r>
      <w:r>
        <w:rPr>
          <w:rFonts w:ascii="Times New Roman;serif" w:hAnsi="Times New Roman;serif"/>
          <w:b/>
          <w:color w:val="000000"/>
          <w:sz w:val="24"/>
          <w:u w:val="single"/>
        </w:rPr>
        <w:t>Parent Company and the</w:t>
      </w:r>
      <w:r>
        <w:rPr>
          <w:color w:val="000000"/>
        </w:rPr>
        <w:t xml:space="preserve"> </w:t>
      </w:r>
      <w:r>
        <w:rPr>
          <w:rFonts w:ascii="Times New Roman;serif" w:hAnsi="Times New Roman;serif"/>
          <w:b w:val="false"/>
          <w:color w:val="000000"/>
          <w:sz w:val="24"/>
        </w:rPr>
        <w:t xml:space="preserve">Company will be performed primarily at the Company’s offices in Chapel Hill, North Carolina; </w:t>
      </w:r>
      <w:r>
        <w:rPr>
          <w:rFonts w:ascii="Times New Roman;serif" w:hAnsi="Times New Roman;serif"/>
          <w:b w:val="false"/>
          <w:color w:val="000000"/>
          <w:sz w:val="24"/>
          <w:u w:val="single"/>
        </w:rPr>
        <w:t>provided, however</w:t>
      </w:r>
      <w:r>
        <w:rPr>
          <w:rFonts w:ascii="Times New Roman;serif" w:hAnsi="Times New Roman;serif"/>
          <w:b w:val="false"/>
          <w:color w:val="000000"/>
          <w:sz w:val="24"/>
        </w:rPr>
        <w:t>, that the foregoing duties may be performed in locations other than the aforementioned locations if the business of the Company and the Parent Company so require</w:t>
      </w:r>
      <w:r>
        <w:rPr>
          <w:rFonts w:ascii="Times New Roman;serif" w:hAnsi="Times New Roman;serif"/>
          <w:b w:val="false"/>
          <w:strike/>
          <w:color w:val="000000"/>
          <w:sz w:val="24"/>
        </w:rPr>
        <w:t>, but at all times the Executive shall comply with the operational guidelines of the Parent Company and the Company with respect to the scope of duties and activities to be performed in Bermuda and the United States, as in effect from time to time</w:t>
      </w:r>
      <w:r>
        <w:rPr>
          <w:rFonts w:ascii="Times New Roman;serif" w:hAnsi="Times New Roman;serif"/>
          <w:b w:val="false"/>
          <w:color w:val="000000"/>
          <w:sz w:val="24"/>
        </w:rPr>
        <w:t xml:space="preserve">. Executive represents that she is able and willing to engage in </w:t>
      </w:r>
      <w:r>
        <w:rPr>
          <w:rFonts w:ascii="Times New Roman;serif" w:hAnsi="Times New Roman;serif"/>
          <w:b w:val="false"/>
          <w:strike/>
          <w:color w:val="000000"/>
          <w:sz w:val="24"/>
        </w:rPr>
        <w:t>travel to Bermuda and other</w:t>
      </w:r>
      <w:r>
        <w:rPr>
          <w:color w:val="000000"/>
        </w:rPr>
        <w:t xml:space="preserve"> </w:t>
      </w:r>
      <w:r>
        <w:rPr>
          <w:rFonts w:ascii="Times New Roman;serif" w:hAnsi="Times New Roman;serif"/>
          <w:b w:val="false"/>
          <w:color w:val="000000"/>
          <w:sz w:val="24"/>
        </w:rPr>
        <w:t>international travel as is necessary to the business interests of the Company Group.”</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13360"/>
                <wp:effectExtent l="0" t="0" r="0" b="0"/>
                <wp:wrapNone/>
                <wp:docPr id="74" name="Frame73"/>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120" w:after="12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Confidential Information and Privileged Information</w:t>
      </w:r>
      <w:r>
        <w:rPr>
          <w:rFonts w:ascii="Times New Roman;serif" w:hAnsi="Times New Roman;serif"/>
          <w:b w:val="false"/>
          <w:color w:val="000000"/>
          <w:sz w:val="24"/>
        </w:rPr>
        <w:t xml:space="preserve">. The section heading for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 xml:space="preserve">of the Employment Agreement is hereby revised as follows (with added language in </w:t>
      </w:r>
      <w:r>
        <w:rPr>
          <w:rFonts w:ascii="Times New Roman;serif" w:hAnsi="Times New Roman;serif"/>
          <w:b/>
          <w:color w:val="000000"/>
          <w:sz w:val="24"/>
          <w:u w:val="single"/>
        </w:rPr>
        <w:t>bold underline</w:t>
      </w:r>
      <w:r>
        <w:rPr>
          <w:rFonts w:ascii="Times New Roman;serif" w:hAnsi="Times New Roman;serif"/>
          <w:b w:val="false"/>
          <w:color w:val="000000"/>
          <w:sz w:val="24"/>
        </w:rPr>
        <w:t xml:space="preserve">): </w:t>
      </w:r>
    </w:p>
    <w:p>
      <w:pPr>
        <w:pStyle w:val="TextBody"/>
        <w:bidi w:val="0"/>
        <w:spacing w:lineRule="auto" w:line="288" w:before="120" w:after="120"/>
        <w:jc w:val="both"/>
        <w:rPr/>
      </w:pPr>
      <w:r>
        <w:rPr>
          <w:color w:val="000000"/>
        </w:rPr>
        <w:t>“</w:t>
      </w:r>
      <w:r>
        <w:rPr>
          <w:rFonts w:ascii="Times New Roman;serif" w:hAnsi="Times New Roman;serif"/>
          <w:b w:val="false"/>
          <w:color w:val="000000"/>
          <w:sz w:val="24"/>
        </w:rPr>
        <w:t>CONFIDENTIAL INFORMATION AND PRIVILEGED INFORMATION</w:t>
      </w:r>
      <w:r>
        <w:rPr>
          <w:rFonts w:ascii="Times New Roman;serif" w:hAnsi="Times New Roman;serif"/>
          <w:b/>
          <w:color w:val="000000"/>
          <w:sz w:val="24"/>
          <w:u w:val="single"/>
        </w:rPr>
        <w:t>; RIGHT TO COMMUNICATE</w:t>
      </w:r>
      <w:r>
        <w:rPr>
          <w:rFonts w:ascii="Times New Roman;serif" w:hAnsi="Times New Roman;serif"/>
          <w:b w:val="false"/>
          <w:color w:val="000000"/>
          <w:sz w:val="24"/>
        </w:rPr>
        <w:t>.”</w:t>
      </w:r>
    </w:p>
    <w:p>
      <w:pPr>
        <w:pStyle w:val="TextBody"/>
        <w:bidi w:val="0"/>
        <w:spacing w:lineRule="auto" w:line="288" w:before="120" w:after="120"/>
        <w:jc w:val="both"/>
        <w:rPr/>
      </w:pPr>
      <w:r>
        <w:rPr>
          <w:rFonts w:ascii="Times New Roman;serif" w:hAnsi="Times New Roman;serif"/>
          <w:b w:val="false"/>
          <w:color w:val="000000"/>
          <w:sz w:val="24"/>
          <w:u w:val="single"/>
        </w:rPr>
        <w:t>Section 4(c)</w:t>
      </w:r>
      <w:r>
        <w:rPr>
          <w:color w:val="000000"/>
        </w:rPr>
        <w:t xml:space="preserve"> </w:t>
      </w:r>
      <w:r>
        <w:rPr>
          <w:rFonts w:ascii="Times New Roman;serif" w:hAnsi="Times New Roman;serif"/>
          <w:b w:val="false"/>
          <w:color w:val="000000"/>
          <w:sz w:val="24"/>
        </w:rPr>
        <w:t xml:space="preserve">of the Employment Agreement is amended as follows (with deleted language </w:t>
      </w:r>
      <w:r>
        <w:rPr>
          <w:rFonts w:ascii="Times New Roman;serif" w:hAnsi="Times New Roman;serif"/>
          <w:b w:val="false"/>
          <w:strike/>
          <w:color w:val="000000"/>
          <w:sz w:val="24"/>
        </w:rPr>
        <w:t>struck through</w:t>
      </w:r>
      <w:r>
        <w:rPr>
          <w:color w:val="000000"/>
        </w:rPr>
        <w:t xml:space="preserve"> </w:t>
      </w:r>
      <w:r>
        <w:rPr>
          <w:rFonts w:ascii="Times New Roman;serif" w:hAnsi="Times New Roman;serif"/>
          <w:b w:val="false"/>
          <w:color w:val="000000"/>
          <w:sz w:val="24"/>
        </w:rPr>
        <w:t xml:space="preserve">and added language in </w:t>
      </w:r>
      <w:r>
        <w:rPr>
          <w:rFonts w:ascii="Times New Roman;serif" w:hAnsi="Times New Roman;serif"/>
          <w:b/>
          <w:color w:val="000000"/>
          <w:sz w:val="24"/>
          <w:u w:val="single"/>
        </w:rPr>
        <w:t>bold underline</w:t>
      </w:r>
      <w:r>
        <w:rPr>
          <w:rFonts w:ascii="Times New Roman;serif" w:hAnsi="Times New Roman;serif"/>
          <w:b w:val="false"/>
          <w:color w:val="000000"/>
          <w:sz w:val="24"/>
        </w:rPr>
        <w:t>):</w:t>
      </w:r>
    </w:p>
    <w:p>
      <w:pPr>
        <w:pStyle w:val="TextBody"/>
        <w:bidi w:val="0"/>
        <w:spacing w:lineRule="auto" w:line="288" w:before="120" w:after="120"/>
        <w:jc w:val="both"/>
        <w:rPr/>
      </w:pPr>
      <w:r>
        <w:rPr>
          <w:rFonts w:ascii="Times New Roman;serif" w:hAnsi="Times New Roman;serif"/>
          <w:b w:val="false"/>
          <w:color w:val="000000"/>
          <w:sz w:val="24"/>
        </w:rPr>
        <w:t>(c) “</w:t>
      </w:r>
      <w:r>
        <w:rPr>
          <w:rFonts w:ascii="Times New Roman;serif" w:hAnsi="Times New Roman;serif"/>
          <w:b/>
          <w:color w:val="000000"/>
          <w:sz w:val="24"/>
          <w:u w:val="single"/>
        </w:rPr>
        <w:t>Notwithstanding any provision of this Agreement to the contrary or any other agreement executed by Executive to the contrary, there shall be no restriction on Executive’s ability to (a) speak with law enforcement, the United States Equal Employment Opportunity Commission, or any state or local agency charged with the investigation or enforcement of equal employment opportunity, or an attorney retained by Executive; (b) report violations of any law or regulation to, or initiate, testify, assist, comply with a subpoena from, or participate in any manner with an investigation conducted by, an appropriate local, state, or federal agency; (c) testify in an administrative, legislative, or judicial proceeding concerning alleged criminal conduct or alleged sexual harassment on the part of the Company Group or any agent or employee of the Company Group, when Executive has been required or requested to attend the proceeding pursuant to a court order, subpoena, or written request from an administrative agency or the legislature, or otherwise provide truthful testimony or information pursuant to subpoena, court order, or similar legal process; (d) otherwise engage in whistleblower activity protected by the Exchange Act, the Dodd Frank Act, or any rules or regulations issued thereunder, including, without limitation, Rule 21F-17; or (e) file or disclose any facts necessary to receive unemployment insurance, Medicaid, or other public benefits to which Executive is entitled.</w:t>
      </w:r>
      <w:r>
        <w:rPr>
          <w:strike/>
          <w:color w:val="000000"/>
        </w:rPr>
        <w:t xml:space="preserve"> </w:t>
      </w:r>
      <w:r>
        <w:rPr>
          <w:rFonts w:ascii="Times New Roman;serif" w:hAnsi="Times New Roman;serif"/>
          <w:b w:val="false"/>
          <w:strike/>
          <w:color w:val="0E0E0E"/>
          <w:sz w:val="24"/>
        </w:rPr>
        <w:t>Notwithstanding any provision of this Agreement to the contrary,</w:t>
      </w:r>
      <w:r>
        <w:rPr>
          <w:color w:val="0E0E0E"/>
        </w:rPr>
        <w:t xml:space="preserve"> </w:t>
      </w:r>
      <w:r>
        <w:rPr>
          <w:rFonts w:ascii="Times New Roman;serif" w:hAnsi="Times New Roman;serif"/>
          <w:b/>
          <w:color w:val="000000"/>
          <w:sz w:val="24"/>
          <w:u w:val="single"/>
        </w:rPr>
        <w:t>In addition,</w:t>
      </w:r>
      <w:r>
        <w:rPr>
          <w:color w:val="000000"/>
        </w:rPr>
        <w:t xml:space="preserve"> </w:t>
      </w:r>
      <w:r>
        <w:rPr>
          <w:rFonts w:ascii="Times New Roman;serif" w:hAnsi="Times New Roman;serif"/>
          <w:b w:val="false"/>
          <w:color w:val="000000"/>
          <w:sz w:val="24"/>
        </w:rPr>
        <w:t>under 18 U.S.C. §1833(b), “</w:t>
      </w:r>
      <w:r>
        <w:rPr>
          <w:rFonts w:ascii="Times New Roman;serif" w:hAnsi="Times New Roman;serif"/>
          <w:b/>
          <w:color w:val="000000"/>
          <w:sz w:val="24"/>
          <w:u w:val="single"/>
        </w:rPr>
        <w:t>(1)</w:t>
      </w:r>
      <w:r>
        <w:rPr>
          <w:color w:val="000000"/>
        </w:rPr>
        <w:t xml:space="preserve"> </w:t>
      </w:r>
      <w:r>
        <w:rPr>
          <w:rFonts w:ascii="Times New Roman;serif" w:hAnsi="Times New Roman;serif"/>
          <w:b w:val="false"/>
          <w:color w:val="000000"/>
          <w:sz w:val="24"/>
        </w:rPr>
        <w:t>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r>
        <w:rPr>
          <w:color w:val="000000"/>
          <w:u w:val="single"/>
        </w:rPr>
        <w:t xml:space="preserve"> </w:t>
      </w:r>
      <w:r>
        <w:rPr>
          <w:rFonts w:ascii="Times New Roman;serif" w:hAnsi="Times New Roman;serif"/>
          <w:b/>
          <w:color w:val="000000"/>
          <w:sz w:val="24"/>
          <w:u w:val="single"/>
        </w:rPr>
        <w:t>(2)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r>
        <w:rPr>
          <w:color w:val="000000"/>
        </w:rPr>
        <w:t xml:space="preserve"> </w:t>
      </w:r>
      <w:r>
        <w:rPr>
          <w:rFonts w:ascii="Times New Roman;serif" w:hAnsi="Times New Roman;serif"/>
          <w:b w:val="false"/>
          <w:color w:val="000000"/>
          <w:sz w:val="24"/>
        </w:rPr>
        <w:t>Nothing in this Agreement</w:t>
      </w:r>
      <w:r>
        <w:rPr>
          <w:rFonts w:ascii="Times New Roman;serif" w:hAnsi="Times New Roman;serif"/>
          <w:b/>
          <w:color w:val="000000"/>
          <w:sz w:val="24"/>
          <w:u w:val="single"/>
        </w:rPr>
        <w:t>, any other agreement executed by Executive,</w:t>
      </w:r>
      <w:r>
        <w:rPr>
          <w:color w:val="000000"/>
        </w:rPr>
        <w:t xml:space="preserve"> </w:t>
      </w:r>
      <w:r>
        <w:rPr>
          <w:rFonts w:ascii="Times New Roman;serif" w:hAnsi="Times New Roman;serif"/>
          <w:b w:val="false"/>
          <w:color w:val="000000"/>
          <w:sz w:val="24"/>
        </w:rPr>
        <w:t>or any other policies of the</w:t>
      </w:r>
      <w:r>
        <w:rPr>
          <w:strike/>
          <w:color w:val="000000"/>
        </w:rPr>
        <w:t xml:space="preserve"> </w:t>
      </w:r>
      <w:r>
        <w:rPr>
          <w:rFonts w:ascii="Times New Roman;serif" w:hAnsi="Times New Roman;serif"/>
          <w:b w:val="false"/>
          <w:strike/>
          <w:color w:val="000000"/>
          <w:sz w:val="24"/>
        </w:rPr>
        <w:t>Companies</w:t>
      </w:r>
      <w:r>
        <w:rPr>
          <w:color w:val="000000"/>
        </w:rPr>
        <w:t xml:space="preserve"> </w:t>
      </w:r>
      <w:r>
        <w:rPr>
          <w:rFonts w:ascii="Times New Roman;serif" w:hAnsi="Times New Roman;serif"/>
          <w:b/>
          <w:color w:val="000000"/>
          <w:sz w:val="24"/>
          <w:u w:val="single"/>
        </w:rPr>
        <w:t>Company Group</w:t>
      </w:r>
      <w:r>
        <w:rPr>
          <w:color w:val="000000"/>
        </w:rPr>
        <w:t xml:space="preserve"> </w:t>
      </w:r>
      <w:r>
        <w:rPr>
          <w:rFonts w:ascii="Times New Roman;serif" w:hAnsi="Times New Roman;serif"/>
          <w:b w:val="false"/>
          <w:color w:val="000000"/>
          <w:sz w:val="24"/>
        </w:rPr>
        <w:t>is intended to conflict with this statutory protection, and no director, officer, or member of management has the authority to impose any rule to the contrary. In addition, the confidentiality and non-disparagement prohibitions in this Agreement shall not apply to a sexual assault dispute or sexual harassment dispute arising after the date Executive commenced her employment with the Company Group.</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13360"/>
                <wp:effectExtent l="0" t="0" r="0" b="0"/>
                <wp:wrapNone/>
                <wp:docPr id="75" name="Frame74"/>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120" w:after="12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Compensation and Benefits Upon Termination</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7(d)</w:t>
      </w:r>
      <w:r>
        <w:rPr>
          <w:color w:val="000000"/>
        </w:rPr>
        <w:t xml:space="preserve"> </w:t>
      </w:r>
      <w:r>
        <w:rPr>
          <w:rFonts w:ascii="Times New Roman;serif" w:hAnsi="Times New Roman;serif"/>
          <w:b w:val="false"/>
          <w:color w:val="000000"/>
          <w:sz w:val="24"/>
        </w:rPr>
        <w:t>of the Employment Agreement is amended and restated by replacing it in its entirety with the following:</w:t>
      </w:r>
      <w:r>
        <w:rPr>
          <w:color w:val="000000"/>
          <w:u w:val="single"/>
        </w:rPr>
        <w:t xml:space="preserve">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4"/>
        </w:rPr>
        <w:t>(d) For purposes of this Agreement, “</w:t>
      </w:r>
      <w:r>
        <w:rPr>
          <w:rFonts w:ascii="Times New Roman;serif" w:hAnsi="Times New Roman;serif"/>
          <w:b w:val="false"/>
          <w:color w:val="000000"/>
          <w:sz w:val="24"/>
          <w:u w:val="single"/>
        </w:rPr>
        <w:t>Termination Date</w:t>
      </w:r>
      <w:r>
        <w:rPr>
          <w:color w:val="000000"/>
        </w:rPr>
        <w:t xml:space="preserve">” </w:t>
      </w:r>
      <w:r>
        <w:rPr>
          <w:rFonts w:ascii="Times New Roman;serif" w:hAnsi="Times New Roman;serif"/>
          <w:b w:val="false"/>
          <w:color w:val="000000"/>
          <w:sz w:val="24"/>
        </w:rPr>
        <w:t>means the date of Executive’s “separation from service” within the meaning of Section 409A of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and the regulations promulgated thereunder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xml:space="preserve">). For purposes of this Agreement, “Change in Control” shall have the meaning ascribed to it in the James River Group Holdings, Inc. 2014 Long-Term Incentive Plan, as amended.” </w:t>
      </w:r>
    </w:p>
    <w:p>
      <w:pPr>
        <w:pStyle w:val="TextBody"/>
        <w:bidi w:val="0"/>
        <w:spacing w:lineRule="auto" w:line="288" w:before="120" w:after="12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Arbitration</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17(a)</w:t>
      </w:r>
      <w:r>
        <w:rPr>
          <w:color w:val="000000"/>
        </w:rPr>
        <w:t xml:space="preserve"> </w:t>
      </w:r>
      <w:r>
        <w:rPr>
          <w:rFonts w:ascii="Times New Roman;serif" w:hAnsi="Times New Roman;serif"/>
          <w:b w:val="false"/>
          <w:color w:val="000000"/>
          <w:sz w:val="24"/>
        </w:rPr>
        <w:t xml:space="preserve">of the Employment Agreement is amended by deleting the last sentence of such </w:t>
      </w:r>
      <w:r>
        <w:rPr>
          <w:rFonts w:ascii="Times New Roman;serif" w:hAnsi="Times New Roman;serif"/>
          <w:b w:val="false"/>
          <w:color w:val="000000"/>
          <w:sz w:val="24"/>
          <w:u w:val="single"/>
        </w:rPr>
        <w:t>Section 17(a)</w:t>
      </w:r>
      <w:r>
        <w:rPr>
          <w:color w:val="000000"/>
        </w:rPr>
        <w:t xml:space="preserve"> </w:t>
      </w:r>
      <w:r>
        <w:rPr>
          <w:rFonts w:ascii="Times New Roman;serif" w:hAnsi="Times New Roman;serif"/>
          <w:b w:val="false"/>
          <w:color w:val="000000"/>
          <w:sz w:val="24"/>
        </w:rPr>
        <w:t xml:space="preserve">in its entirety. Except as expressly amended pursuant to this paragraph 6, the remainder of </w:t>
      </w:r>
      <w:r>
        <w:rPr>
          <w:rFonts w:ascii="Times New Roman;serif" w:hAnsi="Times New Roman;serif"/>
          <w:b w:val="false"/>
          <w:color w:val="000000"/>
          <w:sz w:val="24"/>
          <w:u w:val="single"/>
        </w:rPr>
        <w:t>Section 17(a)</w:t>
      </w:r>
      <w:r>
        <w:rPr>
          <w:color w:val="000000"/>
        </w:rPr>
        <w:t xml:space="preserve"> </w:t>
      </w:r>
      <w:r>
        <w:rPr>
          <w:rFonts w:ascii="Times New Roman;serif" w:hAnsi="Times New Roman;serif"/>
          <w:b w:val="false"/>
          <w:color w:val="000000"/>
          <w:sz w:val="24"/>
        </w:rPr>
        <w:t>of the Employment Agreement shall remain unmodified in any manner.</w:t>
      </w:r>
    </w:p>
    <w:p>
      <w:pPr>
        <w:pStyle w:val="TextBody"/>
        <w:bidi w:val="0"/>
        <w:spacing w:lineRule="auto" w:line="288" w:before="120" w:after="12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17(d)</w:t>
      </w:r>
      <w:r>
        <w:rPr>
          <w:color w:val="000000"/>
        </w:rPr>
        <w:t xml:space="preserve"> </w:t>
      </w:r>
      <w:r>
        <w:rPr>
          <w:rFonts w:ascii="Times New Roman;serif" w:hAnsi="Times New Roman;serif"/>
          <w:b w:val="false"/>
          <w:color w:val="000000"/>
          <w:sz w:val="24"/>
        </w:rPr>
        <w:t xml:space="preserve">of the Employment Agreement is amended as follows (with added language in </w:t>
      </w:r>
      <w:r>
        <w:rPr>
          <w:rFonts w:ascii="Times New Roman;serif" w:hAnsi="Times New Roman;serif"/>
          <w:b/>
          <w:color w:val="000000"/>
          <w:sz w:val="24"/>
          <w:u w:val="single"/>
        </w:rPr>
        <w:t>bold underline</w:t>
      </w:r>
      <w:r>
        <w:rPr>
          <w:rFonts w:ascii="Times New Roman;serif" w:hAnsi="Times New Roman;serif"/>
          <w:b w:val="false"/>
          <w:color w:val="000000"/>
          <w:sz w:val="24"/>
        </w:rPr>
        <w: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4"/>
        </w:rPr>
        <w:t xml:space="preserve">(d) </w:t>
      </w:r>
      <w:r>
        <w:rPr>
          <w:rFonts w:ascii="Times New Roman;serif" w:hAnsi="Times New Roman;serif"/>
          <w:b w:val="false"/>
          <w:color w:val="0E0E0E"/>
          <w:sz w:val="24"/>
          <w:u w:val="single"/>
        </w:rPr>
        <w:t>Waiver of Jury Trial</w:t>
      </w:r>
      <w:r>
        <w:rPr>
          <w:rFonts w:ascii="Times New Roman;serif" w:hAnsi="Times New Roman;serif"/>
          <w:b w:val="false"/>
          <w:color w:val="0E0E0E"/>
          <w:sz w:val="24"/>
        </w:rPr>
        <w:t>. IN THE EVENT OF ANY LITIGATION WITH RESPECT TO ANY MATTER CONNECTED WITH THIS AGREEMENT OR THE AGREEMENTS OR TRANSACTIONS CONTEMPLATED HEREUNDER ALL OF THE PARTIES HERETO WAIVE ALL RIGHTS TO A TRIAL BY JURY</w:t>
      </w:r>
      <w:r>
        <w:rPr>
          <w:rFonts w:ascii="Times New Roman;serif" w:hAnsi="Times New Roman;serif"/>
          <w:b/>
          <w:color w:val="000000"/>
          <w:sz w:val="24"/>
          <w:u w:val="single"/>
        </w:rPr>
        <w:t>, UNLESS APPLICABLE LAW PROHIBITS SUCH WAIVER</w:t>
      </w:r>
      <w:r>
        <w:rPr>
          <w:rFonts w:ascii="Times New Roman;serif" w:hAnsi="Times New Roman;serif"/>
          <w:b w:val="false"/>
          <w:color w:val="000000"/>
          <w:sz w:val="24"/>
        </w:rPr>
        <w:t>.”</w:t>
      </w:r>
    </w:p>
    <w:p>
      <w:pPr>
        <w:pStyle w:val="TextBody"/>
        <w:bidi w:val="0"/>
        <w:spacing w:lineRule="auto" w:line="288" w:before="120" w:after="12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Third-Party Beneficiaries</w:t>
      </w:r>
      <w:r>
        <w:rPr>
          <w:rFonts w:ascii="Times New Roman;serif" w:hAnsi="Times New Roman;serif"/>
          <w:b w:val="false"/>
          <w:color w:val="000000"/>
          <w:sz w:val="24"/>
        </w:rPr>
        <w:t xml:space="preserve">. A new </w:t>
      </w:r>
      <w:r>
        <w:rPr>
          <w:rFonts w:ascii="Times New Roman;serif" w:hAnsi="Times New Roman;serif"/>
          <w:b w:val="false"/>
          <w:color w:val="000000"/>
          <w:sz w:val="24"/>
          <w:u w:val="single"/>
        </w:rPr>
        <w:t>Section 19</w:t>
      </w:r>
      <w:r>
        <w:rPr>
          <w:color w:val="000000"/>
        </w:rPr>
        <w:t xml:space="preserve"> </w:t>
      </w:r>
      <w:r>
        <w:rPr>
          <w:rFonts w:ascii="Times New Roman;serif" w:hAnsi="Times New Roman;serif"/>
          <w:b w:val="false"/>
          <w:color w:val="000000"/>
          <w:sz w:val="24"/>
        </w:rPr>
        <w:t>of the Employment Agreement is hereby added as follows:</w:t>
      </w:r>
    </w:p>
    <w:p>
      <w:pPr>
        <w:pStyle w:val="TextBody"/>
        <w:bidi w:val="0"/>
        <w:spacing w:lineRule="auto" w:line="288" w:before="120" w:after="120"/>
        <w:ind w:left="0" w:right="0" w:hanging="576"/>
        <w:jc w:val="both"/>
        <w:rPr/>
      </w:pPr>
      <w:r>
        <w:rPr>
          <w:color w:val="000000"/>
        </w:rPr>
        <w:t>“</w:t>
      </w:r>
      <w:r>
        <w:rPr>
          <w:rFonts w:ascii="Times New Roman;serif" w:hAnsi="Times New Roman;serif"/>
          <w:b w:val="false"/>
          <w:color w:val="000000"/>
          <w:sz w:val="24"/>
        </w:rPr>
        <w:t xml:space="preserve">19. </w:t>
      </w:r>
      <w:r>
        <w:rPr>
          <w:rFonts w:ascii="Times New Roman;serif" w:hAnsi="Times New Roman;serif"/>
          <w:b w:val="false"/>
          <w:color w:val="000000"/>
          <w:sz w:val="24"/>
          <w:u w:val="single"/>
        </w:rPr>
        <w:t>Third-Party Beneficiaries</w:t>
      </w:r>
      <w:r>
        <w:rPr>
          <w:rFonts w:ascii="Times New Roman;serif" w:hAnsi="Times New Roman;serif"/>
          <w:b w:val="false"/>
          <w:color w:val="000000"/>
          <w:sz w:val="24"/>
        </w:rPr>
        <w:t>. Parent Company and each of its Affiliates is a third-party beneficiary of this Agreement with respect to its Confidential Information and other business interests, and Holdings has the full right and power to enforce and protect its rights and interests under this Agreement without limitation or other restriction.”</w:t>
      </w:r>
    </w:p>
    <w:p>
      <w:pPr>
        <w:pStyle w:val="TextBody"/>
        <w:bidi w:val="0"/>
        <w:spacing w:lineRule="auto" w:line="288" w:before="120" w:after="12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Waiver</w:t>
      </w:r>
      <w:r>
        <w:rPr>
          <w:rFonts w:ascii="Times New Roman;serif" w:hAnsi="Times New Roman;serif"/>
          <w:b w:val="false"/>
          <w:color w:val="000000"/>
          <w:sz w:val="24"/>
        </w:rPr>
        <w:t xml:space="preserve">. A new </w:t>
      </w:r>
      <w:r>
        <w:rPr>
          <w:rFonts w:ascii="Times New Roman;serif" w:hAnsi="Times New Roman;serif"/>
          <w:b w:val="false"/>
          <w:color w:val="000000"/>
          <w:sz w:val="24"/>
          <w:u w:val="single"/>
        </w:rPr>
        <w:t>Section 20</w:t>
      </w:r>
      <w:r>
        <w:rPr>
          <w:color w:val="000000"/>
        </w:rPr>
        <w:t xml:space="preserve"> </w:t>
      </w:r>
      <w:r>
        <w:rPr>
          <w:rFonts w:ascii="Times New Roman;serif" w:hAnsi="Times New Roman;serif"/>
          <w:b w:val="false"/>
          <w:color w:val="000000"/>
          <w:sz w:val="24"/>
        </w:rPr>
        <w:t>of the Employment Agreement is hereby added as follows:</w:t>
      </w:r>
    </w:p>
    <w:p>
      <w:pPr>
        <w:pStyle w:val="TextBody"/>
        <w:bidi w:val="0"/>
        <w:spacing w:lineRule="auto" w:line="288" w:before="120" w:after="120"/>
        <w:ind w:left="0" w:right="0" w:hanging="576"/>
        <w:jc w:val="both"/>
        <w:rPr/>
      </w:pPr>
      <w:r>
        <w:rPr>
          <w:color w:val="000000"/>
        </w:rPr>
        <w:t>“</w:t>
      </w:r>
      <w:r>
        <w:rPr>
          <w:rFonts w:ascii="Times New Roman;serif" w:hAnsi="Times New Roman;serif"/>
          <w:b w:val="false"/>
          <w:color w:val="000000"/>
          <w:sz w:val="24"/>
        </w:rPr>
        <w:t xml:space="preserve">20. </w:t>
      </w:r>
      <w:r>
        <w:rPr>
          <w:rFonts w:ascii="Times New Roman;serif" w:hAnsi="Times New Roman;serif"/>
          <w:b w:val="false"/>
          <w:color w:val="000000"/>
          <w:sz w:val="24"/>
          <w:u w:val="single"/>
        </w:rPr>
        <w:t>Waiver</w:t>
      </w:r>
      <w:r>
        <w:rPr>
          <w:rFonts w:ascii="Times New Roman;serif" w:hAnsi="Times New Roman;serif"/>
          <w:b w:val="false"/>
          <w:color w:val="000000"/>
          <w:sz w:val="24"/>
        </w:rPr>
        <w:t>. Except as expressly provided herein, no delay or failure of either party to exercise any right under this Agreement, and no partial or single exercise of any right, shall constitute a waiver of that or any other right unless expressly so provided in writing, and no such waiver shall operate or be construed as the waiver of the same or of another breach on a prior or subsequent occasion.”</w:t>
      </w:r>
    </w:p>
    <w:p>
      <w:pPr>
        <w:pStyle w:val="TextBody"/>
        <w:bidi w:val="0"/>
        <w:spacing w:lineRule="auto" w:line="288" w:before="120" w:after="12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No Other Modifications</w:t>
      </w:r>
      <w:r>
        <w:rPr>
          <w:rFonts w:ascii="Times New Roman;serif" w:hAnsi="Times New Roman;serif"/>
          <w:b w:val="false"/>
          <w:color w:val="000000"/>
          <w:sz w:val="24"/>
        </w:rPr>
        <w:t xml:space="preserve">. Pursuant to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 xml:space="preserve">of the Employment Agreement (“Entire Agreement; Amendments; Counterparts”), the Employment Agreement is hereby deemed to be amended, </w:t>
      </w:r>
      <w:r>
        <w:rPr>
          <w:rFonts w:ascii="Times New Roman;serif" w:hAnsi="Times New Roman;serif"/>
          <w:b w:val="false"/>
          <w:i/>
          <w:color w:val="000000"/>
          <w:sz w:val="24"/>
        </w:rPr>
        <w:t>mutatis mutandis</w:t>
      </w:r>
      <w:r>
        <w:rPr>
          <w:rFonts w:ascii="Times New Roman;serif" w:hAnsi="Times New Roman;serif"/>
          <w:b w:val="false"/>
          <w:color w:val="000000"/>
          <w:sz w:val="24"/>
        </w:rPr>
        <w:t>, to effect the intent set forth in paragraphs 1 through 9 above, and other than as set forth above, the remaining provisions of your Employment Agreement shall continue in full force and effect without any amendment or modification thereto.</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 * * * * * * * * *</w:t>
      </w:r>
    </w:p>
    <w:p>
      <w:pPr>
        <w:pStyle w:val="TextBody"/>
        <w:bidi w:val="0"/>
        <w:spacing w:lineRule="auto" w:line="288"/>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13360"/>
                <wp:effectExtent l="0" t="0" r="0" b="0"/>
                <wp:wrapNone/>
                <wp:docPr id="76" name="Frame75"/>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779"/>
        <w:gridCol w:w="652"/>
        <w:gridCol w:w="652"/>
        <w:gridCol w:w="652"/>
        <w:gridCol w:w="652"/>
        <w:gridCol w:w="652"/>
        <w:gridCol w:w="668"/>
        <w:gridCol w:w="652"/>
        <w:gridCol w:w="652"/>
        <w:gridCol w:w="652"/>
        <w:gridCol w:w="652"/>
        <w:gridCol w:w="652"/>
        <w:gridCol w:w="652"/>
        <w:gridCol w:w="652"/>
        <w:gridCol w:w="934"/>
      </w:tblGrid>
      <w:tr>
        <w:trPr/>
        <w:tc>
          <w:tcPr>
            <w:tcW w:w="77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Kindly indicate your acceptance of this Letter by signing and returning a copy of this Letter to us at your earliest convenience.</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Very truly yours,</w:t>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James River Group Holdings, Inc.</w:t>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6"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Frank D’Orazio</w:t>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6"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Name: Frank D’Orazio</w:t>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James River Group, Inc.</w:t>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6"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Frank D’Orazio</w:t>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6"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Name: Frank D’Orazio</w:t>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ACCEPTED AND AGREED</w:t>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Jeanette L. Miller</w:t>
            </w:r>
          </w:p>
        </w:tc>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Jeanette L. Miller</w:t>
            </w:r>
          </w:p>
        </w:tc>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 April 27,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3"/>
        </w:rPr>
      </w:pPr>
      <w:r>
        <w:rPr>
          <w:rFonts w:ascii="Times New Roman;serif" w:hAnsi="Times New Roman;serif"/>
          <w:b/>
          <w:color w:val="000000"/>
          <w:sz w:val="23"/>
        </w:rPr>
        <w:t>Exhibit 10.40</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6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4"/>
                              </w:rPr>
                              <w:t>Signature Page to First Amendment to Employment Agreement</w:t>
                            </w:r>
                            <w:r>
                              <w:rPr>
                                <w:rFonts w:ascii="Times New Roman;serif" w:hAnsi="Times New Roman;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6.85pt;mso-position-horizontal:left;mso-position-horizontal-relative:text">
                <v:textbox>
                  <w:txbxContent>
                    <w:p>
                      <w:pPr>
                        <w:pStyle w:val="TextBody"/>
                        <w:bidi w:val="0"/>
                        <w:spacing w:lineRule="auto" w:line="26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4"/>
                        </w:rPr>
                        <w:t>Signature Page to First Amendment to Employment Agreement</w:t>
                      </w:r>
                      <w:r>
                        <w:rPr>
                          <w:rFonts w:ascii="Times New Roman;serif" w:hAnsi="Times New Roman;serif"/>
                          <w:b w:val="false"/>
                          <w:color w:val="000000"/>
                          <w:sz w:val="20"/>
                        </w:rPr>
                        <w:t>]</w:t>
                      </w:r>
                    </w:p>
                  </w:txbxContent>
                </v:textbox>
                <w10:wrap type="none"/>
              </v:rect>
            </w:pict>
          </mc:Fallback>
        </mc:AlternateContent>
      </w:r>
    </w:p>
    <w:p>
      <w:pPr>
        <w:pStyle w:val="TextBody"/>
        <w:bidi w:val="0"/>
        <w:spacing w:before="240" w:after="240"/>
        <w:jc w:val="center"/>
        <w:rPr/>
      </w:pPr>
      <w:r>
        <w:rPr/>
        <w:drawing>
          <wp:inline distT="0" distB="0" distL="0" distR="0">
            <wp:extent cx="4143375" cy="609600"/>
            <wp:effectExtent l="0" t="0" r="0" b="0"/>
            <wp:docPr id="7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 descr=""/>
                    <pic:cNvPicPr>
                      <a:picLocks noChangeAspect="1" noChangeArrowheads="1"/>
                    </pic:cNvPicPr>
                  </pic:nvPicPr>
                  <pic:blipFill>
                    <a:blip r:embed="rId51"/>
                    <a:stretch>
                      <a:fillRect/>
                    </a:stretch>
                  </pic:blipFill>
                  <pic:spPr bwMode="auto">
                    <a:xfrm>
                      <a:off x="0" y="0"/>
                      <a:ext cx="4143375" cy="609600"/>
                    </a:xfrm>
                    <a:prstGeom prst="rect">
                      <a:avLst/>
                    </a:prstGeom>
                  </pic:spPr>
                </pic:pic>
              </a:graphicData>
            </a:graphic>
          </wp:inline>
        </w:drawing>
      </w:r>
    </w:p>
    <w:p>
      <w:pPr>
        <w:pStyle w:val="TextBody"/>
        <w:bidi w:val="0"/>
        <w:spacing w:lineRule="auto" w:line="288" w:before="0" w:after="240"/>
        <w:ind w:left="0" w:right="0" w:hanging="720"/>
        <w:jc w:val="right"/>
        <w:rPr>
          <w:rFonts w:ascii="Times New Roman;serif" w:hAnsi="Times New Roman;serif"/>
          <w:b w:val="false"/>
          <w:color w:val="000000"/>
          <w:sz w:val="23"/>
        </w:rPr>
      </w:pPr>
      <w:r>
        <w:rPr>
          <w:rFonts w:ascii="Times New Roman;serif" w:hAnsi="Times New Roman;serif"/>
          <w:b w:val="false"/>
          <w:color w:val="000000"/>
          <w:sz w:val="23"/>
        </w:rPr>
        <w:t>May 2, 2025</w:t>
      </w:r>
    </w:p>
    <w:p>
      <w:pPr>
        <w:pStyle w:val="TextBody"/>
        <w:bidi w:val="0"/>
        <w:spacing w:lineRule="auto" w:line="288" w:before="0" w:after="24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Mr. Todd Sutherland</w:t>
      </w:r>
    </w:p>
    <w:p>
      <w:pPr>
        <w:pStyle w:val="TextBody"/>
        <w:bidi w:val="0"/>
        <w:spacing w:lineRule="auto" w:line="288" w:before="0" w:after="240"/>
        <w:jc w:val="both"/>
        <w:rPr>
          <w:rFonts w:ascii="Times New Roman;serif" w:hAnsi="Times New Roman;serif"/>
          <w:b w:val="false"/>
          <w:color w:val="000000"/>
          <w:sz w:val="23"/>
        </w:rPr>
      </w:pPr>
      <w:r>
        <w:rPr>
          <w:rFonts w:ascii="Times New Roman;serif" w:hAnsi="Times New Roman;serif"/>
          <w:b w:val="false"/>
          <w:color w:val="000000"/>
          <w:sz w:val="23"/>
        </w:rPr>
        <w:t>Dear Todd:</w:t>
      </w:r>
    </w:p>
    <w:p>
      <w:pPr>
        <w:pStyle w:val="TextBody"/>
        <w:bidi w:val="0"/>
        <w:spacing w:lineRule="auto" w:line="288" w:before="0" w:after="240"/>
        <w:ind w:left="0" w:right="0" w:firstLine="720"/>
        <w:jc w:val="both"/>
        <w:rPr/>
      </w:pPr>
      <w:r>
        <w:rPr>
          <w:rFonts w:ascii="Times New Roman;serif" w:hAnsi="Times New Roman;serif"/>
          <w:b w:val="false"/>
          <w:color w:val="000000"/>
          <w:sz w:val="23"/>
        </w:rPr>
        <w:t>The purpose of this letter (the “</w:t>
      </w:r>
      <w:r>
        <w:rPr>
          <w:rFonts w:ascii="Times New Roman;serif" w:hAnsi="Times New Roman;serif"/>
          <w:b w:val="false"/>
          <w:color w:val="000000"/>
          <w:sz w:val="23"/>
          <w:u w:val="single"/>
        </w:rPr>
        <w:t>Agreement</w:t>
      </w:r>
      <w:r>
        <w:rPr>
          <w:color w:val="000000"/>
        </w:rPr>
        <w:t>”</w:t>
      </w:r>
      <w:r>
        <w:rPr>
          <w:rFonts w:ascii="Times New Roman;serif" w:hAnsi="Times New Roman;serif"/>
          <w:b w:val="false"/>
          <w:color w:val="000000"/>
          <w:sz w:val="23"/>
        </w:rPr>
        <w:t>) is to confirm our agreement with respect to the terms of your employment by James River Management Company, Inc. (“</w:t>
      </w:r>
      <w:r>
        <w:rPr>
          <w:rFonts w:ascii="Times New Roman;serif" w:hAnsi="Times New Roman;serif"/>
          <w:b w:val="false"/>
          <w:color w:val="000000"/>
          <w:sz w:val="23"/>
          <w:u w:val="single"/>
        </w:rPr>
        <w:t>JRMC</w:t>
      </w:r>
      <w:r>
        <w:rPr>
          <w:color w:val="000000"/>
        </w:rPr>
        <w:t>”</w:t>
      </w:r>
      <w:r>
        <w:rPr>
          <w:rFonts w:ascii="Times New Roman;serif" w:hAnsi="Times New Roman;serif"/>
          <w:b w:val="false"/>
          <w:color w:val="000000"/>
          <w:sz w:val="23"/>
        </w:rPr>
        <w:t>) and James River Insurance Company (“</w:t>
      </w:r>
      <w:r>
        <w:rPr>
          <w:rFonts w:ascii="Times New Roman;serif" w:hAnsi="Times New Roman;serif"/>
          <w:b w:val="false"/>
          <w:color w:val="000000"/>
          <w:sz w:val="23"/>
          <w:u w:val="single"/>
        </w:rPr>
        <w:t>JRI</w:t>
      </w:r>
      <w:r>
        <w:rPr>
          <w:color w:val="000000"/>
        </w:rPr>
        <w:t>”</w:t>
      </w:r>
      <w:r>
        <w:rPr>
          <w:rFonts w:ascii="Times New Roman;serif" w:hAnsi="Times New Roman;serif"/>
          <w:b w:val="false"/>
          <w:color w:val="000000"/>
          <w:sz w:val="23"/>
        </w:rPr>
        <w:t>) (and with JRMC, the “</w:t>
      </w:r>
      <w:r>
        <w:rPr>
          <w:rFonts w:ascii="Times New Roman;serif" w:hAnsi="Times New Roman;serif"/>
          <w:b w:val="false"/>
          <w:color w:val="000000"/>
          <w:sz w:val="23"/>
          <w:u w:val="single"/>
        </w:rPr>
        <w:t>Company</w:t>
      </w:r>
      <w:r>
        <w:rPr>
          <w:color w:val="000000"/>
        </w:rPr>
        <w:t>”</w:t>
      </w:r>
      <w:r>
        <w:rPr>
          <w:rFonts w:ascii="Times New Roman;serif" w:hAnsi="Times New Roman;serif"/>
          <w:b w:val="false"/>
          <w:color w:val="000000"/>
          <w:sz w:val="23"/>
        </w:rPr>
        <w:t>). In consideration of the mutual promises contained in this Agreement, the parties to this Agreement hereby agree as follows:</w:t>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ARTICLE I</w:t>
      </w:r>
    </w:p>
    <w:p>
      <w:pPr>
        <w:pStyle w:val="TextBody"/>
        <w:bidi w:val="0"/>
        <w:spacing w:lineRule="auto" w:line="288" w:before="0" w:after="240"/>
        <w:jc w:val="center"/>
        <w:rPr>
          <w:rFonts w:ascii="Times New Roman;serif" w:hAnsi="Times New Roman;serif"/>
          <w:b/>
          <w:color w:val="000000"/>
          <w:sz w:val="23"/>
        </w:rPr>
      </w:pPr>
      <w:r>
        <w:rPr>
          <w:rFonts w:ascii="Times New Roman;serif" w:hAnsi="Times New Roman;serif"/>
          <w:b/>
          <w:color w:val="000000"/>
          <w:sz w:val="23"/>
        </w:rPr>
        <w:t>Employment and Term</w:t>
      </w:r>
    </w:p>
    <w:p>
      <w:pPr>
        <w:pStyle w:val="TextBody"/>
        <w:bidi w:val="0"/>
        <w:spacing w:lineRule="auto" w:line="288" w:before="0" w:after="240"/>
        <w:ind w:left="0" w:right="0" w:firstLine="720"/>
        <w:jc w:val="both"/>
        <w:rPr/>
      </w:pPr>
      <w:r>
        <w:rPr>
          <w:rFonts w:ascii="Times New Roman;serif" w:hAnsi="Times New Roman;serif"/>
          <w:b w:val="false"/>
          <w:color w:val="000000"/>
          <w:sz w:val="23"/>
        </w:rPr>
        <w:t>Effective as of May 5, 2025 (the “</w:t>
      </w:r>
      <w:r>
        <w:rPr>
          <w:rFonts w:ascii="Times New Roman;serif" w:hAnsi="Times New Roman;serif"/>
          <w:b w:val="false"/>
          <w:color w:val="000000"/>
          <w:sz w:val="23"/>
          <w:u w:val="single"/>
        </w:rPr>
        <w:t>Effective Date</w:t>
      </w:r>
      <w:r>
        <w:rPr>
          <w:color w:val="000000"/>
        </w:rPr>
        <w:t>”</w:t>
      </w:r>
      <w:r>
        <w:rPr>
          <w:rFonts w:ascii="Times New Roman;serif" w:hAnsi="Times New Roman;serif"/>
          <w:b w:val="false"/>
          <w:color w:val="000000"/>
          <w:sz w:val="23"/>
        </w:rPr>
        <w:t>), the Company agrees to employ you (“</w:t>
      </w:r>
      <w:r>
        <w:rPr>
          <w:rFonts w:ascii="Times New Roman;serif" w:hAnsi="Times New Roman;serif"/>
          <w:b w:val="false"/>
          <w:color w:val="000000"/>
          <w:sz w:val="23"/>
          <w:u w:val="single"/>
        </w:rPr>
        <w:t>Executive</w:t>
      </w:r>
      <w:r>
        <w:rPr>
          <w:color w:val="000000"/>
        </w:rPr>
        <w:t>”</w:t>
      </w:r>
      <w:r>
        <w:rPr>
          <w:rFonts w:ascii="Times New Roman;serif" w:hAnsi="Times New Roman;serif"/>
          <w:b w:val="false"/>
          <w:color w:val="000000"/>
          <w:sz w:val="23"/>
        </w:rPr>
        <w:t>) as its President, and Executive hereby accepts such employment on the terms hereinafter set forth. Executive acknowledges that this promotion, Executive’s continued employment with the Company, the incentive awards described herein, the opportunity for severance pay under the circumstances described herein, and the other consideration described herein constitute sufficient consideration for Executive’s agreement to (among other things) the restrictive covenants in this Agreement. The initial term of this Agreement shall commence as of the Effective Date and end on June 30, 2026 , subject to the termination provisions of Article VII. The term of this Agreement shall thereafter be automatically renewed for additional one (1)-year periods unless written notice to the contrary shall be given by either party to the other not fewer than sixty (60) days prior to the end of the initial or any renewal term, that the term shall not thereafter be renewed (“</w:t>
      </w:r>
      <w:r>
        <w:rPr>
          <w:rFonts w:ascii="Times New Roman;serif" w:hAnsi="Times New Roman;serif"/>
          <w:b w:val="false"/>
          <w:color w:val="000000"/>
          <w:sz w:val="23"/>
          <w:u w:val="single"/>
        </w:rPr>
        <w:t>Non-Renewal Notice</w:t>
      </w:r>
      <w:r>
        <w:rPr>
          <w:color w:val="000000"/>
        </w:rPr>
        <w:t>”</w:t>
      </w:r>
      <w:r>
        <w:rPr>
          <w:rFonts w:ascii="Times New Roman;serif" w:hAnsi="Times New Roman;serif"/>
          <w:b w:val="false"/>
          <w:color w:val="000000"/>
          <w:sz w:val="23"/>
        </w:rPr>
        <w:t>), subject to the termination provisions of Article VII. The initial term plus any renewals thereof shall hereafter be referred to as the “</w:t>
      </w:r>
      <w:r>
        <w:rPr>
          <w:rFonts w:ascii="Times New Roman;serif" w:hAnsi="Times New Roman;serif"/>
          <w:b w:val="false"/>
          <w:color w:val="000000"/>
          <w:sz w:val="23"/>
          <w:u w:val="single"/>
        </w:rPr>
        <w:t>Term</w:t>
      </w:r>
      <w:r>
        <w:rPr>
          <w:rFonts w:ascii="Times New Roman;serif" w:hAnsi="Times New Roman;serif"/>
          <w:b w:val="false"/>
          <w:color w:val="000000"/>
          <w:sz w:val="23"/>
        </w:rPr>
        <w:t>.”</w:t>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ARTICLE II</w:t>
      </w:r>
    </w:p>
    <w:p>
      <w:pPr>
        <w:pStyle w:val="TextBody"/>
        <w:bidi w:val="0"/>
        <w:spacing w:lineRule="auto" w:line="288" w:before="0" w:after="240"/>
        <w:jc w:val="center"/>
        <w:rPr>
          <w:rFonts w:ascii="Times New Roman;serif" w:hAnsi="Times New Roman;serif"/>
          <w:b/>
          <w:color w:val="000000"/>
          <w:sz w:val="23"/>
        </w:rPr>
      </w:pPr>
      <w:r>
        <w:rPr>
          <w:rFonts w:ascii="Times New Roman;serif" w:hAnsi="Times New Roman;serif"/>
          <w:b/>
          <w:color w:val="000000"/>
          <w:sz w:val="23"/>
        </w:rPr>
        <w:t>Compensation</w:t>
      </w:r>
    </w:p>
    <w:p>
      <w:pPr>
        <w:pStyle w:val="TextBody"/>
        <w:bidi w:val="0"/>
        <w:spacing w:lineRule="auto" w:line="288" w:before="0" w:after="240"/>
        <w:ind w:left="0" w:right="0" w:firstLine="720"/>
        <w:jc w:val="both"/>
        <w:rPr/>
      </w:pPr>
      <w:r>
        <w:rPr>
          <w:rFonts w:ascii="Times New Roman;serif" w:hAnsi="Times New Roman;serif"/>
          <w:b w:val="false"/>
          <w:color w:val="000000"/>
          <w:sz w:val="23"/>
        </w:rPr>
        <w:t>2.1    </w:t>
      </w:r>
      <w:r>
        <w:rPr>
          <w:rFonts w:ascii="Times New Roman;serif" w:hAnsi="Times New Roman;serif"/>
          <w:b/>
          <w:color w:val="000000"/>
          <w:sz w:val="23"/>
          <w:u w:val="single"/>
        </w:rPr>
        <w:t>Salary</w:t>
      </w:r>
      <w:r>
        <w:rPr>
          <w:rFonts w:ascii="Times New Roman;serif" w:hAnsi="Times New Roman;serif"/>
          <w:b w:val="false"/>
          <w:color w:val="000000"/>
          <w:sz w:val="23"/>
        </w:rPr>
        <w:t>. Executive shall be paid a base salary of four hundred thousand dollars ($400,000) per year, payable in periodic installments by the Company in accordance with its normal payroll practices and subject to future increases from time to time as determined by the Company in its sole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3"/>
        </w:rPr>
        <w:t>2.2    </w:t>
      </w:r>
      <w:r>
        <w:rPr>
          <w:rFonts w:ascii="Times New Roman;serif" w:hAnsi="Times New Roman;serif"/>
          <w:b/>
          <w:color w:val="000000"/>
          <w:sz w:val="23"/>
          <w:u w:val="single"/>
        </w:rPr>
        <w:t>Short-Term Incentive Plan</w:t>
      </w:r>
      <w:r>
        <w:rPr>
          <w:rFonts w:ascii="Times New Roman;serif" w:hAnsi="Times New Roman;serif"/>
          <w:b w:val="false"/>
          <w:color w:val="000000"/>
          <w:sz w:val="23"/>
        </w:rPr>
        <w:t>. For each fiscal year of the Company during the Term in which Executive is employed by the Company, Executive shall be eligible to participate in any short-term incentive plan (“</w:t>
      </w:r>
      <w:r>
        <w:rPr>
          <w:rFonts w:ascii="Times New Roman;serif" w:hAnsi="Times New Roman;serif"/>
          <w:b w:val="false"/>
          <w:color w:val="000000"/>
          <w:sz w:val="23"/>
          <w:u w:val="single"/>
        </w:rPr>
        <w:t>STIP</w:t>
      </w:r>
      <w:r>
        <w:rPr>
          <w:color w:val="000000"/>
        </w:rPr>
        <w:t>”</w:t>
      </w:r>
      <w:r>
        <w:rPr>
          <w:rFonts w:ascii="Times New Roman;serif" w:hAnsi="Times New Roman;serif"/>
          <w:b w:val="false"/>
          <w:color w:val="000000"/>
          <w:sz w:val="23"/>
        </w:rPr>
        <w:t>) as the Board of Directors (the “</w:t>
      </w:r>
      <w:r>
        <w:rPr>
          <w:rFonts w:ascii="Times New Roman;serif" w:hAnsi="Times New Roman;serif"/>
          <w:b w:val="false"/>
          <w:color w:val="000000"/>
          <w:sz w:val="23"/>
          <w:u w:val="single"/>
        </w:rPr>
        <w:t>Parent Board</w:t>
      </w:r>
      <w:r>
        <w:rPr>
          <w:color w:val="000000"/>
        </w:rPr>
        <w:t>”</w:t>
      </w:r>
      <w:r>
        <w:rPr>
          <w:rFonts w:ascii="Times New Roman;serif" w:hAnsi="Times New Roman;serif"/>
          <w:b w:val="false"/>
          <w:color w:val="000000"/>
          <w:sz w:val="23"/>
        </w:rPr>
        <w:t>) of James River Group Holdings, Ltd. (“</w:t>
      </w:r>
      <w:r>
        <w:rPr>
          <w:rFonts w:ascii="Times New Roman;serif" w:hAnsi="Times New Roman;serif"/>
          <w:b w:val="false"/>
          <w:color w:val="000000"/>
          <w:sz w:val="23"/>
          <w:u w:val="single"/>
        </w:rPr>
        <w:t>Parent Company</w:t>
      </w:r>
      <w:r>
        <w:rPr>
          <w:color w:val="000000"/>
        </w:rPr>
        <w:t xml:space="preserve">” </w:t>
      </w:r>
      <w:r>
        <w:rPr>
          <w:rFonts w:ascii="Times New Roman;serif" w:hAnsi="Times New Roman;serif"/>
          <w:b w:val="false"/>
          <w:color w:val="000000"/>
          <w:sz w:val="23"/>
        </w:rPr>
        <w:t>or “</w:t>
      </w:r>
      <w:r>
        <w:rPr>
          <w:rFonts w:ascii="Times New Roman;serif" w:hAnsi="Times New Roman;serif"/>
          <w:b w:val="false"/>
          <w:color w:val="000000"/>
          <w:sz w:val="23"/>
          <w:u w:val="single"/>
        </w:rPr>
        <w:t>Holdings</w:t>
      </w:r>
      <w:r>
        <w:rPr>
          <w:color w:val="000000"/>
        </w:rPr>
        <w:t>”</w:t>
      </w:r>
      <w:r>
        <w:rPr>
          <w:rFonts w:ascii="Times New Roman;serif" w:hAnsi="Times New Roman;serif"/>
          <w:b w:val="false"/>
          <w:color w:val="000000"/>
          <w:sz w:val="23"/>
        </w:rPr>
        <w:t>), in its discretion, may adopt from time to time for eligible employees of the Company Group (as defined below). The target STIP award for any fiscal year during the Term shall be 100% of Executive’s base salary for such year. Any award payable under the STIP shall be paid on a date determined in accordance with the terms of the STIP, and shall be subject to Executive’s continued employment through the payment date unless otherwise provided in the STIP. Notwithstanding the foregoing, for fiscal year 2025, (a) the target STIP award for the time period of January 1, 2025, through May 4, 2025, shall be 50% of Executive’s base salary during such time period and shall be prorated for such time period based on the ratio of 123/365, and (b) the target STIP award for the time period May 5, 2025, through December 31, 2025, shall be 100% of Executive’s base salary reflected in Section 2.1 and shall be prorated for such time period based on the ratio of 242/365.</w:t>
      </w:r>
    </w:p>
    <w:p>
      <w:pPr>
        <w:pStyle w:val="TextBody"/>
        <w:bidi w:val="0"/>
        <w:spacing w:lineRule="auto" w:line="288" w:before="0" w:after="240"/>
        <w:ind w:left="0" w:right="0" w:firstLine="720"/>
        <w:jc w:val="both"/>
        <w:rPr/>
      </w:pPr>
      <w:r>
        <w:rPr>
          <w:rFonts w:ascii="Times New Roman;serif" w:hAnsi="Times New Roman;serif"/>
          <w:b w:val="false"/>
          <w:color w:val="000000"/>
          <w:sz w:val="23"/>
        </w:rPr>
        <w:t>2.3    </w:t>
      </w:r>
      <w:r>
        <w:rPr>
          <w:rFonts w:ascii="Times New Roman;serif" w:hAnsi="Times New Roman;serif"/>
          <w:b/>
          <w:color w:val="000000"/>
          <w:sz w:val="23"/>
          <w:u w:val="single"/>
        </w:rPr>
        <w:t>Long-Term Incentive Plan</w:t>
      </w:r>
      <w:r>
        <w:rPr>
          <w:rFonts w:ascii="Times New Roman;serif" w:hAnsi="Times New Roman;serif"/>
          <w:b w:val="false"/>
          <w:color w:val="000000"/>
          <w:sz w:val="23"/>
        </w:rPr>
        <w:t>.</w:t>
      </w:r>
    </w:p>
    <w:p>
      <w:pPr>
        <w:pStyle w:val="TextBody"/>
        <w:bidi w:val="0"/>
        <w:spacing w:lineRule="auto" w:line="288" w:before="0" w:after="240"/>
        <w:ind w:left="0" w:right="0" w:hanging="720"/>
        <w:jc w:val="both"/>
        <w:rPr/>
      </w:pPr>
      <w:r>
        <w:rPr>
          <w:rFonts w:ascii="Times New Roman;serif" w:hAnsi="Times New Roman;serif"/>
          <w:b w:val="false"/>
          <w:color w:val="000000"/>
          <w:sz w:val="23"/>
        </w:rPr>
        <w:t>(a)For each fiscal year of the Company during the Term in which Executive is employed by the Company, Executive shall be eligible to participate in any long-term incentive plan (“</w:t>
      </w:r>
      <w:r>
        <w:rPr>
          <w:rFonts w:ascii="Times New Roman;serif" w:hAnsi="Times New Roman;serif"/>
          <w:b w:val="false"/>
          <w:color w:val="000000"/>
          <w:sz w:val="23"/>
          <w:u w:val="single"/>
        </w:rPr>
        <w:t>LTIP</w:t>
      </w:r>
      <w:r>
        <w:rPr>
          <w:color w:val="000000"/>
        </w:rPr>
        <w:t>”</w:t>
      </w:r>
      <w:r>
        <w:rPr>
          <w:rFonts w:ascii="Times New Roman;serif" w:hAnsi="Times New Roman;serif"/>
          <w:b w:val="false"/>
          <w:color w:val="000000"/>
          <w:sz w:val="23"/>
        </w:rPr>
        <w:t>) of the Company Group as adopted by the Parent Board from time to time. Executive’s target LTIP award for any fiscal year during the Term shall be 100% of Executive’s base salary for such year.</w:t>
      </w:r>
    </w:p>
    <w:p>
      <w:pPr>
        <w:pStyle w:val="TextBody"/>
        <w:bidi w:val="0"/>
        <w:spacing w:lineRule="auto" w:line="288" w:before="0" w:after="24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(b)In addition, subject to the approval of the Parent Board, Executive will receive a one-time award of RSUs of the Parent Company under the LTIP with a grant date value of $250,000, with the number of RSUs valued based on the closing price of the Parent Company’s publicly traded common stock on the grant date. This award shall vest annually, in three equal installments, over a three-year period from the grant date, subject to Executive’s continued employment on each vesting date.</w:t>
      </w:r>
    </w:p>
    <w:p>
      <w:pPr>
        <w:pStyle w:val="TextBody"/>
        <w:bidi w:val="0"/>
        <w:spacing w:lineRule="auto" w:line="288" w:before="0" w:after="24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(c)All awards under the LTIP shall be subject to the terms and conditions (including vesting provisions, as applicable) of the LTIP and any form of award agreement thereunder.</w:t>
      </w:r>
    </w:p>
    <w:p>
      <w:pPr>
        <w:pStyle w:val="TextBody"/>
        <w:bidi w:val="0"/>
        <w:spacing w:lineRule="auto" w:line="288" w:before="0" w:after="240"/>
        <w:ind w:left="0" w:right="0" w:firstLine="720"/>
        <w:jc w:val="both"/>
        <w:rPr/>
      </w:pPr>
      <w:r>
        <w:rPr>
          <w:rFonts w:ascii="Times New Roman;serif" w:hAnsi="Times New Roman;serif"/>
          <w:b w:val="false"/>
          <w:color w:val="000000"/>
          <w:sz w:val="23"/>
        </w:rPr>
        <w:t>2.4    </w:t>
      </w:r>
      <w:r>
        <w:rPr>
          <w:rFonts w:ascii="Times New Roman;serif" w:hAnsi="Times New Roman;serif"/>
          <w:b/>
          <w:color w:val="000000"/>
          <w:sz w:val="23"/>
          <w:u w:val="single"/>
        </w:rPr>
        <w:t>Vacation, Benefits</w:t>
      </w:r>
      <w:r>
        <w:rPr>
          <w:rFonts w:ascii="Times New Roman;serif" w:hAnsi="Times New Roman;serif"/>
          <w:b w:val="false"/>
          <w:color w:val="000000"/>
          <w:sz w:val="23"/>
        </w:rPr>
        <w:t>. During the Term Executive shall also be entitled to participate in all Company employee benefit plans in accordance with the terms of such plans, and to other fringe benefits generally available to United States-based executive employees of the Company Group, in each case which may be modified or withdrawn from time to time in the Company’s sole discretion, including:</w:t>
      </w:r>
    </w:p>
    <w:p>
      <w:pPr>
        <w:pStyle w:val="TextBody"/>
        <w:bidi w:val="0"/>
        <w:spacing w:lineRule="auto" w:line="288" w:before="0" w:after="24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(a)a total of twenty-two (22) days of paid vacation days per annum, which will be prorated for the last year of the Term and shall be subject to the Company’s policy governing paid vacation days; and</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(b)business expense reimbursement for all reasonable business expenses upon the presentation of reasonably itemized statements of such expenses in accordance with the Company’s policies and procedures. The amount of expenses eligible for reimbursement during any tax year shall not affect the expenses eligible for reimbursement in any other tax year. The right to reimbursement provided in this Agreement is not subject to liquidation or exchange for another benefit. In no event shall the reimbursement of an eligible expense occur later than six (6) months from the date of incurrence.</w:t>
      </w:r>
    </w:p>
    <w:p>
      <w:pPr>
        <w:pStyle w:val="TextBody"/>
        <w:bidi w:val="0"/>
        <w:spacing w:lineRule="auto" w:line="288" w:before="0" w:after="240"/>
        <w:ind w:left="0" w:right="0" w:firstLine="720"/>
        <w:jc w:val="both"/>
        <w:rPr/>
      </w:pPr>
      <w:r>
        <w:rPr>
          <w:rFonts w:ascii="Times New Roman;serif" w:hAnsi="Times New Roman;serif"/>
          <w:b w:val="false"/>
          <w:color w:val="000000"/>
          <w:sz w:val="23"/>
        </w:rPr>
        <w:t>2.5    </w:t>
      </w:r>
      <w:r>
        <w:rPr>
          <w:rFonts w:ascii="Times New Roman;serif" w:hAnsi="Times New Roman;serif"/>
          <w:b/>
          <w:color w:val="000000"/>
          <w:sz w:val="23"/>
          <w:u w:val="single"/>
        </w:rPr>
        <w:t>Clawback</w:t>
      </w:r>
      <w:r>
        <w:rPr>
          <w:rFonts w:ascii="Times New Roman;serif" w:hAnsi="Times New Roman;serif"/>
          <w:b w:val="false"/>
          <w:color w:val="000000"/>
          <w:sz w:val="23"/>
        </w:rPr>
        <w:t>. Executive acknowledges and agrees that to the extent required by applicable law or written company policy adopted by the Parent Board to implement the requirements of such law (including, without limitation, Section 304 of the Sarbanes Oxley Act, Section 954 of the Dodd Frank Act, SEC regulations issued pursuant to Section 954 of the Dodd Frank Act and listing rules of the Nasdaq Global Select Market adopted thereunder), any bonus, equity awards, and other incentive compensation shall be subject to any clawback, recovery, forfeiture, recoupment or similar requirement as the Parent Board may determine in its sole discretion is necessary or desirable to implement such law, policy or stock exchange listing requirement.</w:t>
      </w:r>
    </w:p>
    <w:p>
      <w:pPr>
        <w:pStyle w:val="TextBody"/>
        <w:bidi w:val="0"/>
        <w:spacing w:lineRule="auto" w:line="288" w:before="0" w:after="240"/>
        <w:ind w:left="0" w:right="0" w:firstLine="720"/>
        <w:jc w:val="both"/>
        <w:rPr/>
      </w:pPr>
      <w:r>
        <w:rPr>
          <w:rFonts w:ascii="Times New Roman;serif" w:hAnsi="Times New Roman;serif"/>
          <w:b w:val="false"/>
          <w:color w:val="000000"/>
          <w:sz w:val="23"/>
        </w:rPr>
        <w:t>2.6    </w:t>
      </w:r>
      <w:r>
        <w:rPr>
          <w:rFonts w:ascii="Times New Roman;serif" w:hAnsi="Times New Roman;serif"/>
          <w:b/>
          <w:color w:val="000000"/>
          <w:sz w:val="23"/>
          <w:u w:val="single"/>
        </w:rPr>
        <w:t>Withholdings and Deductions</w:t>
      </w:r>
      <w:r>
        <w:rPr>
          <w:rFonts w:ascii="Times New Roman;serif" w:hAnsi="Times New Roman;serif"/>
          <w:b w:val="false"/>
          <w:color w:val="000000"/>
          <w:sz w:val="23"/>
        </w:rPr>
        <w:t>. All payments and compensation under this Agreement shall be subject to all required federal, state and local withholdings and deductions, and such deductions as Executive may instruct the Company to take that are authorized by applicable law.</w:t>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ARTICLE III</w:t>
      </w:r>
    </w:p>
    <w:p>
      <w:pPr>
        <w:pStyle w:val="TextBody"/>
        <w:bidi w:val="0"/>
        <w:spacing w:lineRule="auto" w:line="288" w:before="0" w:after="240"/>
        <w:jc w:val="center"/>
        <w:rPr>
          <w:rFonts w:ascii="Times New Roman;serif" w:hAnsi="Times New Roman;serif"/>
          <w:b/>
          <w:color w:val="000000"/>
          <w:sz w:val="23"/>
        </w:rPr>
      </w:pPr>
      <w:r>
        <w:rPr>
          <w:rFonts w:ascii="Times New Roman;serif" w:hAnsi="Times New Roman;serif"/>
          <w:b/>
          <w:color w:val="000000"/>
          <w:sz w:val="23"/>
        </w:rPr>
        <w:t>Duties</w:t>
      </w:r>
    </w:p>
    <w:p>
      <w:pPr>
        <w:pStyle w:val="TextBody"/>
        <w:bidi w:val="0"/>
        <w:spacing w:lineRule="auto" w:line="288" w:before="0" w:after="240"/>
        <w:ind w:left="0" w:right="0" w:firstLine="720"/>
        <w:jc w:val="both"/>
        <w:rPr>
          <w:rFonts w:ascii="Times New Roman;serif" w:hAnsi="Times New Roman;serif"/>
          <w:b w:val="false"/>
          <w:color w:val="000000"/>
          <w:sz w:val="23"/>
        </w:rPr>
      </w:pPr>
      <w:r>
        <w:rPr>
          <w:rFonts w:ascii="Times New Roman;serif" w:hAnsi="Times New Roman;serif"/>
          <w:b w:val="false"/>
          <w:color w:val="000000"/>
          <w:sz w:val="23"/>
        </w:rPr>
        <w:t>Executive shall perform all duties normally associated with the position of President of the Company. In his capacity as President of the Company, Executive shall report directly to the Chief Executive Officer of Parent Company. Executive will devote his entire working time, attention, and energies to carrying out and fulfilling duties and responsibilities under this Agreement. Executive agrees to abide by all policies applicable to employees of the Company Group adopted by the Parent Board. Executive’s duties as President, will be performed primarily from Virginia; provided, however, that the foregoing duties may be performed in locations other than the aforementioned location if the business of the Company so requires, but at all times Executive shall comply with the operational guidelines of Parent Company and the Company with respect to the scope of duties and activities to be performed in Bermuda and the United States, as in effect from time to time. Executive represents that he is able and willing to engage in travel to Bermuda and other international travel as is necessary to the business interests of the Company Group.</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ARTICLE IV</w:t>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Confidential Information, Other Company Property, Executive Personal Electronic</w:t>
      </w:r>
    </w:p>
    <w:p>
      <w:pPr>
        <w:pStyle w:val="TextBody"/>
        <w:bidi w:val="0"/>
        <w:spacing w:lineRule="auto" w:line="288" w:before="0" w:after="240"/>
        <w:jc w:val="center"/>
        <w:rPr>
          <w:rFonts w:ascii="Times New Roman;serif" w:hAnsi="Times New Roman;serif"/>
          <w:b/>
          <w:color w:val="000000"/>
          <w:sz w:val="23"/>
        </w:rPr>
      </w:pPr>
      <w:r>
        <w:rPr>
          <w:rFonts w:ascii="Times New Roman;serif" w:hAnsi="Times New Roman;serif"/>
          <w:b/>
          <w:color w:val="000000"/>
          <w:sz w:val="23"/>
        </w:rPr>
        <w:t>Equipment and Accounts, and Disparagement</w:t>
      </w:r>
    </w:p>
    <w:p>
      <w:pPr>
        <w:pStyle w:val="TextBody"/>
        <w:bidi w:val="0"/>
        <w:spacing w:lineRule="auto" w:line="288" w:before="0" w:after="240"/>
        <w:ind w:left="0" w:right="0" w:firstLine="720"/>
        <w:jc w:val="both"/>
        <w:rPr/>
      </w:pPr>
      <w:r>
        <w:rPr>
          <w:rFonts w:ascii="Times New Roman;serif" w:hAnsi="Times New Roman;serif"/>
          <w:b w:val="false"/>
          <w:color w:val="000000"/>
          <w:sz w:val="23"/>
        </w:rPr>
        <w:t>4.1    </w:t>
      </w:r>
      <w:r>
        <w:rPr>
          <w:rFonts w:ascii="Times New Roman;serif" w:hAnsi="Times New Roman;serif"/>
          <w:b/>
          <w:color w:val="000000"/>
          <w:sz w:val="23"/>
          <w:u w:val="single"/>
        </w:rPr>
        <w:t>Non-Disclosure</w:t>
      </w:r>
      <w:r>
        <w:rPr>
          <w:rFonts w:ascii="Times New Roman;serif" w:hAnsi="Times New Roman;serif"/>
          <w:b w:val="false"/>
          <w:color w:val="000000"/>
          <w:sz w:val="23"/>
        </w:rPr>
        <w:t>. Executive will not at any time during the Term or thereafter reveal, divulge, or make known to any person, firm, or corporation or use for personal benefit or the benefit of others (except Parent Company and any of its direct or indirect subsidiaries (hereinafter referred to as “</w:t>
      </w:r>
      <w:r>
        <w:rPr>
          <w:rFonts w:ascii="Times New Roman;serif" w:hAnsi="Times New Roman;serif"/>
          <w:b w:val="false"/>
          <w:color w:val="000000"/>
          <w:sz w:val="23"/>
          <w:u w:val="single"/>
        </w:rPr>
        <w:t>Affiliates,</w:t>
      </w:r>
      <w:r>
        <w:rPr>
          <w:color w:val="000000"/>
        </w:rPr>
        <w:t xml:space="preserve">” </w:t>
      </w:r>
      <w:r>
        <w:rPr>
          <w:rFonts w:ascii="Times New Roman;serif" w:hAnsi="Times New Roman;serif"/>
          <w:b w:val="false"/>
          <w:color w:val="000000"/>
          <w:sz w:val="23"/>
        </w:rPr>
        <w:t>and all of the foregoing, the “</w:t>
      </w:r>
      <w:r>
        <w:rPr>
          <w:rFonts w:ascii="Times New Roman;serif" w:hAnsi="Times New Roman;serif"/>
          <w:b w:val="false"/>
          <w:color w:val="000000"/>
          <w:sz w:val="23"/>
          <w:u w:val="single"/>
        </w:rPr>
        <w:t>Company Group</w:t>
      </w:r>
      <w:r>
        <w:rPr>
          <w:color w:val="000000"/>
        </w:rPr>
        <w:t>”</w:t>
      </w:r>
      <w:r>
        <w:rPr>
          <w:rFonts w:ascii="Times New Roman;serif" w:hAnsi="Times New Roman;serif"/>
          <w:b w:val="false"/>
          <w:color w:val="000000"/>
          <w:sz w:val="23"/>
        </w:rPr>
        <w:t>)), directly or indirectly, any confidential or proprietary information received or developed by him during the course of employment. For the purposes of this Section 4.1 confidential and proprietary information (“</w:t>
      </w:r>
      <w:r>
        <w:rPr>
          <w:rFonts w:ascii="Times New Roman;serif" w:hAnsi="Times New Roman;serif"/>
          <w:b w:val="false"/>
          <w:color w:val="000000"/>
          <w:sz w:val="23"/>
          <w:u w:val="single"/>
        </w:rPr>
        <w:t>Confidential Information</w:t>
      </w:r>
      <w:r>
        <w:rPr>
          <w:color w:val="000000"/>
        </w:rPr>
        <w:t>”</w:t>
      </w:r>
      <w:r>
        <w:rPr>
          <w:rFonts w:ascii="Times New Roman;serif" w:hAnsi="Times New Roman;serif"/>
          <w:b w:val="false"/>
          <w:color w:val="000000"/>
          <w:sz w:val="23"/>
        </w:rPr>
        <w:t>) shall be defined to mean all confidential (a) historical and pro forma projections of loss ratios incurred by the Company Group; (b) historical and pro forma actuarial data relating to the Company Group; (c) historical and pro forma financial results, revenue statements, and projections for the Company Group; (d) information relating to the Company Group’s systems and software (other than the portion thereof provided by the vendor to all purchasers of such systems and software); (e) information relating to Company Group’s unique underwriting approach; (f) information relating to plans for, or internal or external discussions regarding, acquisitions of or mergers with any business or line of business; (g) business plans; (h) other information relating to the financial, business, or other affairs of the Company Group including their customers; (i) information about any shareholder of Holdings or any of its Affiliates, or any of their officers or employees, that has been furnished or made available to Executive as a result of his position with the Company; (j) information about any employee of the Company Group; (k) the name or names of any Customers (as defined below); and (l) any trade secrets or any knowledge or information concerning any business methods or operational procedures engaged in by the Company Group. However, this Section 4.1 shall not apply to the extent Executive demonstrates that: (i) the same information was known to the public prior to its disclosure to Executive; (ii) the same information is or becomes generally available to the public and such public availability is not the result, directly or indirectly, of any fault of, or improper taking, use, re-creating (e.g., through memory), or disclosure by, Executive or anyone working in concert or participation with Executive; or (iii) Executive has obtained the information properly, from a source that was free to disclose it, and under circumstances such that Executive neither knew nor had reason to know that such information had been acquired, used, or disclosed improperly.</w:t>
      </w:r>
    </w:p>
    <w:p>
      <w:pPr>
        <w:pStyle w:val="TextBody"/>
        <w:bidi w:val="0"/>
        <w:spacing w:lineRule="auto" w:line="288" w:before="0" w:after="240"/>
        <w:ind w:left="0" w:right="0" w:firstLine="720"/>
        <w:jc w:val="both"/>
        <w:rPr/>
      </w:pPr>
      <w:r>
        <w:rPr>
          <w:rFonts w:ascii="Times New Roman;serif" w:hAnsi="Times New Roman;serif"/>
          <w:b w:val="false"/>
          <w:color w:val="000000"/>
          <w:sz w:val="23"/>
        </w:rPr>
        <w:t>4.2    </w:t>
      </w:r>
      <w:r>
        <w:rPr>
          <w:rFonts w:ascii="Times New Roman;serif" w:hAnsi="Times New Roman;serif"/>
          <w:b/>
          <w:color w:val="000000"/>
          <w:sz w:val="23"/>
          <w:u w:val="single"/>
        </w:rPr>
        <w:t>Protection of Third Parties’ Information</w:t>
      </w:r>
      <w:r>
        <w:rPr>
          <w:rFonts w:ascii="Times New Roman;serif" w:hAnsi="Times New Roman;serif"/>
          <w:b w:val="false"/>
          <w:color w:val="000000"/>
          <w:sz w:val="23"/>
        </w:rPr>
        <w:t>. Each of Executive’s obligations in this Article IV shall also apply to all confidential and trade secret information learned or acquired by Executive, as a result of Executive’s employment with the Company Group, from or about others with whom the Company Group has, had, or contemplated having a business relationship.</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3"/>
        </w:rPr>
        <w:t>4.3    </w:t>
      </w:r>
      <w:r>
        <w:rPr>
          <w:rFonts w:ascii="Times New Roman;serif" w:hAnsi="Times New Roman;serif"/>
          <w:b/>
          <w:color w:val="000000"/>
          <w:sz w:val="23"/>
          <w:u w:val="single"/>
        </w:rPr>
        <w:t>Return of Property, Confidential Information</w:t>
      </w:r>
      <w:r>
        <w:rPr>
          <w:rFonts w:ascii="Times New Roman;serif" w:hAnsi="Times New Roman;serif"/>
          <w:b w:val="false"/>
          <w:color w:val="000000"/>
          <w:sz w:val="23"/>
        </w:rPr>
        <w:t>. Executive shall deliver promptly to the Company or the Company’s designee, at any time upon the Company’s request, all property of the Company Group, including, without limitation, (a) all Confidential Information (including all copies thereof, regardless of the medium in which such information may be stored), (b) all Company computers, smartphones, cell phones, pagers, tablets, and any other electronic communication and/or memory devices (the “</w:t>
      </w:r>
      <w:r>
        <w:rPr>
          <w:rFonts w:ascii="Times New Roman;serif" w:hAnsi="Times New Roman;serif"/>
          <w:b w:val="false"/>
          <w:color w:val="000000"/>
          <w:sz w:val="23"/>
          <w:u w:val="single"/>
        </w:rPr>
        <w:t>Company</w:t>
      </w:r>
      <w:r>
        <w:rPr>
          <w:color w:val="000000"/>
        </w:rPr>
        <w:t xml:space="preserve"> </w:t>
      </w:r>
      <w:r>
        <w:rPr>
          <w:rFonts w:ascii="Times New Roman;serif" w:hAnsi="Times New Roman;serif"/>
          <w:b w:val="false"/>
          <w:color w:val="000000"/>
          <w:sz w:val="23"/>
          <w:u w:val="single"/>
        </w:rPr>
        <w:t>Devices</w:t>
      </w:r>
      <w:r>
        <w:rPr>
          <w:color w:val="000000"/>
        </w:rPr>
        <w:t>”</w:t>
      </w:r>
      <w:r>
        <w:rPr>
          <w:rFonts w:ascii="Times New Roman;serif" w:hAnsi="Times New Roman;serif"/>
          <w:b w:val="false"/>
          <w:color w:val="000000"/>
          <w:sz w:val="23"/>
        </w:rPr>
        <w:t>), and (c) all other Company equipment, tools, keys, and key cards. Executive agrees not to alter, transfer, delete, or destroy (as applicable) any Confidential Information or Company Devices prior to delivering the same to the Company. To the extent any Confidential Information is stored on any personal device or in any medium over which Executive has control, including, without limitation, in any personal cloud-based storage system or on any personal computer, personal data assistant, personal smartphones, personal cell phones, personal pagers, personal tablets, or any other personal electronic communication and/or memory devices, Executive agrees to permit the Company and any Affiliate to take possession of and/or have access to (as applicable) such devices and Confidential Information at the end of the Term or at any other time upon the Company’s request for purposes of locating, extracting, and/or deleting such Confidential Information, and Executive shall provide the Company and any Affiliate any passwords or other credentials needed for the Company and any Affiliate to locate, extract, and/or delete such Confidential Information. For the avoidance of doubt, nothing herein alters any Company policy regarding the appropriate devices, databases, and cloud storage services on which Confidential Information may be accessed and stored.</w:t>
      </w:r>
    </w:p>
    <w:p>
      <w:pPr>
        <w:pStyle w:val="TextBody"/>
        <w:bidi w:val="0"/>
        <w:spacing w:lineRule="auto" w:line="288" w:before="0" w:after="240"/>
        <w:ind w:left="0" w:right="0" w:firstLine="720"/>
        <w:jc w:val="both"/>
        <w:rPr/>
      </w:pPr>
      <w:r>
        <w:rPr>
          <w:rFonts w:ascii="Times New Roman;serif" w:hAnsi="Times New Roman;serif"/>
          <w:b w:val="false"/>
          <w:color w:val="000000"/>
          <w:sz w:val="23"/>
        </w:rPr>
        <w:t>4.4    </w:t>
      </w:r>
      <w:r>
        <w:rPr>
          <w:rFonts w:ascii="Times New Roman;serif" w:hAnsi="Times New Roman;serif"/>
          <w:b/>
          <w:color w:val="000000"/>
          <w:sz w:val="23"/>
          <w:u w:val="single"/>
        </w:rPr>
        <w:t>Compelled Disclosures</w:t>
      </w:r>
      <w:r>
        <w:rPr>
          <w:rFonts w:ascii="Times New Roman;serif" w:hAnsi="Times New Roman;serif"/>
          <w:b w:val="false"/>
          <w:color w:val="000000"/>
          <w:sz w:val="23"/>
        </w:rPr>
        <w:t>. If Executive becomes legally compelled (including by deposition, interrogatory, request for documents, subpoena, civil investigative, demand or similar process) to disclose any of the Confidential Information, Executive will provide the Company with prompt written notice as soon as practicable, but in no event fewer than thirty (30) days’ notice prior to such disclosure so that the Company may seek a protective order or other appropriate remedy and/or waive compliance with the terms of this Agreement, unless applicable law prohibits such notice to the Company. If such a protective order or other remedy is not obtained, or if the Company waives compliance with the provisions hereof, Executive agrees to disclose only that portion of the Confidential Information that he is legally required to disclose.</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3"/>
        </w:rPr>
        <w:t>4.5    </w:t>
      </w:r>
      <w:r>
        <w:rPr>
          <w:rFonts w:ascii="Times New Roman;serif" w:hAnsi="Times New Roman;serif"/>
          <w:b/>
          <w:color w:val="000000"/>
          <w:sz w:val="23"/>
          <w:u w:val="single"/>
        </w:rPr>
        <w:t>Disparagement</w:t>
      </w:r>
      <w:r>
        <w:rPr>
          <w:rFonts w:ascii="Times New Roman;serif" w:hAnsi="Times New Roman;serif"/>
          <w:b w:val="false"/>
          <w:color w:val="000000"/>
          <w:sz w:val="23"/>
        </w:rPr>
        <w:t>. Executive shall not, at any time during Executive’s employment with the Company or thereafter, on Executive’s behalf or on behalf of any other person or entity: (i) make any negative or disparaging remarks, orally, in writing, or by any other means, including, without limitation, on any kind of social media sites (including but not limited to LinkedIn, X, Facebook, Instagram, and Glassdoor), blogs, or any other kind of electronic communication, regarding the Company, any of its Affiliates, or any individual who is known by Executive to be or have been an officer, director, partner, member, or employee of the Company Group (each, a “</w:t>
      </w:r>
      <w:r>
        <w:rPr>
          <w:rFonts w:ascii="Times New Roman;serif" w:hAnsi="Times New Roman;serif"/>
          <w:b w:val="false"/>
          <w:color w:val="000000"/>
          <w:sz w:val="23"/>
          <w:u w:val="single"/>
        </w:rPr>
        <w:t>Covered Individual</w:t>
      </w:r>
      <w:r>
        <w:rPr>
          <w:color w:val="000000"/>
        </w:rPr>
        <w:t>”</w:t>
      </w:r>
      <w:r>
        <w:rPr>
          <w:rFonts w:ascii="Times New Roman;serif" w:hAnsi="Times New Roman;serif"/>
          <w:b w:val="false"/>
          <w:color w:val="000000"/>
          <w:sz w:val="23"/>
        </w:rPr>
        <w:t>); (ii) take any action or make any statement that is intended, or could reasonably be expected, to disparage, defame, slander, or lead to unwanted or unfavorable publicity for the Company Group, or any Covered Individual; (iii) take any action that could reasonably be expected to detrimentally affect the reputation, image, or public view of the Company Group, or any Covered Individual; or (iv) assist, entice, induce, or encourage any other person or entity to do or attempt to do any activity, which, were it done by Executive, would violate any provision of this Section 4.5; provided, however, that (x) Executive shall not be prohibited by this Section 4.5 from making truthful statements to Company Group employees, directors, or officers in the course of performing Executive’s duties for the benefit of the Company Group, and (y) nothing in this Subparagraph prevents Executive, after the end of the Restricted Period (defined below), from making truthful product or services comparisons in the course of Executive’s engaging in business on Executive’s own behalf or as an employee or independent contractor of anyone else.</w:t>
      </w:r>
    </w:p>
    <w:p>
      <w:pPr>
        <w:pStyle w:val="TextBody"/>
        <w:bidi w:val="0"/>
        <w:spacing w:lineRule="auto" w:line="288" w:before="0" w:after="240"/>
        <w:ind w:left="0" w:right="0" w:firstLine="720"/>
        <w:jc w:val="both"/>
        <w:rPr/>
      </w:pPr>
      <w:r>
        <w:rPr>
          <w:rFonts w:ascii="Times New Roman;serif" w:hAnsi="Times New Roman;serif"/>
          <w:b w:val="false"/>
          <w:color w:val="000000"/>
          <w:sz w:val="23"/>
        </w:rPr>
        <w:t>4.6    </w:t>
      </w:r>
      <w:r>
        <w:rPr>
          <w:rFonts w:ascii="Times New Roman;serif" w:hAnsi="Times New Roman;serif"/>
          <w:b/>
          <w:color w:val="000000"/>
          <w:sz w:val="23"/>
          <w:u w:val="single"/>
        </w:rPr>
        <w:t>Right to Communicate</w:t>
      </w:r>
      <w:r>
        <w:rPr>
          <w:rFonts w:ascii="Times New Roman;serif" w:hAnsi="Times New Roman;serif"/>
          <w:b w:val="false"/>
          <w:color w:val="000000"/>
          <w:sz w:val="23"/>
        </w:rPr>
        <w:t>. Notwithstanding any provision of this Agreement or any other agreement executed by Executive to the contrary, there shall be no restriction on Executive’s ability to (a) speak with law enforcement, the United States Equal Employment Opportunity Commission, or any state or local agency charged with the investigation or enforcement of equal employment opportunity, or an attorney retained by Executive; (b) report violations of any law or regulation to, or initiate, testify, assist, comply with a subpoena from, or participate in any manner with an investigation conducted by, an appropriate local, state, or federal agency; (c) testify in an administrative, legislative, or judicial proceeding concerning alleged criminal conduct or alleged sexual harassment on the part of the Company Group or any agent or employee of the Company Group, when Executive has been required or requested to attend the proceeding pursuant to a court order, subpoena, or written request from an administrative agency or the legislature, or otherwise provide truthful testimony or information pursuant to subpoena, court order, or similar legal process; (d) otherwise engage in whistleblower activity protected by the Securities Exchange Act of 1934, the Dodd-Frank Wall Street Reform and Consumer Protection Act, or any rules or regulations issued thereunder, including, without limitation, Rule 21F-17; or (e) file or disclose any facts necessary to receive unemployment insurance, Medicaid, or other public benefits to which Executive is entitled. In addition, 18 U.S.C. §1833(b) provides, in part: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(2)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Nothing in this Agreement, any other agreement executed by Executive, or any company policy is intended to conflict with this statutory protection.</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ARTICLE V</w:t>
      </w:r>
    </w:p>
    <w:p>
      <w:pPr>
        <w:pStyle w:val="TextBody"/>
        <w:bidi w:val="0"/>
        <w:spacing w:lineRule="auto" w:line="288" w:before="0" w:after="240"/>
        <w:jc w:val="center"/>
        <w:rPr>
          <w:rFonts w:ascii="Times New Roman;serif" w:hAnsi="Times New Roman;serif"/>
          <w:b/>
          <w:color w:val="000000"/>
          <w:sz w:val="23"/>
        </w:rPr>
      </w:pPr>
      <w:r>
        <w:rPr>
          <w:rFonts w:ascii="Times New Roman;serif" w:hAnsi="Times New Roman;serif"/>
          <w:b/>
          <w:color w:val="000000"/>
          <w:sz w:val="23"/>
        </w:rPr>
        <w:t>Restrictive Covenants</w:t>
      </w:r>
    </w:p>
    <w:p>
      <w:pPr>
        <w:pStyle w:val="TextBody"/>
        <w:bidi w:val="0"/>
        <w:spacing w:lineRule="auto" w:line="288" w:before="0" w:after="240"/>
        <w:ind w:left="0" w:right="0" w:firstLine="720"/>
        <w:jc w:val="both"/>
        <w:rPr>
          <w:rFonts w:ascii="Times New Roman;serif" w:hAnsi="Times New Roman;serif"/>
          <w:b w:val="false"/>
          <w:color w:val="000000"/>
          <w:sz w:val="23"/>
        </w:rPr>
      </w:pPr>
      <w:r>
        <w:rPr>
          <w:rFonts w:ascii="Times New Roman;serif" w:hAnsi="Times New Roman;serif"/>
          <w:b w:val="false"/>
          <w:color w:val="000000"/>
          <w:sz w:val="23"/>
        </w:rPr>
        <w:t>5.1    Executive acknowledges that (i) the Company Group (including the Company) has spent substantial time, money, and effort over the years in developing and solidifying its customer relationships and protecting its Confidential Information and goodwill, (ii) long-term customer relationships often can be difficult to develop and require a significant investment of time, effort, and expense, and (iii) the Company pays its employees, such as Executive, to, among other things, develop and preserve customer goodwill, customer loyalty, and customer contacts, as well as Confidential Information, for and on behalf of the Company, Parent Company, and the Affiliates. Executive shall not, during the Restricted Period, directly or indirectly, on Executive’s behalf or for or on behalf of any other person, firm, corporation, or entity:</w:t>
      </w:r>
    </w:p>
    <w:p>
      <w:pPr>
        <w:pStyle w:val="TextBody"/>
        <w:bidi w:val="0"/>
        <w:spacing w:lineRule="auto" w:line="288" w:before="0" w:after="24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(a)provide any services that are the same as or substantially similar to the services provided by Executive to the Company, Parent Company, and/or the Affiliates during the Final Year (as defined below), to assist any Competitive Business (as defined below) in competing, directly or indirectly, against the Company, Parent Company, and/or the Affiliates in the Territory (as defined below);</w:t>
      </w:r>
    </w:p>
    <w:p>
      <w:pPr>
        <w:pStyle w:val="TextBody"/>
        <w:bidi w:val="0"/>
        <w:spacing w:lineRule="auto" w:line="288" w:before="0" w:after="24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(b)provide any competitive products or services to any Customers (as defined below) in the Territory;</w:t>
      </w:r>
    </w:p>
    <w:p>
      <w:pPr>
        <w:pStyle w:val="TextBody"/>
        <w:bidi w:val="0"/>
        <w:spacing w:lineRule="auto" w:line="288" w:before="0" w:after="24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(c)solicit, divert, or take away, or attempt to solicit, divert, or take away from the Company, Parent Company, and/or the Affiliates the business of any of the Customers for the purpose of selling or providing to or servicing for any Customer any product or service which was provided by the Company, Parent Company, and/or the Affiliates during Executive’s employment with the Company, Parent Company, and/or the Affiliates (or which product or service is a substitute therefor or competes therewith);</w:t>
      </w:r>
    </w:p>
    <w:p>
      <w:pPr>
        <w:pStyle w:val="TextBody"/>
        <w:bidi w:val="0"/>
        <w:spacing w:lineRule="auto" w:line="288" w:before="0" w:after="24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(d)cause or attempt to cause any of the Customers to terminate or reduce their existing relationships with the Company, Parent Company, and/or the Affiliates;</w:t>
      </w:r>
    </w:p>
    <w:p>
      <w:pPr>
        <w:pStyle w:val="TextBody"/>
        <w:bidi w:val="0"/>
        <w:spacing w:lineRule="auto" w:line="288" w:before="0" w:after="24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(e)cause or attempt to cause any Business Partners (as defined below) to terminate or reduce their existing relationships with the Company, Parent Company, and/or the Affiliates; or</w:t>
      </w:r>
    </w:p>
    <w:p>
      <w:pPr>
        <w:pStyle w:val="TextBody"/>
        <w:bidi w:val="0"/>
        <w:spacing w:lineRule="auto" w:line="288" w:before="0" w:after="24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(f)solicit or induce, or attempt to solicit or induce, any Key Executive (as defined below) to leave the employ of, or sever or reduce his or her engagement with, the Company, Parent Company, and/or the Affiliates, or to work for any Competitive Business of the Company, Parent Company, and/or the Affiliates.</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3"/>
        </w:rPr>
        <w:t>5.2    </w:t>
      </w:r>
      <w:r>
        <w:rPr>
          <w:rFonts w:ascii="Times New Roman;serif" w:hAnsi="Times New Roman;serif"/>
          <w:b/>
          <w:color w:val="000000"/>
          <w:sz w:val="23"/>
          <w:u w:val="single"/>
        </w:rPr>
        <w:t>Definitions</w:t>
      </w:r>
      <w:r>
        <w:rPr>
          <w:rFonts w:ascii="Times New Roman;serif" w:hAnsi="Times New Roman;serif"/>
          <w:b w:val="false"/>
          <w:color w:val="000000"/>
          <w:sz w:val="23"/>
        </w:rPr>
        <w:t>. For purposes of this Agreement, the following capitalized terms shall have the meanings set forth below:</w:t>
      </w:r>
    </w:p>
    <w:p>
      <w:pPr>
        <w:pStyle w:val="TextBody"/>
        <w:bidi w:val="0"/>
        <w:spacing w:lineRule="auto" w:line="288" w:before="0" w:after="240"/>
        <w:ind w:left="0" w:right="0" w:hanging="720"/>
        <w:jc w:val="both"/>
        <w:rPr/>
      </w:pPr>
      <w:r>
        <w:rPr>
          <w:rFonts w:ascii="Times New Roman;serif" w:hAnsi="Times New Roman;serif"/>
          <w:b w:val="false"/>
          <w:color w:val="000000"/>
          <w:sz w:val="23"/>
        </w:rPr>
        <w:t>(a)</w:t>
      </w:r>
      <w:r>
        <w:rPr>
          <w:color w:val="000000"/>
        </w:rPr>
        <w:t>“</w:t>
      </w:r>
      <w:r>
        <w:rPr>
          <w:rFonts w:ascii="Times New Roman;serif" w:hAnsi="Times New Roman;serif"/>
          <w:b w:val="false"/>
          <w:color w:val="000000"/>
          <w:sz w:val="23"/>
          <w:u w:val="single"/>
        </w:rPr>
        <w:t>Business Partners</w:t>
      </w:r>
      <w:r>
        <w:rPr>
          <w:color w:val="000000"/>
        </w:rPr>
        <w:t xml:space="preserve">” </w:t>
      </w:r>
      <w:r>
        <w:rPr>
          <w:rFonts w:ascii="Times New Roman;serif" w:hAnsi="Times New Roman;serif"/>
          <w:b w:val="false"/>
          <w:color w:val="000000"/>
          <w:sz w:val="23"/>
        </w:rPr>
        <w:t>means the Company’s, Parent Company’s, and the Affiliates’ vendors, suppliers, joint venturers, licensors, referral sources, or other business relationships about whom Executive had any Confidential Information that may be of value to Executive or to a Competitive Business in seeking to transact business with such person or entity, or with respect to whom Executive had any relationship responsibilities, either directly or through managing other employees who had such relationship responsibilities.</w:t>
      </w:r>
    </w:p>
    <w:p>
      <w:pPr>
        <w:pStyle w:val="TextBody"/>
        <w:bidi w:val="0"/>
        <w:spacing w:lineRule="auto" w:line="288" w:before="0" w:after="240"/>
        <w:ind w:left="0" w:right="0" w:hanging="720"/>
        <w:jc w:val="both"/>
        <w:rPr/>
      </w:pPr>
      <w:r>
        <w:rPr>
          <w:rFonts w:ascii="Times New Roman;serif" w:hAnsi="Times New Roman;serif"/>
          <w:b w:val="false"/>
          <w:color w:val="000000"/>
          <w:sz w:val="23"/>
        </w:rPr>
        <w:t>(b)</w:t>
      </w:r>
      <w:r>
        <w:rPr>
          <w:color w:val="000000"/>
        </w:rPr>
        <w:t>“</w:t>
      </w:r>
      <w:r>
        <w:rPr>
          <w:rFonts w:ascii="Times New Roman;serif" w:hAnsi="Times New Roman;serif"/>
          <w:b w:val="false"/>
          <w:color w:val="000000"/>
          <w:sz w:val="23"/>
          <w:u w:val="single"/>
        </w:rPr>
        <w:t>Competitive Business</w:t>
      </w:r>
      <w:r>
        <w:rPr>
          <w:color w:val="000000"/>
        </w:rPr>
        <w:t xml:space="preserve">” </w:t>
      </w:r>
      <w:r>
        <w:rPr>
          <w:rFonts w:ascii="Times New Roman;serif" w:hAnsi="Times New Roman;serif"/>
          <w:b w:val="false"/>
          <w:color w:val="000000"/>
          <w:sz w:val="23"/>
        </w:rPr>
        <w:t>shall mean the business of acquiring, holding, and/or operating admitted market insurance companies or excess and surplus line insurance companies, and any other material business that the Company Group is engaged in as of the date of this Agreement and as the business of the Company Group evolves during Executive’s employment with the Company.</w:t>
      </w:r>
    </w:p>
    <w:p>
      <w:pPr>
        <w:pStyle w:val="TextBody"/>
        <w:bidi w:val="0"/>
        <w:spacing w:lineRule="auto" w:line="288" w:before="0" w:after="240"/>
        <w:ind w:left="0" w:right="0" w:hanging="720"/>
        <w:jc w:val="both"/>
        <w:rPr/>
      </w:pPr>
      <w:r>
        <w:rPr>
          <w:rFonts w:ascii="Times New Roman;serif" w:hAnsi="Times New Roman;serif"/>
          <w:b w:val="false"/>
          <w:color w:val="000000"/>
          <w:sz w:val="23"/>
        </w:rPr>
        <w:t>(c)</w:t>
      </w:r>
      <w:r>
        <w:rPr>
          <w:color w:val="000000"/>
        </w:rPr>
        <w:t>“</w:t>
      </w:r>
      <w:r>
        <w:rPr>
          <w:rFonts w:ascii="Times New Roman;serif" w:hAnsi="Times New Roman;serif"/>
          <w:b w:val="false"/>
          <w:color w:val="000000"/>
          <w:sz w:val="23"/>
          <w:u w:val="single"/>
        </w:rPr>
        <w:t>Customers</w:t>
      </w:r>
      <w:r>
        <w:rPr>
          <w:color w:val="000000"/>
        </w:rPr>
        <w:t xml:space="preserve">” </w:t>
      </w:r>
      <w:r>
        <w:rPr>
          <w:rFonts w:ascii="Times New Roman;serif" w:hAnsi="Times New Roman;serif"/>
          <w:b w:val="false"/>
          <w:color w:val="000000"/>
          <w:sz w:val="23"/>
        </w:rPr>
        <w:t>means the Company’s, Parent Company’s, and the Affiliates’ (i) customers to or for whom Executive provided services, or for whom Executive had substantial account responsibilities, at any time during the Final Year as defined below), (ii) customers serviced by Group Company personnel at any time during the Final Year, if Executive had supervisory duties over the personnel providing such service at the time it was provided, (iii) customers with respect to whom Executive had Confidential Information at any time during the Final Year that may be of value to Executive or to a Competitive Business in seeking to transact business with such customer, and (iv) prospective customers that at any time during the Final Year Executive solicited or had material contact with, or about whom Executive had Confidential Information that may be of value to Executive or to a Competitive Business in seeking to transact business with such prospective customer. Notwithstanding the foregoing, a Customer does not include any person or entity who became a customer or a prospective customer of the Company Group (A) as the direct result of a professional or social relationship that Executive developed with such person/entity before the Effective Date, and (B) where there is no material investment or assistance by the Company Group in order to preserve, strengthen, enhance, or expand the relationship.</w:t>
      </w:r>
    </w:p>
    <w:p>
      <w:pPr>
        <w:pStyle w:val="TextBody"/>
        <w:bidi w:val="0"/>
        <w:spacing w:lineRule="auto" w:line="288" w:before="0" w:after="240"/>
        <w:ind w:left="0" w:right="0" w:hanging="720"/>
        <w:jc w:val="both"/>
        <w:rPr/>
      </w:pPr>
      <w:r>
        <w:rPr>
          <w:rFonts w:ascii="Times New Roman;serif" w:hAnsi="Times New Roman;serif"/>
          <w:b w:val="false"/>
          <w:color w:val="000000"/>
          <w:sz w:val="23"/>
        </w:rPr>
        <w:t>(d)</w:t>
      </w:r>
      <w:r>
        <w:rPr>
          <w:color w:val="000000"/>
        </w:rPr>
        <w:t>“</w:t>
      </w:r>
      <w:r>
        <w:rPr>
          <w:rFonts w:ascii="Times New Roman;serif" w:hAnsi="Times New Roman;serif"/>
          <w:b w:val="false"/>
          <w:color w:val="000000"/>
          <w:sz w:val="23"/>
          <w:u w:val="single"/>
        </w:rPr>
        <w:t>Final Year</w:t>
      </w:r>
      <w:r>
        <w:rPr>
          <w:color w:val="000000"/>
        </w:rPr>
        <w:t xml:space="preserve">” </w:t>
      </w:r>
      <w:r>
        <w:rPr>
          <w:rFonts w:ascii="Times New Roman;serif" w:hAnsi="Times New Roman;serif"/>
          <w:b w:val="false"/>
          <w:color w:val="000000"/>
          <w:sz w:val="23"/>
        </w:rPr>
        <w:t>shall mean the twelve (12)-month period immediately preceding Executive’s last day of employment with any member of the Company Group (i.e., the last date on which Executive is employed by the Company or any Affiliate); provided, however, that the Final Year shall be divided in half for purposes of clause (iv) of the definition of “Customers.”</w:t>
      </w:r>
    </w:p>
    <w:p>
      <w:pPr>
        <w:pStyle w:val="TextBody"/>
        <w:bidi w:val="0"/>
        <w:spacing w:lineRule="auto" w:line="288" w:before="0" w:after="240"/>
        <w:ind w:left="0" w:right="0" w:hanging="720"/>
        <w:jc w:val="both"/>
        <w:rPr/>
      </w:pPr>
      <w:r>
        <w:rPr>
          <w:rFonts w:ascii="Times New Roman;serif" w:hAnsi="Times New Roman;serif"/>
          <w:b w:val="false"/>
          <w:color w:val="000000"/>
          <w:sz w:val="23"/>
        </w:rPr>
        <w:t>(e)</w:t>
      </w:r>
      <w:r>
        <w:rPr>
          <w:color w:val="000000"/>
        </w:rPr>
        <w:t>“</w:t>
      </w:r>
      <w:r>
        <w:rPr>
          <w:rFonts w:ascii="Times New Roman;serif" w:hAnsi="Times New Roman;serif"/>
          <w:b w:val="false"/>
          <w:color w:val="000000"/>
          <w:sz w:val="23"/>
          <w:u w:val="single"/>
        </w:rPr>
        <w:t>Key Executives</w:t>
      </w:r>
      <w:r>
        <w:rPr>
          <w:color w:val="000000"/>
        </w:rPr>
        <w:t xml:space="preserve">” </w:t>
      </w:r>
      <w:r>
        <w:rPr>
          <w:rFonts w:ascii="Times New Roman;serif" w:hAnsi="Times New Roman;serif"/>
          <w:b w:val="false"/>
          <w:color w:val="000000"/>
          <w:sz w:val="23"/>
        </w:rPr>
        <w:t>shall mean any executive, managerial, or supervisory level employee of the Company Group under Executive’s direct or indirect management authority during the Final Year.</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3"/>
        </w:rPr>
        <w:t>(f)</w:t>
      </w:r>
      <w:r>
        <w:rPr>
          <w:color w:val="000000"/>
        </w:rPr>
        <w:t>“</w:t>
      </w:r>
      <w:r>
        <w:rPr>
          <w:rFonts w:ascii="Times New Roman;serif" w:hAnsi="Times New Roman;serif"/>
          <w:b w:val="false"/>
          <w:color w:val="000000"/>
          <w:sz w:val="23"/>
          <w:u w:val="single"/>
        </w:rPr>
        <w:t>Restricted Period</w:t>
      </w:r>
      <w:r>
        <w:rPr>
          <w:color w:val="000000"/>
        </w:rPr>
        <w:t xml:space="preserve">” </w:t>
      </w:r>
      <w:r>
        <w:rPr>
          <w:rFonts w:ascii="Times New Roman;serif" w:hAnsi="Times New Roman;serif"/>
          <w:b w:val="false"/>
          <w:color w:val="000000"/>
          <w:sz w:val="23"/>
        </w:rPr>
        <w:t>shall mean eighteen (18) months immediately following the end of the Term, except that in the event of a termination without Cause (as defined herein), a Company Non-Renewal Termination (as defined herein), or a resignation for Good Reason (as defined herein), “Restricted Period” shall mean the greater of twelve (12) months immediately following the end of the Term and the length of time during which Executive receives severance payments under the terms of this Agreement; provided, however, that the running of the Restricted Period shall be tolled during (i.e., extended for) any period of time during which Executive violates any of the provisions of Article V.</w:t>
      </w:r>
    </w:p>
    <w:p>
      <w:pPr>
        <w:pStyle w:val="TextBody"/>
        <w:bidi w:val="0"/>
        <w:spacing w:lineRule="auto" w:line="288" w:before="0" w:after="240"/>
        <w:ind w:left="0" w:right="0" w:hanging="720"/>
        <w:jc w:val="both"/>
        <w:rPr/>
      </w:pPr>
      <w:r>
        <w:rPr>
          <w:rFonts w:ascii="Times New Roman;serif" w:hAnsi="Times New Roman;serif"/>
          <w:b w:val="false"/>
          <w:color w:val="000000"/>
          <w:sz w:val="23"/>
        </w:rPr>
        <w:t>(g)</w:t>
      </w:r>
      <w:r>
        <w:rPr>
          <w:color w:val="000000"/>
        </w:rPr>
        <w:t>“</w:t>
      </w:r>
      <w:r>
        <w:rPr>
          <w:rFonts w:ascii="Times New Roman;serif" w:hAnsi="Times New Roman;serif"/>
          <w:b w:val="false"/>
          <w:color w:val="000000"/>
          <w:sz w:val="23"/>
          <w:u w:val="single"/>
        </w:rPr>
        <w:t>Territory</w:t>
      </w:r>
      <w:r>
        <w:rPr>
          <w:color w:val="000000"/>
        </w:rPr>
        <w:t xml:space="preserve">” </w:t>
      </w:r>
      <w:r>
        <w:rPr>
          <w:rFonts w:ascii="Times New Roman;serif" w:hAnsi="Times New Roman;serif"/>
          <w:b w:val="false"/>
          <w:color w:val="000000"/>
          <w:sz w:val="23"/>
        </w:rPr>
        <w:t>shall mean the following severable geographic areas: (i) within the United States, (ii) within any state, including the District of Columbia, in which the Company is engaged in business during the Term, (iii) within any state, including the District of Columbia, in which the Company is engaged in business during the Final Year, (iv) within any state, including the District of Columbia, in which Executive performed services during the Term, (iii) within any state, including the District of Columbia, in which Executive performed services during the Final Year, (iv) within any state, including the District of Columbia, for which Executive had any responsibilities during the Term, and (iv) within any state, including the District of Columbia, for which Executive had any responsibilities during the Final Year.</w:t>
      </w:r>
    </w:p>
    <w:p>
      <w:pPr>
        <w:pStyle w:val="TextBody"/>
        <w:bidi w:val="0"/>
        <w:spacing w:lineRule="auto" w:line="288" w:before="0" w:after="240"/>
        <w:ind w:left="0" w:right="0" w:firstLine="720"/>
        <w:jc w:val="both"/>
        <w:rPr/>
      </w:pPr>
      <w:r>
        <w:rPr>
          <w:rFonts w:ascii="Times New Roman;serif" w:hAnsi="Times New Roman;serif"/>
          <w:b w:val="false"/>
          <w:color w:val="000000"/>
          <w:sz w:val="23"/>
        </w:rPr>
        <w:t>5.3    </w:t>
      </w:r>
      <w:r>
        <w:rPr>
          <w:rFonts w:ascii="Times New Roman;serif" w:hAnsi="Times New Roman;serif"/>
          <w:b/>
          <w:color w:val="000000"/>
          <w:sz w:val="23"/>
          <w:u w:val="single"/>
        </w:rPr>
        <w:t>Acknowledgments</w:t>
      </w:r>
      <w:r>
        <w:rPr>
          <w:rFonts w:ascii="Times New Roman;serif" w:hAnsi="Times New Roman;serif"/>
          <w:b w:val="false"/>
          <w:color w:val="000000"/>
          <w:sz w:val="23"/>
        </w:rPr>
        <w:t>. The restrictions in Sections 5.1(a) and 5.1(b) shall apply only to prevent Executive from providing services in the business and industry segments in which Executive provided services for or on behalf of the Company, or regarding which Executive had material Confidential Information, in either case at any time during the Final Year. If any restriction set forth in Article V is found by any court of competent jurisdiction or arbitrator to be unenforceable because it extends for too long a period of time or over too great a range of activities or in too broad a geographic area, it shall be interpreted to extend only over the maximum period of time, range of activities or geographic area as to which such court or arbitrator shall determine it to be enforceable. Executive agrees that the restrictions contained in Article V, both separately and in total, are reasonable and enforceable in view of, among other things, (a) the Company’s legitimate interests in protecting its Confidential Information, goodwill, and customer relationships, (b) the narrow range of the activities prohibited, (c) the Confidential Information to which Executive has or will have access, which Executive agrees has a useful competitive life in excess of eighteen (18) months, and (d) Executive’s background, which is such that the restrictions should not impose any undue hardship on Executive. The parties further agree that nothing in Article V shall prevent Executive from performing Executive’s normal duties and responsibilities for the Company, Parent Company, and/or the Affiliates or from owning as a passive investor less than three percent (3%) of the issued and outstanding stock of any publicly held company.</w:t>
      </w:r>
    </w:p>
    <w:p>
      <w:pPr>
        <w:pStyle w:val="TextBody"/>
        <w:bidi w:val="0"/>
        <w:spacing w:lineRule="auto" w:line="288" w:before="0" w:after="240"/>
        <w:ind w:left="0" w:right="0" w:firstLine="720"/>
        <w:jc w:val="both"/>
        <w:rPr/>
      </w:pPr>
      <w:r>
        <w:rPr>
          <w:rFonts w:ascii="Times New Roman;serif" w:hAnsi="Times New Roman;serif"/>
          <w:b w:val="false"/>
          <w:color w:val="000000"/>
          <w:sz w:val="23"/>
        </w:rPr>
        <w:t>5.4    </w:t>
      </w:r>
      <w:r>
        <w:rPr>
          <w:rFonts w:ascii="Times New Roman;serif" w:hAnsi="Times New Roman;serif"/>
          <w:b/>
          <w:color w:val="000000"/>
          <w:sz w:val="23"/>
          <w:u w:val="single"/>
        </w:rPr>
        <w:t>Application to All Forms of Communication</w:t>
      </w:r>
      <w:r>
        <w:rPr>
          <w:rFonts w:ascii="Times New Roman;serif" w:hAnsi="Times New Roman;serif"/>
          <w:b w:val="false"/>
          <w:color w:val="000000"/>
          <w:sz w:val="23"/>
        </w:rPr>
        <w:t>. Executive acknowledges that the restrictions in this Agreement apply to all forms of communication, including, without limitation, written communications, verbal communications, email communications, and all forms of electronic communications through social media websites or applications that may or may not be broadly disseminated, including, without limitation, status updates, posts, direct/personal messages, tweets, or retweets on LinkedIn, X, Facebook, Instagram, Glassdoor, or any other form of electronic communication.</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ARTICLE VI</w:t>
      </w:r>
    </w:p>
    <w:p>
      <w:pPr>
        <w:pStyle w:val="TextBody"/>
        <w:bidi w:val="0"/>
        <w:spacing w:lineRule="auto" w:line="288" w:before="0" w:after="240"/>
        <w:jc w:val="center"/>
        <w:rPr>
          <w:rFonts w:ascii="Times New Roman;serif" w:hAnsi="Times New Roman;serif"/>
          <w:b/>
          <w:color w:val="000000"/>
          <w:sz w:val="23"/>
        </w:rPr>
      </w:pPr>
      <w:r>
        <w:rPr>
          <w:rFonts w:ascii="Times New Roman;serif" w:hAnsi="Times New Roman;serif"/>
          <w:b/>
          <w:color w:val="000000"/>
          <w:sz w:val="23"/>
        </w:rPr>
        <w:t>Assignment of Inventions.</w:t>
      </w:r>
    </w:p>
    <w:p>
      <w:pPr>
        <w:pStyle w:val="TextBody"/>
        <w:bidi w:val="0"/>
        <w:spacing w:lineRule="auto" w:line="288" w:before="0" w:after="240"/>
        <w:ind w:left="0" w:right="0" w:firstLine="720"/>
        <w:jc w:val="both"/>
        <w:rPr/>
      </w:pPr>
      <w:r>
        <w:rPr>
          <w:rFonts w:ascii="Times New Roman;serif" w:hAnsi="Times New Roman;serif"/>
          <w:b w:val="false"/>
          <w:color w:val="000000"/>
          <w:sz w:val="23"/>
        </w:rPr>
        <w:t>6.1    Executive hereby assigns to the Company all of Executive’s rights, title, and interest (including, without limitation, all patent, trademark, copyright, and trade secret rights) in and to all Work Product. For purposes of this Agreement, “</w:t>
      </w:r>
      <w:r>
        <w:rPr>
          <w:rFonts w:ascii="Times New Roman;serif" w:hAnsi="Times New Roman;serif"/>
          <w:b w:val="false"/>
          <w:color w:val="000000"/>
          <w:sz w:val="23"/>
          <w:u w:val="single"/>
        </w:rPr>
        <w:t>Work Product</w:t>
      </w:r>
      <w:r>
        <w:rPr>
          <w:color w:val="000000"/>
        </w:rPr>
        <w:t xml:space="preserve">” </w:t>
      </w:r>
      <w:r>
        <w:rPr>
          <w:rFonts w:ascii="Times New Roman;serif" w:hAnsi="Times New Roman;serif"/>
          <w:b w:val="false"/>
          <w:color w:val="000000"/>
          <w:sz w:val="23"/>
        </w:rPr>
        <w:t>means all work product, property, data, documentation, information, or materials conceived, discovered, developed, or created by Executive including, without limitation, all literary works, software, documentation, memoranda, musical works, photographs, artwork, sound recordings, audiovisual works, ideas, designs, inventions, discoveries, creations, conceptions, improvements, processes, algorithms, and so forth (collectively, “</w:t>
      </w:r>
      <w:r>
        <w:rPr>
          <w:rFonts w:ascii="Times New Roman;serif" w:hAnsi="Times New Roman;serif"/>
          <w:b w:val="false"/>
          <w:color w:val="000000"/>
          <w:sz w:val="23"/>
          <w:u w:val="single"/>
        </w:rPr>
        <w:t>Intellectual</w:t>
      </w:r>
      <w:r>
        <w:rPr>
          <w:color w:val="000000"/>
        </w:rPr>
        <w:t xml:space="preserve"> </w:t>
      </w:r>
      <w:r>
        <w:rPr>
          <w:rFonts w:ascii="Times New Roman;serif" w:hAnsi="Times New Roman;serif"/>
          <w:b w:val="false"/>
          <w:color w:val="000000"/>
          <w:sz w:val="23"/>
          <w:u w:val="single"/>
        </w:rPr>
        <w:t>Property</w:t>
      </w:r>
      <w:r>
        <w:rPr>
          <w:color w:val="000000"/>
        </w:rPr>
        <w:t>”</w:t>
      </w:r>
      <w:r>
        <w:rPr>
          <w:rFonts w:ascii="Times New Roman;serif" w:hAnsi="Times New Roman;serif"/>
          <w:b w:val="false"/>
          <w:color w:val="000000"/>
          <w:sz w:val="23"/>
        </w:rPr>
        <w:t>) which (a) are prepared or developed by Executive, individually or jointly with others, during the Term or within three (3) months thereafter, whether or not during working hours, and (b) relate to or arise in any way out of (i) current or anticipated businesses or activities of the Company, Parent Company, and/or the Affiliates, (ii) the Company’s, Parent Company’s, and/or the Affiliates’ current or anticipated research or development, (iii) any work performed by Executive for the Company, Parent Company, and/or the Affiliates, or (iv) any information or assistance provided by the Company, Parent Company, and/or the Affiliates, including, without limitation, Confidential Information.</w:t>
      </w:r>
    </w:p>
    <w:p>
      <w:pPr>
        <w:pStyle w:val="TextBody"/>
        <w:bidi w:val="0"/>
        <w:spacing w:lineRule="auto" w:line="288" w:before="0" w:after="240"/>
        <w:ind w:left="0" w:right="0" w:firstLine="720"/>
        <w:jc w:val="both"/>
        <w:rPr>
          <w:rFonts w:ascii="Times New Roman;serif" w:hAnsi="Times New Roman;serif"/>
          <w:b w:val="false"/>
          <w:color w:val="000000"/>
          <w:sz w:val="23"/>
        </w:rPr>
      </w:pPr>
      <w:r>
        <w:rPr>
          <w:rFonts w:ascii="Times New Roman;serif" w:hAnsi="Times New Roman;serif"/>
          <w:b w:val="false"/>
          <w:color w:val="000000"/>
          <w:sz w:val="23"/>
        </w:rPr>
        <w:t>6.2    Executive further acknowledges and agrees that all copyrightable Work Product prepared by Executive within the scope of Executive’s employment with the Company, Parent Company, and/or the Affiliates are “works made for hire” according to the copyright laws of the United States (including Sections 101 and 201 of Title 17 of the U.S. Code) and, consequently, that the Company owns all copyrights thereto.</w:t>
      </w:r>
    </w:p>
    <w:p>
      <w:pPr>
        <w:pStyle w:val="TextBody"/>
        <w:bidi w:val="0"/>
        <w:spacing w:lineRule="auto" w:line="288" w:before="0" w:after="240"/>
        <w:ind w:left="0" w:right="0" w:firstLine="720"/>
        <w:jc w:val="both"/>
        <w:rPr>
          <w:rFonts w:ascii="Times New Roman;serif" w:hAnsi="Times New Roman;serif"/>
          <w:b w:val="false"/>
          <w:color w:val="000000"/>
          <w:sz w:val="23"/>
        </w:rPr>
      </w:pPr>
      <w:r>
        <w:rPr>
          <w:rFonts w:ascii="Times New Roman;serif" w:hAnsi="Times New Roman;serif"/>
          <w:b w:val="false"/>
          <w:color w:val="000000"/>
          <w:sz w:val="23"/>
        </w:rPr>
        <w:t>6.3    Executive shall promptly disclose to the Company all Work Product. All such Work Product is and shall forthwith become the property of the Company or its designee, whether or not patentable or copyrightable. Executive will execute promptly upon request any documents or instruments at any time and undertake any other action deemed reasonably necessary or proper by the Company in order to formally convey and transfer to the Company or its designee title to such Work Product, or to confirm the Company’s or its designee’s title therein, and in order to enable the Company or its designee to obtain and enforce United States and foreign letters patent, trademarks, and copyrights thereon. Executive will perform Executive’s obligations under this Article VI without further compensation, except for reimbursement of reasonable out-of-pocket expenses incurred at the request of the Company. If Executive is unable due to disability or incapacity, to execute any such documents relating to Work Product, Executive hereby appoints each officer and director of the Company to be Executive’s Attorney-in-Fact to so execute such documents on behalf of Executive. This is a durable Power of Attorney, the authority of which shall not terminate if Executive becomes disabled or incapacitated. If Executive refuses, following thirty (30) days’ prior written notice from the Company, or is unable due to death to execute any such documents relating to Work Product, Executive covenants and agrees that Executive’s heirs, successors, estate, and personal representative are hereby authorized and directed to execute such documents on behalf of Executive, and upon the failure of such heirs, successors, estate, and personal representatives to execute such documents, Executive does hereby authorize each officer and director of the Company to so execute such documents on behalf of Executive’s heirs, successors, estate, and personal representatives. Notwithstanding anything contained in any other Power of Attorney, this agency is coupled with an interest and is therefore irrevocable without the prior written consent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3"/>
        </w:rPr>
        <w:t xml:space="preserve">6.4    Executive shall specify, on </w:t>
      </w:r>
      <w:r>
        <w:rPr>
          <w:rFonts w:ascii="Times New Roman;serif" w:hAnsi="Times New Roman;serif"/>
          <w:b w:val="false"/>
          <w:color w:val="000000"/>
          <w:sz w:val="23"/>
          <w:u w:val="single"/>
        </w:rPr>
        <w:t>Attachment A</w:t>
      </w:r>
      <w:r>
        <w:rPr>
          <w:color w:val="000000"/>
        </w:rPr>
        <w:t xml:space="preserve"> </w:t>
      </w:r>
      <w:r>
        <w:rPr>
          <w:rFonts w:ascii="Times New Roman;serif" w:hAnsi="Times New Roman;serif"/>
          <w:b w:val="false"/>
          <w:color w:val="000000"/>
          <w:sz w:val="23"/>
        </w:rPr>
        <w:t>hereto, all preexisting Intellectual Property, not assigned to the Company, and created prior to Executive’s employment by the Company in which Executive has any right, title, or interest (“</w:t>
      </w:r>
      <w:r>
        <w:rPr>
          <w:rFonts w:ascii="Times New Roman;serif" w:hAnsi="Times New Roman;serif"/>
          <w:b w:val="false"/>
          <w:color w:val="000000"/>
          <w:sz w:val="23"/>
          <w:u w:val="single"/>
        </w:rPr>
        <w:t>Designated Preexisting Intellectual</w:t>
      </w:r>
      <w:r>
        <w:rPr>
          <w:color w:val="000000"/>
        </w:rPr>
        <w:t xml:space="preserve"> </w:t>
      </w:r>
      <w:r>
        <w:rPr>
          <w:rFonts w:ascii="Times New Roman;serif" w:hAnsi="Times New Roman;serif"/>
          <w:b w:val="false"/>
          <w:color w:val="000000"/>
          <w:sz w:val="23"/>
          <w:u w:val="single"/>
        </w:rPr>
        <w:t>Property</w:t>
      </w:r>
      <w:r>
        <w:rPr>
          <w:color w:val="000000"/>
        </w:rPr>
        <w:t>”</w:t>
      </w:r>
      <w:r>
        <w:rPr>
          <w:rFonts w:ascii="Times New Roman;serif" w:hAnsi="Times New Roman;serif"/>
          <w:b w:val="false"/>
          <w:color w:val="000000"/>
          <w:sz w:val="23"/>
        </w:rPr>
        <w:t xml:space="preserve">), in sufficient detail to allow the Company to identify same. If no such specification is made on </w:t>
      </w:r>
      <w:r>
        <w:rPr>
          <w:rFonts w:ascii="Times New Roman;serif" w:hAnsi="Times New Roman;serif"/>
          <w:b w:val="false"/>
          <w:color w:val="000000"/>
          <w:sz w:val="23"/>
          <w:u w:val="single"/>
        </w:rPr>
        <w:t>Attachment A</w:t>
      </w:r>
      <w:r>
        <w:rPr>
          <w:rFonts w:ascii="Times New Roman;serif" w:hAnsi="Times New Roman;serif"/>
          <w:b w:val="false"/>
          <w:color w:val="000000"/>
          <w:sz w:val="23"/>
        </w:rPr>
        <w:t>, or if Executive writes “none” or similar designation thereon, Executive shall be conclusively deemed not to have any such preexisting Intellectual Property, and all preexisting Intellectual Property incorporated in any Work Product shall be property of the Company hereunder. If, in the course of the Term, Executive incorporates all or any part of any Designated Preexisting Intellectual Property in any Work Product or uses all or any part of any Designated Preexisting Intellectual Property in connection with conceiving, developing, preparing, reducing to practice, making, or authoring any Work Product, Executive grants to the Company, Parent Company, and the Affiliates a nonexclusive, royalty-free, irrevocable, perpetual, worldwide license, with right to sub-license through multiple tiers, in and to such Designated Preexisting Intellectual Property, for any purpose.</w:t>
      </w:r>
    </w:p>
    <w:p>
      <w:pPr>
        <w:pStyle w:val="TextBody"/>
        <w:bidi w:val="0"/>
        <w:spacing w:lineRule="auto" w:line="288" w:before="0" w:after="240"/>
        <w:ind w:left="0" w:right="0" w:firstLine="720"/>
        <w:jc w:val="both"/>
        <w:rPr>
          <w:rFonts w:ascii="Times New Roman;serif" w:hAnsi="Times New Roman;serif"/>
          <w:b w:val="false"/>
          <w:color w:val="000000"/>
          <w:sz w:val="23"/>
        </w:rPr>
      </w:pPr>
      <w:r>
        <w:rPr>
          <w:rFonts w:ascii="Times New Roman;serif" w:hAnsi="Times New Roman;serif"/>
          <w:b w:val="false"/>
          <w:color w:val="000000"/>
          <w:sz w:val="23"/>
        </w:rPr>
        <w:t>6.5    Executive represents and warrants to the Company that all work that Executive performs for or has performed for the Company, Parent Company, and/or the Affiliates and all Work Product that Executive produces, will not knowingly infringe upon or violate any patent, copyright, trade secret, or other property right of any of Executive’s former employers or of any other third party. Executive will not disclose to the Company, Parent Company, and/or the Affiliates, or use in any of Executive’s Work Product, any confidential or proprietary information for which Executive has previously undertaken valid and continuing obligations of confidentiality or which belongs to others, unless both the owner thereof and the Company have consented.</w:t>
      </w:r>
    </w:p>
    <w:p>
      <w:pPr>
        <w:pStyle w:val="TextBody"/>
        <w:bidi w:val="0"/>
        <w:spacing w:lineRule="auto" w:line="288" w:before="0" w:after="240"/>
        <w:ind w:left="0" w:right="0" w:firstLine="720"/>
        <w:jc w:val="both"/>
        <w:rPr>
          <w:rFonts w:ascii="Times New Roman;serif" w:hAnsi="Times New Roman;serif"/>
          <w:b w:val="false"/>
          <w:color w:val="000000"/>
          <w:sz w:val="23"/>
        </w:rPr>
      </w:pPr>
      <w:r>
        <w:rPr>
          <w:rFonts w:ascii="Times New Roman;serif" w:hAnsi="Times New Roman;serif"/>
          <w:b w:val="false"/>
          <w:color w:val="000000"/>
          <w:sz w:val="23"/>
        </w:rPr>
        <w:t>6.6    SPECIAL NOTICE TO EXECUTIVE: The obligations of this Article VI do not apply to an invention that Executive developed entirely on his own time without using the Company’s, Parent Company’s, and/or any Affiliate’s equipment, supplies, facility or trade secret information except for those inventions that (a) relate to the Company’s, Parent Company’s, and/or any Affiliate’s business or actual or demonstrably anticipated research or development, or (b) result from any work performed by Executive for the Company, Parent Company, and/or any Affiliate. For clarity, the foregoing is intended to comply with North Carolina Gen. Stat. § 66-57.1 and § 66-57.2 and to expressly notify Executive that he has no obligation to assign inventions that fully qualify for exclusion under such statutory sections.</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ARTICLE VII</w:t>
      </w:r>
    </w:p>
    <w:p>
      <w:pPr>
        <w:pStyle w:val="TextBody"/>
        <w:bidi w:val="0"/>
        <w:spacing w:lineRule="auto" w:line="288" w:before="0" w:after="240"/>
        <w:jc w:val="center"/>
        <w:rPr>
          <w:rFonts w:ascii="Times New Roman;serif" w:hAnsi="Times New Roman;serif"/>
          <w:b/>
          <w:color w:val="000000"/>
          <w:sz w:val="23"/>
        </w:rPr>
      </w:pPr>
      <w:r>
        <w:rPr>
          <w:rFonts w:ascii="Times New Roman;serif" w:hAnsi="Times New Roman;serif"/>
          <w:b/>
          <w:color w:val="000000"/>
          <w:sz w:val="23"/>
        </w:rPr>
        <w:t>Termination</w:t>
      </w:r>
    </w:p>
    <w:p>
      <w:pPr>
        <w:pStyle w:val="TextBody"/>
        <w:bidi w:val="0"/>
        <w:spacing w:lineRule="auto" w:line="288" w:before="0" w:after="240"/>
        <w:ind w:left="0" w:right="0" w:firstLine="720"/>
        <w:jc w:val="both"/>
        <w:rPr>
          <w:rFonts w:ascii="Times New Roman;serif" w:hAnsi="Times New Roman;serif"/>
          <w:b w:val="false"/>
          <w:color w:val="000000"/>
          <w:sz w:val="23"/>
        </w:rPr>
      </w:pPr>
      <w:r>
        <w:rPr>
          <w:rFonts w:ascii="Times New Roman;serif" w:hAnsi="Times New Roman;serif"/>
          <w:b w:val="false"/>
          <w:color w:val="000000"/>
          <w:sz w:val="23"/>
        </w:rPr>
        <w:t>Executive’s employment hereunder shall terminate under the following circumstances:</w:t>
      </w:r>
    </w:p>
    <w:p>
      <w:pPr>
        <w:pStyle w:val="TextBody"/>
        <w:bidi w:val="0"/>
        <w:spacing w:lineRule="auto" w:line="288" w:before="0" w:after="240"/>
        <w:ind w:left="0" w:right="0" w:firstLine="720"/>
        <w:jc w:val="both"/>
        <w:rPr/>
      </w:pPr>
      <w:r>
        <w:rPr>
          <w:rFonts w:ascii="Times New Roman;serif" w:hAnsi="Times New Roman;serif"/>
          <w:b w:val="false"/>
          <w:color w:val="000000"/>
          <w:sz w:val="23"/>
        </w:rPr>
        <w:t>7.1    </w:t>
      </w:r>
      <w:r>
        <w:rPr>
          <w:rFonts w:ascii="Times New Roman;serif" w:hAnsi="Times New Roman;serif"/>
          <w:b/>
          <w:color w:val="000000"/>
          <w:sz w:val="23"/>
          <w:u w:val="single"/>
        </w:rPr>
        <w:t>Termination for Cause</w:t>
      </w:r>
      <w:r>
        <w:rPr>
          <w:rFonts w:ascii="Times New Roman;serif" w:hAnsi="Times New Roman;serif"/>
          <w:b w:val="false"/>
          <w:color w:val="000000"/>
          <w:sz w:val="23"/>
        </w:rPr>
        <w:t>. The Company may terminate the employment of Executive for Cause at any time by providing written notice to Executive specifying the cause of the termination. For the purposes of this Agreement, “</w:t>
      </w:r>
      <w:r>
        <w:rPr>
          <w:rFonts w:ascii="Times New Roman;serif" w:hAnsi="Times New Roman;serif"/>
          <w:b w:val="false"/>
          <w:color w:val="000000"/>
          <w:sz w:val="23"/>
          <w:u w:val="single"/>
        </w:rPr>
        <w:t>Cause</w:t>
      </w:r>
      <w:r>
        <w:rPr>
          <w:color w:val="000000"/>
        </w:rPr>
        <w:t xml:space="preserve">” </w:t>
      </w:r>
      <w:r>
        <w:rPr>
          <w:rFonts w:ascii="Times New Roman;serif" w:hAnsi="Times New Roman;serif"/>
          <w:b w:val="false"/>
          <w:color w:val="000000"/>
          <w:sz w:val="23"/>
        </w:rPr>
        <w:t xml:space="preserve">means that: (a) Executive willfully violated Articles IV or V of this Agreement; (b) Executive grossly neglected his duties hereunder; (c) Executive was convicted of, or entered of a plea of </w:t>
      </w:r>
      <w:r>
        <w:rPr>
          <w:rFonts w:ascii="Times New Roman;serif" w:hAnsi="Times New Roman;serif"/>
          <w:b w:val="false"/>
          <w:i/>
          <w:color w:val="000000"/>
          <w:sz w:val="23"/>
        </w:rPr>
        <w:t xml:space="preserve">nolo contendere </w:t>
      </w:r>
      <w:r>
        <w:rPr>
          <w:rFonts w:ascii="Times New Roman;serif" w:hAnsi="Times New Roman;serif"/>
          <w:b w:val="false"/>
          <w:color w:val="000000"/>
          <w:sz w:val="23"/>
        </w:rPr>
        <w:t>with respect to, a felony or a crime involving moral turpitude (meaning a crime that includes the commission of an act of depravity, dishonesty, or bad morals); (d) Executive committed an act of dishonesty, fraud, or embezzlement against any entity in the Company Group; (d) Executive otherwise willfully and/or knowingly breached this Agreement in any material respect or willfully and/or knowingly violated Parent Company’s or the Company’s operating guidelines or policies; or (f) Executive willfully failed or refused to follow the lawful instructions of the Company that are consistent with this Agreement (“</w:t>
      </w:r>
      <w:r>
        <w:rPr>
          <w:rFonts w:ascii="Times New Roman;serif" w:hAnsi="Times New Roman;serif"/>
          <w:b w:val="false"/>
          <w:color w:val="000000"/>
          <w:sz w:val="23"/>
          <w:u w:val="single"/>
        </w:rPr>
        <w:t>Insubordination</w:t>
      </w:r>
      <w:r>
        <w:rPr>
          <w:color w:val="000000"/>
        </w:rPr>
        <w:t>”</w:t>
      </w:r>
      <w:r>
        <w:rPr>
          <w:rFonts w:ascii="Times New Roman;serif" w:hAnsi="Times New Roman;serif"/>
          <w:b w:val="false"/>
          <w:color w:val="000000"/>
          <w:sz w:val="23"/>
        </w:rPr>
        <w:t>). In the event that Parent Company and/or the Company provides written notice of termination for Cause pursuant to Section 7.1(b) or (f), Executive shall be entitled to cure any alleged neglect of his duties or Insubordination, to the extent curable, within thirty (30) days of receiving such written notice specifying the factual basis for its belief that Executive grossly neglected his duties hereunder or engaged in Insubordination. If Executive is terminated for Cause, Executive’s compensation shall terminate on the date of such termination, and all unvested Options, unvested RSUs or other outstanding compensatory equity awards shall be immediately forfeited and canceled effective as of the date of such termination.</w:t>
      </w:r>
    </w:p>
    <w:p>
      <w:pPr>
        <w:pStyle w:val="TextBody"/>
        <w:bidi w:val="0"/>
        <w:spacing w:lineRule="auto" w:line="288" w:before="0" w:after="240"/>
        <w:ind w:left="0" w:right="0" w:firstLine="720"/>
        <w:jc w:val="both"/>
        <w:rPr/>
      </w:pPr>
      <w:r>
        <w:rPr>
          <w:rFonts w:ascii="Times New Roman;serif" w:hAnsi="Times New Roman;serif"/>
          <w:b w:val="false"/>
          <w:color w:val="000000"/>
          <w:sz w:val="23"/>
        </w:rPr>
        <w:t>7.2    </w:t>
      </w:r>
      <w:r>
        <w:rPr>
          <w:rFonts w:ascii="Times New Roman;serif" w:hAnsi="Times New Roman;serif"/>
          <w:b/>
          <w:color w:val="000000"/>
          <w:sz w:val="23"/>
          <w:u w:val="single"/>
        </w:rPr>
        <w:t>Termination Without Cause/Non-Renewal</w:t>
      </w:r>
      <w:r>
        <w:rPr>
          <w:rFonts w:ascii="Times New Roman;serif" w:hAnsi="Times New Roman;serif"/>
          <w:b w:val="false"/>
          <w:color w:val="000000"/>
          <w:sz w:val="23"/>
        </w:rPr>
        <w:t>. The Company may terminate Executive at any time without Cause, with or without prior notice. If (a) the Company delivers a timely Non-Renewal Notice and Executive has not timely delivered a Non-Renewal Notice, (b) Executive continues in employment with the Company through the last day of the Term and (c) the parties have not executed a written agreement applicable to Executive’s employment after the expiration of the Term, Executive’s employment shall terminate on the last day of the Term (a “</w:t>
      </w:r>
      <w:r>
        <w:rPr>
          <w:rFonts w:ascii="Times New Roman;serif" w:hAnsi="Times New Roman;serif"/>
          <w:b w:val="false"/>
          <w:color w:val="000000"/>
          <w:sz w:val="23"/>
          <w:u w:val="single"/>
        </w:rPr>
        <w:t>Company Non-Renewal Termination</w:t>
      </w:r>
      <w:r>
        <w:rPr>
          <w:color w:val="000000"/>
        </w:rPr>
        <w:t>”</w:t>
      </w:r>
      <w:r>
        <w:rPr>
          <w:rFonts w:ascii="Times New Roman;serif" w:hAnsi="Times New Roman;serif"/>
          <w:b w:val="false"/>
          <w:color w:val="000000"/>
          <w:sz w:val="23"/>
        </w:rPr>
        <w:t>).</w:t>
      </w:r>
    </w:p>
    <w:p>
      <w:pPr>
        <w:pStyle w:val="TextBody"/>
        <w:bidi w:val="0"/>
        <w:spacing w:lineRule="auto" w:line="288" w:before="0" w:after="240"/>
        <w:ind w:left="0" w:right="0" w:firstLine="720"/>
        <w:jc w:val="both"/>
        <w:rPr/>
      </w:pPr>
      <w:r>
        <w:rPr>
          <w:rFonts w:ascii="Times New Roman;serif" w:hAnsi="Times New Roman;serif"/>
          <w:b w:val="false"/>
          <w:color w:val="000000"/>
          <w:sz w:val="23"/>
        </w:rPr>
        <w:t>7.3    </w:t>
      </w:r>
      <w:r>
        <w:rPr>
          <w:rFonts w:ascii="Times New Roman;serif" w:hAnsi="Times New Roman;serif"/>
          <w:b/>
          <w:color w:val="000000"/>
          <w:sz w:val="23"/>
          <w:u w:val="single"/>
        </w:rPr>
        <w:t>Termination by Executive for Good Reason</w:t>
      </w:r>
      <w:r>
        <w:rPr>
          <w:rFonts w:ascii="Times New Roman;serif" w:hAnsi="Times New Roman;serif"/>
          <w:b w:val="false"/>
          <w:color w:val="000000"/>
          <w:sz w:val="23"/>
        </w:rPr>
        <w:t>. Executive may, at his option, terminate this Agreement for Good Reason in accordance with the terms of this Section 7.3. “</w:t>
      </w:r>
      <w:r>
        <w:rPr>
          <w:rFonts w:ascii="Times New Roman;serif" w:hAnsi="Times New Roman;serif"/>
          <w:b w:val="false"/>
          <w:color w:val="000000"/>
          <w:sz w:val="23"/>
          <w:u w:val="single"/>
        </w:rPr>
        <w:t>Good</w:t>
      </w:r>
      <w:r>
        <w:rPr>
          <w:color w:val="000000"/>
        </w:rPr>
        <w:t xml:space="preserve"> </w:t>
      </w:r>
      <w:r>
        <w:rPr>
          <w:rFonts w:ascii="Times New Roman;serif" w:hAnsi="Times New Roman;serif"/>
          <w:b w:val="false"/>
          <w:color w:val="000000"/>
          <w:sz w:val="23"/>
          <w:u w:val="single"/>
        </w:rPr>
        <w:t>Reason</w:t>
      </w:r>
      <w:r>
        <w:rPr>
          <w:color w:val="000000"/>
        </w:rPr>
        <w:t xml:space="preserve">” </w:t>
      </w:r>
      <w:r>
        <w:rPr>
          <w:rFonts w:ascii="Times New Roman;serif" w:hAnsi="Times New Roman;serif"/>
          <w:b w:val="false"/>
          <w:color w:val="000000"/>
          <w:sz w:val="23"/>
        </w:rPr>
        <w:t>shall mean the occurrence of any one or more of the following events without the prior consent of Executive:</w:t>
      </w:r>
    </w:p>
    <w:p>
      <w:pPr>
        <w:pStyle w:val="TextBody"/>
        <w:bidi w:val="0"/>
        <w:spacing w:lineRule="auto" w:line="288" w:before="0" w:after="24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(a)A material diminution in Executive’s authority, duties or responsibilities;</w:t>
      </w:r>
    </w:p>
    <w:p>
      <w:pPr>
        <w:pStyle w:val="TextBody"/>
        <w:bidi w:val="0"/>
        <w:spacing w:lineRule="auto" w:line="288" w:before="0" w:after="24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(b)A material diminution in Executive’s base salary where such diminution does not occur in concert with other executive personnel of the Company generally; or</w:t>
      </w:r>
    </w:p>
    <w:p>
      <w:pPr>
        <w:pStyle w:val="TextBody"/>
        <w:bidi w:val="0"/>
        <w:spacing w:lineRule="auto" w:line="288" w:before="0" w:after="24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(c)Any action or inaction by the Company which constitutes a material breach of the terms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3"/>
        </w:rPr>
        <w:t>and, in each case, the failure by the Company to cure such condition within the thirty (30)-day period after receipt of written notice from Executive specifying in detail the factual basis for his belief that he has Good Reason to resign (“</w:t>
      </w:r>
      <w:r>
        <w:rPr>
          <w:rFonts w:ascii="Times New Roman;serif" w:hAnsi="Times New Roman;serif"/>
          <w:b w:val="false"/>
          <w:color w:val="000000"/>
          <w:sz w:val="23"/>
          <w:u w:val="single"/>
        </w:rPr>
        <w:t>Good Reason Notice</w:t>
      </w:r>
      <w:r>
        <w:rPr>
          <w:color w:val="000000"/>
        </w:rPr>
        <w:t>”</w:t>
      </w:r>
      <w:r>
        <w:rPr>
          <w:rFonts w:ascii="Times New Roman;serif" w:hAnsi="Times New Roman;serif"/>
          <w:b w:val="false"/>
          <w:color w:val="000000"/>
          <w:sz w:val="23"/>
        </w:rPr>
        <w:t>). Executive must deliver a Good Reason Notice to the Company within thirty (30) calendar days after the initial existence of a Good Reason condition, and, if the Company fails to timely cure such Good Reason condition, Executive must terminate his employment within ninety (90) days after the initial existence of such Good Reason condition, and any failure by Executive to timely comply with either of these requirements shall constitute a waiver of Executive’s right to resign for Good Reason for such condition.</w:t>
      </w:r>
    </w:p>
    <w:p>
      <w:pPr>
        <w:pStyle w:val="TextBody"/>
        <w:bidi w:val="0"/>
        <w:spacing w:lineRule="auto" w:line="288" w:before="0" w:after="240"/>
        <w:ind w:left="0" w:right="0" w:firstLine="720"/>
        <w:jc w:val="both"/>
        <w:rPr/>
      </w:pPr>
      <w:r>
        <w:rPr>
          <w:rFonts w:ascii="Times New Roman;serif" w:hAnsi="Times New Roman;serif"/>
          <w:b w:val="false"/>
          <w:color w:val="000000"/>
          <w:sz w:val="23"/>
        </w:rPr>
        <w:t>7.4    </w:t>
      </w:r>
      <w:r>
        <w:rPr>
          <w:rFonts w:ascii="Times New Roman;serif" w:hAnsi="Times New Roman;serif"/>
          <w:b/>
          <w:color w:val="000000"/>
          <w:sz w:val="23"/>
          <w:u w:val="single"/>
        </w:rPr>
        <w:t>Termination Due to Death or Disability</w:t>
      </w:r>
      <w:r>
        <w:rPr>
          <w:rFonts w:ascii="Times New Roman;serif" w:hAnsi="Times New Roman;serif"/>
          <w:b w:val="false"/>
          <w:color w:val="000000"/>
          <w:sz w:val="23"/>
        </w:rPr>
        <w:t>. Executive’s employment hereunder shall terminate upon his death. The Company may terminate Executive’s employment if he is prevented from performing his responsibilities under this Agreement because of “Disability.” A “</w:t>
      </w:r>
      <w:r>
        <w:rPr>
          <w:rFonts w:ascii="Times New Roman;serif" w:hAnsi="Times New Roman;serif"/>
          <w:b w:val="false"/>
          <w:color w:val="000000"/>
          <w:sz w:val="23"/>
          <w:u w:val="single"/>
        </w:rPr>
        <w:t>Disability</w:t>
      </w:r>
      <w:r>
        <w:rPr>
          <w:color w:val="000000"/>
        </w:rPr>
        <w:t xml:space="preserve">” </w:t>
      </w:r>
      <w:r>
        <w:rPr>
          <w:rFonts w:ascii="Times New Roman;serif" w:hAnsi="Times New Roman;serif"/>
          <w:b w:val="false"/>
          <w:color w:val="000000"/>
          <w:sz w:val="23"/>
        </w:rPr>
        <w:t>means the inability of Executive to have performed Executive’s material duties hereunder after reasonable accommodation due to a physical or mental injury, infirmity or incapacity for one hundred eighty (180) days (including weekends and holidays) in any three hundred sixty-five (365)-day period as determined by the Board in its reasonable discretion. Executive shall cooperate in all respects with the Company if a question arises as to whether Executive has become disabled (including, without limitation, submitting to reasonable examinations by one or more medical doctors and other health care specialists selected by the Company and authorizing such medical doctors and other health care specialists to discuss Executive’s condition with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3"/>
        </w:rPr>
        <w:t>7.5    </w:t>
      </w:r>
      <w:r>
        <w:rPr>
          <w:rFonts w:ascii="Times New Roman;serif" w:hAnsi="Times New Roman;serif"/>
          <w:b/>
          <w:color w:val="000000"/>
          <w:sz w:val="23"/>
          <w:u w:val="single"/>
        </w:rPr>
        <w:t>Expiration of Term</w:t>
      </w:r>
      <w:r>
        <w:rPr>
          <w:rFonts w:ascii="Times New Roman;serif" w:hAnsi="Times New Roman;serif"/>
          <w:b w:val="false"/>
          <w:color w:val="000000"/>
          <w:sz w:val="23"/>
        </w:rPr>
        <w:t xml:space="preserve">. If (a) Executive delivers a timely Non-Renewal Notice pursuant to </w:t>
      </w:r>
      <w:hyperlink w:anchor="ib59c18d3030a4f8a970624f793abf5ad_1">
        <w:r>
          <w:rPr>
            <w:rStyle w:val="InternetLink"/>
            <w:rFonts w:ascii="Times New Roman;serif" w:hAnsi="Times New Roman;serif"/>
            <w:b w:val="false"/>
            <w:strike w:val="false"/>
            <w:dstrike w:val="false"/>
            <w:color w:val="000000"/>
            <w:sz w:val="23"/>
            <w:u w:val="none"/>
            <w:effect w:val="none"/>
          </w:rPr>
          <w:t>Article I</w:t>
        </w:r>
      </w:hyperlink>
      <w:r>
        <w:rPr>
          <w:rFonts w:ascii="Times New Roman;serif" w:hAnsi="Times New Roman;serif"/>
          <w:b w:val="false"/>
          <w:color w:val="000000"/>
          <w:sz w:val="23"/>
        </w:rPr>
        <w:t xml:space="preserve"> (whether or not the Company has timely delivered a timely Non-Renewal Notice), (b) Executive continues in employment with the Company through the last day of the Term, and (c) the parties have not executed a written agreement applicable to Executive’s employment after the expiration of the Term, Executive’s employment shall terminate on the last day of the Term (“</w:t>
      </w:r>
      <w:r>
        <w:rPr>
          <w:rFonts w:ascii="Times New Roman;serif" w:hAnsi="Times New Roman;serif"/>
          <w:b w:val="false"/>
          <w:color w:val="000000"/>
          <w:sz w:val="23"/>
          <w:u w:val="single"/>
        </w:rPr>
        <w:t>Executive Non-Renewal Termination</w:t>
      </w:r>
      <w:r>
        <w:rPr>
          <w:color w:val="000000"/>
        </w:rPr>
        <w:t>”</w:t>
      </w:r>
      <w:r>
        <w:rPr>
          <w:rFonts w:ascii="Times New Roman;serif" w:hAnsi="Times New Roman;serif"/>
          <w:b w:val="false"/>
          <w:color w:val="000000"/>
          <w:sz w:val="23"/>
        </w:rPr>
        <w:t>).</w:t>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ARTICLE VIII</w:t>
      </w:r>
    </w:p>
    <w:p>
      <w:pPr>
        <w:pStyle w:val="TextBody"/>
        <w:bidi w:val="0"/>
        <w:spacing w:lineRule="auto" w:line="288" w:before="0" w:after="240"/>
        <w:jc w:val="center"/>
        <w:rPr>
          <w:rFonts w:ascii="Times New Roman;serif" w:hAnsi="Times New Roman;serif"/>
          <w:b/>
          <w:color w:val="000000"/>
          <w:sz w:val="23"/>
        </w:rPr>
      </w:pPr>
      <w:r>
        <w:rPr>
          <w:rFonts w:ascii="Times New Roman;serif" w:hAnsi="Times New Roman;serif"/>
          <w:b/>
          <w:color w:val="000000"/>
          <w:sz w:val="23"/>
        </w:rPr>
        <w:t>Compensation And Benefits Upon Termination</w:t>
      </w:r>
    </w:p>
    <w:p>
      <w:pPr>
        <w:pStyle w:val="TextBody"/>
        <w:bidi w:val="0"/>
        <w:spacing w:lineRule="auto" w:line="288" w:before="0" w:after="240"/>
        <w:ind w:left="0" w:right="0" w:firstLine="720"/>
        <w:jc w:val="both"/>
        <w:rPr/>
      </w:pPr>
      <w:r>
        <w:rPr>
          <w:rFonts w:ascii="Times New Roman;serif" w:hAnsi="Times New Roman;serif"/>
          <w:b w:val="false"/>
          <w:color w:val="000000"/>
          <w:sz w:val="23"/>
        </w:rPr>
        <w:t>8.1    </w:t>
      </w:r>
      <w:r>
        <w:rPr>
          <w:rFonts w:ascii="Times New Roman;serif" w:hAnsi="Times New Roman;serif"/>
          <w:b/>
          <w:color w:val="000000"/>
          <w:sz w:val="23"/>
          <w:u w:val="single"/>
        </w:rPr>
        <w:t>Termination without Cause, Company Non-Renewal Termination, or Termination</w:t>
      </w:r>
      <w:r>
        <w:rPr>
          <w:color w:val="000000"/>
        </w:rPr>
        <w:t xml:space="preserve"> </w:t>
      </w:r>
      <w:r>
        <w:rPr>
          <w:rFonts w:ascii="Times New Roman;serif" w:hAnsi="Times New Roman;serif"/>
          <w:b/>
          <w:color w:val="000000"/>
          <w:sz w:val="23"/>
          <w:u w:val="single"/>
        </w:rPr>
        <w:t>for Good Reason</w:t>
      </w:r>
      <w:r>
        <w:rPr>
          <w:rFonts w:ascii="Times New Roman;serif" w:hAnsi="Times New Roman;serif"/>
          <w:b w:val="false"/>
          <w:color w:val="000000"/>
          <w:sz w:val="23"/>
        </w:rPr>
        <w:t>. If, during the Term, the Company terminates Executive’s employment without Cause, there is a Company Non-Renewal Termination, or Executive terminates his employment for Good Reason, then:</w:t>
      </w:r>
    </w:p>
    <w:p>
      <w:pPr>
        <w:pStyle w:val="TextBody"/>
        <w:bidi w:val="0"/>
        <w:spacing w:lineRule="auto" w:line="288" w:before="0" w:after="240"/>
        <w:ind w:left="0" w:right="0" w:hanging="720"/>
        <w:jc w:val="both"/>
        <w:rPr/>
      </w:pPr>
      <w:r>
        <w:rPr>
          <w:rFonts w:ascii="Times New Roman;serif" w:hAnsi="Times New Roman;serif"/>
          <w:b w:val="false"/>
          <w:color w:val="000000"/>
          <w:sz w:val="23"/>
        </w:rPr>
        <w:t>(a)as soon as practicable following such termination but no later than ten (10) days after the Termination Date (as defined below), the Company shall pay to Executive his accrued but yet unpaid base salary earned through the Termination Date and any accrued, but unused vacation pay through the Termination Date that may be owed under Company policy or applicable law (the “</w:t>
      </w:r>
      <w:r>
        <w:rPr>
          <w:rFonts w:ascii="Times New Roman;serif" w:hAnsi="Times New Roman;serif"/>
          <w:b w:val="false"/>
          <w:color w:val="000000"/>
          <w:sz w:val="23"/>
          <w:u w:val="single"/>
        </w:rPr>
        <w:t>Accrued Obligations</w:t>
      </w:r>
      <w:r>
        <w:rPr>
          <w:color w:val="000000"/>
        </w:rPr>
        <w:t>”</w:t>
      </w:r>
      <w:r>
        <w:rPr>
          <w:rFonts w:ascii="Times New Roman;serif" w:hAnsi="Times New Roman;serif"/>
          <w:b w:val="false"/>
          <w:color w:val="000000"/>
          <w:sz w:val="23"/>
        </w:rPr>
        <w:t>);</w:t>
      </w:r>
    </w:p>
    <w:p>
      <w:pPr>
        <w:pStyle w:val="TextBody"/>
        <w:bidi w:val="0"/>
        <w:spacing w:lineRule="auto" w:line="288" w:before="0" w:after="24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(b)within forty-five (45) days following the Termination Date, the Company shall reimburse Executive for reasonable expenses incurred, but not paid prior to the Termination Date; and</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(c)subject to the execution and delivery of a general release in a form acceptable to the Company within forty-five (45) days after the Termination Date, which release is not revoked, Executive is entitled to receive:</w:t>
      </w:r>
    </w:p>
    <w:p>
      <w:pPr>
        <w:pStyle w:val="TextBody"/>
        <w:bidi w:val="0"/>
        <w:spacing w:lineRule="auto" w:line="288" w:before="0" w:after="24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(i)In the event of (I) a termination without Cause or for Good Reason (x) before a Change in Control (as defined in Section 8.5) or more than twelve (12) months after a Change in Control, an amount equal to Executive’s then current base salary for a period of twelve (12) months after the Termination Date, or (y) within twelve (12) months after a Change in Control, an amount equal to Executive’s then current base salary for a period of eighteen (18) months after the Termination Date, or (II) a Company Non-Renewal Termination either before or any time after a Change in Control, an amount equal to Executive’s then current base salary for a period of twelve (12) months after the Termination Date, which, in any case shall be paid in periodic installments in accordance with the Company’s normal payroll practices commencing on the first payroll date which is at least ten (10) business days after the forty-fifth (45th) day after the Termination Date unless such payment is required to be delayed pursuant to Section 9.2 below; and</w:t>
      </w:r>
    </w:p>
    <w:p>
      <w:pPr>
        <w:pStyle w:val="TextBody"/>
        <w:bidi w:val="0"/>
        <w:spacing w:lineRule="auto" w:line="288" w:before="0" w:after="24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(ii)the continuation of coverage under all employee benefit insurance plans in which Executive was a participant as of the Termination Date, to the extent such post-employment coverage is authorized by such plans, at the Company’s expense with such periodic payments for such coverage(s) made for and during the period of twelve (12) months after the Termination Date. The Company makes no representations regarding the taxability or non-taxability of such payments.</w:t>
      </w:r>
    </w:p>
    <w:p>
      <w:pPr>
        <w:pStyle w:val="TextBody"/>
        <w:bidi w:val="0"/>
        <w:spacing w:lineRule="auto" w:line="288" w:before="0" w:after="240"/>
        <w:ind w:left="0" w:right="0" w:firstLine="720"/>
        <w:jc w:val="both"/>
        <w:rPr/>
      </w:pPr>
      <w:r>
        <w:rPr>
          <w:rFonts w:ascii="Times New Roman;serif" w:hAnsi="Times New Roman;serif"/>
          <w:b w:val="false"/>
          <w:color w:val="000000"/>
          <w:sz w:val="23"/>
        </w:rPr>
        <w:t>8.2    </w:t>
      </w:r>
      <w:r>
        <w:rPr>
          <w:rFonts w:ascii="Times New Roman;serif" w:hAnsi="Times New Roman;serif"/>
          <w:b/>
          <w:color w:val="000000"/>
          <w:sz w:val="23"/>
          <w:u w:val="single"/>
        </w:rPr>
        <w:t>Termination for Cause or Due to Death or Disability</w:t>
      </w:r>
      <w:r>
        <w:rPr>
          <w:rFonts w:ascii="Times New Roman;serif" w:hAnsi="Times New Roman;serif"/>
          <w:b w:val="false"/>
          <w:color w:val="000000"/>
          <w:sz w:val="23"/>
        </w:rPr>
        <w:t>. If Executive is terminated by the Company for Cause or due to death or Disability, or if a termination of employment occurs pursuant to Section 7.5 as a result of Executive’s delivering a timely Non-Renewal Notice:</w:t>
      </w:r>
    </w:p>
    <w:p>
      <w:pPr>
        <w:pStyle w:val="TextBody"/>
        <w:bidi w:val="0"/>
        <w:spacing w:lineRule="auto" w:line="288" w:before="0" w:after="24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(a)within ten (10) days following the Termination Date, the Company shall pay to Executive the Accrued Obligations; and</w:t>
      </w:r>
    </w:p>
    <w:p>
      <w:pPr>
        <w:pStyle w:val="TextBody"/>
        <w:bidi w:val="0"/>
        <w:spacing w:lineRule="auto" w:line="288" w:before="0" w:after="24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(b)within forty-five (45) days following the Termination Date, the Company shall reimburse Executive for reasonable expenses incurred, but not paid prior to the Termination Date.</w:t>
      </w:r>
    </w:p>
    <w:p>
      <w:pPr>
        <w:pStyle w:val="TextBody"/>
        <w:bidi w:val="0"/>
        <w:spacing w:lineRule="auto" w:line="288" w:before="0" w:after="240"/>
        <w:ind w:left="0" w:right="0" w:firstLine="720"/>
        <w:jc w:val="both"/>
        <w:rPr/>
      </w:pPr>
      <w:r>
        <w:rPr>
          <w:rFonts w:ascii="Times New Roman;serif" w:hAnsi="Times New Roman;serif"/>
          <w:b w:val="false"/>
          <w:color w:val="000000"/>
          <w:sz w:val="23"/>
        </w:rPr>
        <w:t>8.3    </w:t>
      </w:r>
      <w:r>
        <w:rPr>
          <w:rFonts w:ascii="Times New Roman;serif" w:hAnsi="Times New Roman;serif"/>
          <w:b/>
          <w:color w:val="000000"/>
          <w:sz w:val="23"/>
          <w:u w:val="single"/>
        </w:rPr>
        <w:t>Breach of Certain Obligations</w:t>
      </w:r>
      <w:r>
        <w:rPr>
          <w:rFonts w:ascii="Times New Roman;serif" w:hAnsi="Times New Roman;serif"/>
          <w:b w:val="false"/>
          <w:color w:val="000000"/>
          <w:sz w:val="23"/>
        </w:rPr>
        <w:t>. Except for payments provided under Sections 8.1(a), 8.1(b), 8.2 and 8.6, all compensation and benefits paid pursuant to this Article VIII shall cease and Executive shall promptly return any amount paid under Section 8.1(c) to the Company if Executive violates any of the terms of Articles IV or V above during the Restricted Period (with the exception of one thousand dollars $1,000, which shall not be subject to this repayment obligation). In addition to these remedies, the Company and the Company Group shall have all other remedies provided by this Agreement and by law for the breach of Articles IV or V above.</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3"/>
        </w:rPr>
        <w:t>8.4    </w:t>
      </w:r>
      <w:r>
        <w:rPr>
          <w:rFonts w:ascii="Times New Roman;serif" w:hAnsi="Times New Roman;serif"/>
          <w:b/>
          <w:color w:val="000000"/>
          <w:sz w:val="23"/>
          <w:u w:val="single"/>
        </w:rPr>
        <w:t>Termination Date</w:t>
      </w:r>
      <w:r>
        <w:rPr>
          <w:rFonts w:ascii="Times New Roman;serif" w:hAnsi="Times New Roman;serif"/>
          <w:b w:val="false"/>
          <w:color w:val="000000"/>
          <w:sz w:val="23"/>
        </w:rPr>
        <w:t>. For purposes of this Agreement, “</w:t>
      </w:r>
      <w:r>
        <w:rPr>
          <w:rFonts w:ascii="Times New Roman;serif" w:hAnsi="Times New Roman;serif"/>
          <w:b w:val="false"/>
          <w:color w:val="000000"/>
          <w:sz w:val="23"/>
          <w:u w:val="single"/>
        </w:rPr>
        <w:t>Termination Date</w:t>
      </w:r>
      <w:r>
        <w:rPr>
          <w:color w:val="000000"/>
        </w:rPr>
        <w:t xml:space="preserve">” </w:t>
      </w:r>
      <w:r>
        <w:rPr>
          <w:rFonts w:ascii="Times New Roman;serif" w:hAnsi="Times New Roman;serif"/>
          <w:b w:val="false"/>
          <w:color w:val="000000"/>
          <w:sz w:val="23"/>
        </w:rPr>
        <w:t>means the date of Executive’s “separation from his service” within the meaning of Section 409A of the Internal Revenue Code of 1986, as amended, and the regulations promulgated thereunder (“</w:t>
      </w:r>
      <w:r>
        <w:rPr>
          <w:rFonts w:ascii="Times New Roman;serif" w:hAnsi="Times New Roman;serif"/>
          <w:b w:val="false"/>
          <w:color w:val="000000"/>
          <w:sz w:val="23"/>
          <w:u w:val="single"/>
        </w:rPr>
        <w:t>Section 409A</w:t>
      </w:r>
      <w:r>
        <w:rPr>
          <w:color w:val="000000"/>
        </w:rPr>
        <w:t>”</w:t>
      </w:r>
      <w:r>
        <w:rPr>
          <w:rFonts w:ascii="Times New Roman;serif" w:hAnsi="Times New Roman;serif"/>
          <w:b w:val="false"/>
          <w:color w:val="000000"/>
          <w:sz w:val="23"/>
        </w:rPr>
        <w:t>).</w:t>
      </w:r>
    </w:p>
    <w:p>
      <w:pPr>
        <w:pStyle w:val="TextBody"/>
        <w:bidi w:val="0"/>
        <w:spacing w:lineRule="auto" w:line="288" w:before="0" w:after="240"/>
        <w:ind w:left="0" w:right="0" w:firstLine="720"/>
        <w:jc w:val="both"/>
        <w:rPr/>
      </w:pPr>
      <w:r>
        <w:rPr>
          <w:rFonts w:ascii="Times New Roman;serif" w:hAnsi="Times New Roman;serif"/>
          <w:b w:val="false"/>
          <w:color w:val="000000"/>
          <w:sz w:val="23"/>
        </w:rPr>
        <w:t>8.5    </w:t>
      </w:r>
      <w:r>
        <w:rPr>
          <w:rFonts w:ascii="Times New Roman;serif" w:hAnsi="Times New Roman;serif"/>
          <w:b/>
          <w:color w:val="000000"/>
          <w:sz w:val="23"/>
          <w:u w:val="single"/>
        </w:rPr>
        <w:t>Change in Control</w:t>
      </w:r>
      <w:r>
        <w:rPr>
          <w:rFonts w:ascii="Times New Roman;serif" w:hAnsi="Times New Roman;serif"/>
          <w:b w:val="false"/>
          <w:color w:val="000000"/>
          <w:sz w:val="23"/>
        </w:rPr>
        <w:t>. For purposes of this Agreement, "</w:t>
      </w:r>
      <w:r>
        <w:rPr>
          <w:rFonts w:ascii="Times New Roman;serif" w:hAnsi="Times New Roman;serif"/>
          <w:b w:val="false"/>
          <w:color w:val="000000"/>
          <w:sz w:val="23"/>
          <w:u w:val="single"/>
        </w:rPr>
        <w:t>Change in Control</w:t>
      </w:r>
      <w:r>
        <w:rPr>
          <w:rFonts w:ascii="Times New Roman;serif" w:hAnsi="Times New Roman;serif"/>
          <w:b w:val="false"/>
          <w:color w:val="000000"/>
          <w:sz w:val="23"/>
        </w:rPr>
        <w:t>" means the following events:</w:t>
      </w:r>
    </w:p>
    <w:p>
      <w:pPr>
        <w:pStyle w:val="TextBody"/>
        <w:bidi w:val="0"/>
        <w:spacing w:lineRule="auto" w:line="288" w:before="0" w:after="24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(a)the purchase or other acquisition (other than from Holdings), in a single transaction or series of related transactions, by any person, entity or group of persons, within the meaning of Section 13(d) or 14(d) of the Exchange Act (excluding, for this purpose, Holdings or the Company Group or any employee benefit plan of Holdings or the Company Group), of beneficial ownership (within the meaning of Rule 13d-3 promulgated under the Act) of 50% or more of either the then-outstanding Shares or the combined voting power of Holdings' then-outstanding voting securities entitled to vote generally in the election of directors;</w:t>
      </w:r>
    </w:p>
    <w:p>
      <w:pPr>
        <w:pStyle w:val="TextBody"/>
        <w:bidi w:val="0"/>
        <w:spacing w:lineRule="auto" w:line="288" w:before="0" w:after="24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(b)the consummation of a reorganization, merger, amalgamation or consolidation involving Holdings, in each case with respect to which persons who were the shareholders of Holdings immediately prior to such reorganization, merger, amalgamation or consolidation do not, immediately thereafter, own more than 50% of, respectively, the Shares and the combined voting power entitled to vote generally in the election of directors of the reorganized, merged, amalgamated or consolidated corporation's then-outstanding voting securities; and</w:t>
      </w:r>
    </w:p>
    <w:p>
      <w:pPr>
        <w:pStyle w:val="TextBody"/>
        <w:bidi w:val="0"/>
        <w:spacing w:lineRule="auto" w:line="288" w:before="0" w:after="240"/>
        <w:ind w:left="0" w:right="0" w:hanging="720"/>
        <w:jc w:val="both"/>
        <w:rPr>
          <w:rFonts w:ascii="Times New Roman;serif" w:hAnsi="Times New Roman;serif"/>
          <w:b w:val="false"/>
          <w:color w:val="000000"/>
          <w:sz w:val="23"/>
        </w:rPr>
      </w:pPr>
      <w:r>
        <w:rPr>
          <w:rFonts w:ascii="Times New Roman;serif" w:hAnsi="Times New Roman;serif"/>
          <w:b w:val="false"/>
          <w:color w:val="000000"/>
          <w:sz w:val="23"/>
        </w:rPr>
        <w:t>(c)a liquidation or dissolution of Holdings or the sale of all or substantially all of the assets of Holdings;</w:t>
      </w:r>
    </w:p>
    <w:p>
      <w:pPr>
        <w:pStyle w:val="TextBody"/>
        <w:bidi w:val="0"/>
        <w:spacing w:lineRule="auto" w:line="288" w:before="0" w:after="240"/>
        <w:jc w:val="both"/>
        <w:rPr>
          <w:rFonts w:ascii="Times New Roman;serif" w:hAnsi="Times New Roman;serif"/>
          <w:b w:val="false"/>
          <w:color w:val="000000"/>
          <w:sz w:val="23"/>
        </w:rPr>
      </w:pPr>
      <w:r>
        <w:rPr>
          <w:rFonts w:ascii="Times New Roman;serif" w:hAnsi="Times New Roman;serif"/>
          <w:b w:val="false"/>
          <w:color w:val="000000"/>
          <w:sz w:val="23"/>
        </w:rPr>
        <w:t>Notwithstanding anything herein to the contrary, an event described above shall be considered a Change in Control hereunder only if it also constitutes a "change in the ownership or effective control of the corporation or in the ownership of a substantial portion of the assets of the corporation" within the meaning of Section 409A(a)(2)(v) of the Code, to the extent necessary to avoid the adverse tax consequences thereunder with respect to any payment subject to Section 409A of the Code. A Change in Control shall be deemed to occur on the date on which the event giving rise to the Change in Control occurs, provided, in the case of a Change in Control by reason of a liquidation or dissolution of Holdings, such date shall be the date on which Holdings shall commence such liquidation or dissolution.</w:t>
      </w:r>
    </w:p>
    <w:p>
      <w:pPr>
        <w:pStyle w:val="TextBody"/>
        <w:bidi w:val="0"/>
        <w:spacing w:lineRule="auto" w:line="288" w:before="0" w:after="240"/>
        <w:ind w:left="0" w:right="0" w:firstLine="720"/>
        <w:jc w:val="both"/>
        <w:rPr/>
      </w:pPr>
      <w:r>
        <w:rPr>
          <w:rFonts w:ascii="Times New Roman;serif" w:hAnsi="Times New Roman;serif"/>
          <w:b w:val="false"/>
          <w:color w:val="000000"/>
          <w:sz w:val="23"/>
        </w:rPr>
        <w:t>8.6    </w:t>
      </w:r>
      <w:r>
        <w:rPr>
          <w:rFonts w:ascii="Times New Roman;serif" w:hAnsi="Times New Roman;serif"/>
          <w:b/>
          <w:color w:val="000000"/>
          <w:sz w:val="23"/>
          <w:u w:val="single"/>
        </w:rPr>
        <w:t>STIP Award Agreements, LTIP Upon Termination</w:t>
      </w:r>
      <w:r>
        <w:rPr>
          <w:rFonts w:ascii="Times New Roman;serif" w:hAnsi="Times New Roman;serif"/>
          <w:b w:val="false"/>
          <w:color w:val="000000"/>
          <w:sz w:val="23"/>
        </w:rPr>
        <w:t>. Executive’s rights with respect to payment of any cash award under the STIP, or the vesting and exercise of any equity award under the LTIP after the Termination Date shall be governed by the applicable STIP and equity award agreements and LTIP, respectively, except as otherwise provided in Section 7.1.</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ARTICLE IX</w:t>
      </w:r>
    </w:p>
    <w:p>
      <w:pPr>
        <w:pStyle w:val="TextBody"/>
        <w:bidi w:val="0"/>
        <w:spacing w:lineRule="auto" w:line="288" w:before="0" w:after="240"/>
        <w:jc w:val="center"/>
        <w:rPr>
          <w:rFonts w:ascii="Times New Roman;serif" w:hAnsi="Times New Roman;serif"/>
          <w:b/>
          <w:color w:val="000000"/>
          <w:sz w:val="23"/>
        </w:rPr>
      </w:pPr>
      <w:r>
        <w:rPr>
          <w:rFonts w:ascii="Times New Roman;serif" w:hAnsi="Times New Roman;serif"/>
          <w:b/>
          <w:color w:val="000000"/>
          <w:sz w:val="23"/>
        </w:rPr>
        <w:t>Miscellaneous</w:t>
      </w:r>
    </w:p>
    <w:p>
      <w:pPr>
        <w:pStyle w:val="TextBody"/>
        <w:bidi w:val="0"/>
        <w:spacing w:lineRule="auto" w:line="288" w:before="0" w:after="240"/>
        <w:ind w:left="0" w:right="0" w:firstLine="720"/>
        <w:jc w:val="both"/>
        <w:rPr/>
      </w:pPr>
      <w:r>
        <w:rPr>
          <w:rFonts w:ascii="Times New Roman;serif" w:hAnsi="Times New Roman;serif"/>
          <w:b w:val="false"/>
          <w:color w:val="000000"/>
          <w:sz w:val="23"/>
        </w:rPr>
        <w:t>9.1    </w:t>
      </w:r>
      <w:r>
        <w:rPr>
          <w:rFonts w:ascii="Times New Roman;serif" w:hAnsi="Times New Roman;serif"/>
          <w:b/>
          <w:color w:val="000000"/>
          <w:sz w:val="23"/>
          <w:u w:val="single"/>
        </w:rPr>
        <w:t>Cooperation</w:t>
      </w:r>
      <w:r>
        <w:rPr>
          <w:rFonts w:ascii="Times New Roman;serif" w:hAnsi="Times New Roman;serif"/>
          <w:b w:val="false"/>
          <w:color w:val="000000"/>
          <w:sz w:val="23"/>
        </w:rPr>
        <w:t>. Executive agrees that, upon reasonable notice and without the necessity of the Company obtaining a subpoena or court order, Executive shall provide reasonable cooperation in connection with any suit, action or proceeding (or any appeal from any suit, action or proceeding), or the decision to commence on behalf of Parent Company, the Company, and/or any Affiliate any suit, action or proceeding, and any investigation and/or defense of any claims asserted against any of Parent Company’s, the Company’s, or the Affiliates’ current or former directors, officers, employees, shareholders, partners, members, agents or representatives of any of the foregoing, which relates to events occurring during the Term as to which Executive may have relevant information (including but not limited to furnishing relevant information and materials to Parent Company, the Company, the Affiliates or their respective designees and/or providing testimony at depositions and at trial); provided that with respect to such cooperation occurring following the Term, the Company shall reimburse Executive for expenses reasonably incurred in connection herewith and shall schedule such cooperation to the extent reasonably practicable so as not to unreasonably interfere with Executive’s business or personal affairs. Notwithstanding anything to the contrary, in the event Parent Company, the Company or the Affiliates request cooperation from Executive after the Term and at a time when Executive is not receiving any severance pay from the Company, Executive shall not be required to devote more than forty (40) hours of his time per year with respect to this Section 9.1, except that such forty (40)-hour cap shall not include or apply to any time spent testifying at a deposition or at trial, or spent testifying before or being interviewed by any administrative or regulatory agency.</w:t>
      </w:r>
    </w:p>
    <w:p>
      <w:pPr>
        <w:pStyle w:val="TextBody"/>
        <w:bidi w:val="0"/>
        <w:spacing w:lineRule="auto" w:line="288" w:before="0" w:after="240"/>
        <w:ind w:left="0" w:right="0" w:firstLine="720"/>
        <w:jc w:val="both"/>
        <w:rPr/>
      </w:pPr>
      <w:r>
        <w:rPr>
          <w:rFonts w:ascii="Times New Roman;serif" w:hAnsi="Times New Roman;serif"/>
          <w:b w:val="false"/>
          <w:color w:val="000000"/>
          <w:sz w:val="23"/>
        </w:rPr>
        <w:t>9.2    </w:t>
      </w:r>
      <w:r>
        <w:rPr>
          <w:rFonts w:ascii="Times New Roman;serif" w:hAnsi="Times New Roman;serif"/>
          <w:b/>
          <w:color w:val="000000"/>
          <w:sz w:val="23"/>
          <w:u w:val="single"/>
        </w:rPr>
        <w:t>Section 409A</w:t>
      </w:r>
      <w:r>
        <w:rPr>
          <w:rFonts w:ascii="Times New Roman;serif" w:hAnsi="Times New Roman;serif"/>
          <w:b w:val="false"/>
          <w:color w:val="000000"/>
          <w:sz w:val="23"/>
        </w:rPr>
        <w:t>. This Agreement shall be interpreted and administered in a manner so that any amount or benefit payable hereunder shall be paid or provided in a manner that is either exempt from or compliant with the requirements Section 409A and applicable Internal Revenue Service guidance and Treasury Regulations issued thereunder (and any applicable transition relief under Section 409A). Notwithstanding anything else contained in this Agreement to the contrary, if Executive is a “specified employee” under Parent Company’s specified employee policy as in effect on the Termination Date, or if no such policy is then in effect, within the meaning of Section 409A, any payment of deferred compensation required to be made to Executive hereunder upon or following the Termination Date shall be delayed until after the six-month anniversary of Executive’s “separation from service” (as such term is defined in Section 409A) to the extent necessary to comply with, and avoid imposition on Executive of any additional tax, interest, or penalty imposed under, Section 409A. Should payments be delayed in accordance with the preceding sentence, the accumulated payment that would have been made but for the period of the delay shall be paid in a single lump sum during the ten (10)-day period following the six (6)-month anniversary of the Termination Date. Each payroll period payment described in Section 8.1(c) shall be treated as a separate payment for purposes of Section 409A.</w:t>
      </w:r>
    </w:p>
    <w:p>
      <w:pPr>
        <w:pStyle w:val="TextBody"/>
        <w:bidi w:val="0"/>
        <w:spacing w:lineRule="auto" w:line="288" w:before="0" w:after="240"/>
        <w:ind w:left="0" w:right="0" w:firstLine="720"/>
        <w:jc w:val="both"/>
        <w:rPr/>
      </w:pPr>
      <w:r>
        <w:rPr>
          <w:rFonts w:ascii="Times New Roman;serif" w:hAnsi="Times New Roman;serif"/>
          <w:b w:val="false"/>
          <w:color w:val="000000"/>
          <w:sz w:val="23"/>
        </w:rPr>
        <w:t>9.3    </w:t>
      </w:r>
      <w:r>
        <w:rPr>
          <w:rFonts w:ascii="Times New Roman;serif" w:hAnsi="Times New Roman;serif"/>
          <w:b/>
          <w:color w:val="000000"/>
          <w:sz w:val="23"/>
          <w:u w:val="single"/>
        </w:rPr>
        <w:t>Third-Party Beneficiaries</w:t>
      </w:r>
      <w:r>
        <w:rPr>
          <w:rFonts w:ascii="Times New Roman;serif" w:hAnsi="Times New Roman;serif"/>
          <w:b w:val="false"/>
          <w:color w:val="000000"/>
          <w:sz w:val="23"/>
        </w:rPr>
        <w:t>. Parent Company and each of the Affiliates is a third-party beneficiary of this Agreement with respect to its Confidential Information and other business interests, and Parent Company and each of the Affiliates has the full right and power to enforce and protect its rights and interests under this Agreement without limitation or other restriction.</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3"/>
        </w:rPr>
        <w:t>9.4    </w:t>
      </w:r>
      <w:r>
        <w:rPr>
          <w:rFonts w:ascii="Times New Roman;serif" w:hAnsi="Times New Roman;serif"/>
          <w:b/>
          <w:color w:val="000000"/>
          <w:sz w:val="23"/>
          <w:u w:val="single"/>
        </w:rPr>
        <w:t>Equitable Relief</w:t>
      </w:r>
      <w:r>
        <w:rPr>
          <w:rFonts w:ascii="Times New Roman;serif" w:hAnsi="Times New Roman;serif"/>
          <w:b w:val="false"/>
          <w:color w:val="000000"/>
          <w:sz w:val="23"/>
        </w:rPr>
        <w:t>. Executive acknowledges that the services to be rendered under the provisions of this Agreement are of a special, unique, and extraordinary character; involve access to and development of Confidential Information; and that it would be difficult or impossible to replace such services and that, by reason thereof, Executive agrees and consents that if he violates any of the provisions of Articles IV and V of this Agreement, the Company, and/or the Company Group, in addition to any other rights and remedies available under this Agreement or otherwise, shall be entitled to an injunction to be issued by a court of competent jurisdiction or arbitrator restricting Executive from committing or continuing any violation of Articles IV and V of this Agreement without the need to post any injunction bond or other security.</w:t>
      </w:r>
    </w:p>
    <w:p>
      <w:pPr>
        <w:pStyle w:val="TextBody"/>
        <w:bidi w:val="0"/>
        <w:spacing w:lineRule="auto" w:line="288" w:before="0" w:after="240"/>
        <w:ind w:left="0" w:right="0" w:firstLine="720"/>
        <w:jc w:val="both"/>
        <w:rPr/>
      </w:pPr>
      <w:r>
        <w:rPr>
          <w:rFonts w:ascii="Times New Roman;serif" w:hAnsi="Times New Roman;serif"/>
          <w:b w:val="false"/>
          <w:color w:val="000000"/>
          <w:sz w:val="23"/>
        </w:rPr>
        <w:t>9.5    </w:t>
      </w:r>
      <w:r>
        <w:rPr>
          <w:rFonts w:ascii="Times New Roman;serif" w:hAnsi="Times New Roman;serif"/>
          <w:b/>
          <w:color w:val="000000"/>
          <w:sz w:val="23"/>
          <w:u w:val="single"/>
        </w:rPr>
        <w:t>Attorneys’ Fees</w:t>
      </w:r>
      <w:r>
        <w:rPr>
          <w:rFonts w:ascii="Times New Roman;serif" w:hAnsi="Times New Roman;serif"/>
          <w:b w:val="false"/>
          <w:color w:val="000000"/>
          <w:sz w:val="23"/>
        </w:rPr>
        <w:t>. In the event of a breach or threatened breach of this Agreement, the non-breaching party shall be entitled to recover such party’s attorneys’ fees and costs incurred as a result of such breach or threatened breach.</w:t>
      </w:r>
    </w:p>
    <w:p>
      <w:pPr>
        <w:pStyle w:val="TextBody"/>
        <w:bidi w:val="0"/>
        <w:spacing w:lineRule="auto" w:line="288" w:before="0" w:after="240"/>
        <w:ind w:left="0" w:right="0" w:firstLine="720"/>
        <w:jc w:val="both"/>
        <w:rPr/>
      </w:pPr>
      <w:r>
        <w:rPr>
          <w:rFonts w:ascii="Times New Roman;serif" w:hAnsi="Times New Roman;serif"/>
          <w:b w:val="false"/>
          <w:color w:val="000000"/>
          <w:sz w:val="23"/>
        </w:rPr>
        <w:t>9.6    </w:t>
      </w:r>
      <w:r>
        <w:rPr>
          <w:rFonts w:ascii="Times New Roman;serif" w:hAnsi="Times New Roman;serif"/>
          <w:b/>
          <w:color w:val="000000"/>
          <w:sz w:val="23"/>
          <w:u w:val="single"/>
        </w:rPr>
        <w:t>Severability/Blue-Penciling</w:t>
      </w:r>
      <w:r>
        <w:rPr>
          <w:rFonts w:ascii="Times New Roman;serif" w:hAnsi="Times New Roman;serif"/>
          <w:b w:val="false"/>
          <w:color w:val="000000"/>
          <w:sz w:val="23"/>
        </w:rPr>
        <w:t>. Whenever possible, each provision of this Agreement will be interpreted in such manner as to be effective and valid under applicable law. If any provision of this Agreement is held to be invalid, illegal, or unenforceable in any respect under any applicable law or rule in any jurisdiction, (a) the parties agree that such provision(s) should be modified by the court or arbitrator and, to the maximum extent permissible under the applicable law, enforced; and (b) any invalidity, illegality, or unenforceability of a particular provision will not affect any other provision of this Agreement. In addition, if a court of proper jurisdiction or an arbitrator were to determine that under applicable law, an invalid, illegal or unenforceable provision in this Agreement can be modified only to the extent such provision can be “blue-penciled” – i.e., struck through as opposed to equitably revised or rewritten by the court or arbitrator– then each word, phrase, sentence and/or paragraph shall be considered to be and treated as being distinctly severable and separable for purposes of blue-penciling in order to make such provision(s) enforceable to the maximum extent permissible under applicable law. In addition, if a court of proper jurisdiction or arbitrator were to determine that under applicable law, the Restricted Period renders any of the covenants in Article V invalid, illegal or unenforceable and such provision(s) can only be blue-penciled rather than equitably revised or re-written by the court or arbitrator, then the parties agree that the Restricted Period for such invalid, illegal or unenforceable section(s) shall be six (6) months.</w:t>
      </w:r>
    </w:p>
    <w:p>
      <w:pPr>
        <w:pStyle w:val="TextBody"/>
        <w:bidi w:val="0"/>
        <w:spacing w:lineRule="auto" w:line="288" w:before="0" w:after="240"/>
        <w:ind w:left="0" w:right="0" w:firstLine="720"/>
        <w:jc w:val="both"/>
        <w:rPr/>
      </w:pPr>
      <w:r>
        <w:rPr>
          <w:rFonts w:ascii="Times New Roman;serif" w:hAnsi="Times New Roman;serif"/>
          <w:b w:val="false"/>
          <w:color w:val="000000"/>
          <w:sz w:val="23"/>
        </w:rPr>
        <w:t>9.7    </w:t>
      </w:r>
      <w:r>
        <w:rPr>
          <w:rFonts w:ascii="Times New Roman;serif" w:hAnsi="Times New Roman;serif"/>
          <w:b/>
          <w:color w:val="000000"/>
          <w:sz w:val="23"/>
          <w:u w:val="single"/>
        </w:rPr>
        <w:t>Notices</w:t>
      </w:r>
      <w:r>
        <w:rPr>
          <w:rFonts w:ascii="Times New Roman;serif" w:hAnsi="Times New Roman;serif"/>
          <w:b w:val="false"/>
          <w:color w:val="000000"/>
          <w:sz w:val="23"/>
        </w:rPr>
        <w:t>. Any notices provided for or permitted by this Agreement shall be in writing and shall be deemed to have been duly given when delivered in person or three (3) days after it is mailed if delivered by registered or certified mail, return receipt requested, postage prepaid, addressed to the party for whom intended at such party’s address set forth above or to such other address as such party may designate by notice in writing given in the manner provided herein.</w:t>
      </w:r>
    </w:p>
    <w:p>
      <w:pPr>
        <w:pStyle w:val="TextBody"/>
        <w:bidi w:val="0"/>
        <w:spacing w:lineRule="auto" w:line="288" w:before="0" w:after="240"/>
        <w:ind w:left="0" w:right="0" w:firstLine="720"/>
        <w:jc w:val="both"/>
        <w:rPr/>
      </w:pPr>
      <w:r>
        <w:rPr>
          <w:rFonts w:ascii="Times New Roman;serif" w:hAnsi="Times New Roman;serif"/>
          <w:b w:val="false"/>
          <w:color w:val="000000"/>
          <w:sz w:val="23"/>
        </w:rPr>
        <w:t>9.8    </w:t>
      </w:r>
      <w:r>
        <w:rPr>
          <w:rFonts w:ascii="Times New Roman;serif" w:hAnsi="Times New Roman;serif"/>
          <w:b/>
          <w:color w:val="000000"/>
          <w:sz w:val="23"/>
          <w:u w:val="single"/>
        </w:rPr>
        <w:t>Section Headings</w:t>
      </w:r>
      <w:r>
        <w:rPr>
          <w:rFonts w:ascii="Times New Roman;serif" w:hAnsi="Times New Roman;serif"/>
          <w:b w:val="false"/>
          <w:color w:val="000000"/>
          <w:sz w:val="23"/>
        </w:rPr>
        <w:t>. The Section headings in this Agreement are for convenience of reference only, and they form no part of this Agreement and shall not affect its interpretation.</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3"/>
        </w:rPr>
        <w:t>9.9    </w:t>
      </w:r>
      <w:r>
        <w:rPr>
          <w:rFonts w:ascii="Times New Roman;serif" w:hAnsi="Times New Roman;serif"/>
          <w:b/>
          <w:color w:val="000000"/>
          <w:sz w:val="23"/>
          <w:u w:val="single"/>
        </w:rPr>
        <w:t>Entire Agreement; Amendments; Counterparts.</w:t>
      </w:r>
      <w:r>
        <w:rPr>
          <w:color w:val="000000"/>
        </w:rPr>
        <w:t xml:space="preserve"> </w:t>
      </w:r>
      <w:r>
        <w:rPr>
          <w:rFonts w:ascii="Times New Roman;serif" w:hAnsi="Times New Roman;serif"/>
          <w:b w:val="false"/>
          <w:color w:val="000000"/>
          <w:sz w:val="23"/>
        </w:rPr>
        <w:t>This Agreement constitutes the entire agreement and understanding between Executive and the Company with respect to the subject matter hereof and shall supersede any and all other prior agreements and understandings, whether oral or written, relating thereto or the employment of Executive by the Company. This Agreement may not be rescinded, modified, or amended, unless an amendment is agreed to in a writing signed by Executive and an authorized representative of the Company. This Agreement may be executed in any number of counterparts, including by facsimile, each of which shall be an original, but all of which together shall constitute one and the same instrument.</w:t>
      </w:r>
    </w:p>
    <w:p>
      <w:pPr>
        <w:pStyle w:val="TextBody"/>
        <w:bidi w:val="0"/>
        <w:spacing w:lineRule="auto" w:line="288" w:before="0" w:after="240"/>
        <w:ind w:left="0" w:right="0" w:firstLine="720"/>
        <w:jc w:val="both"/>
        <w:rPr/>
      </w:pPr>
      <w:r>
        <w:rPr>
          <w:rFonts w:ascii="Times New Roman;serif" w:hAnsi="Times New Roman;serif"/>
          <w:b w:val="false"/>
          <w:color w:val="000000"/>
          <w:sz w:val="23"/>
        </w:rPr>
        <w:t>9.10    </w:t>
      </w:r>
      <w:r>
        <w:rPr>
          <w:rFonts w:ascii="Times New Roman;serif" w:hAnsi="Times New Roman;serif"/>
          <w:b/>
          <w:color w:val="000000"/>
          <w:sz w:val="23"/>
          <w:u w:val="single"/>
        </w:rPr>
        <w:t>Waiver</w:t>
      </w:r>
      <w:r>
        <w:rPr>
          <w:rFonts w:ascii="Times New Roman;serif" w:hAnsi="Times New Roman;serif"/>
          <w:b w:val="false"/>
          <w:color w:val="000000"/>
          <w:sz w:val="23"/>
        </w:rPr>
        <w:t>. Except as expressly provided herein, no delay or failure of either party to exercise any right under this Agreement, and no partial or single exercise of any right, shall constitute a waiver of that or any other right unless expressly so provided in writing, and no such waiver shall operate or be construed as the waiver of the same or of another breach on a prior or subsequent occasion.</w:t>
      </w:r>
    </w:p>
    <w:p>
      <w:pPr>
        <w:pStyle w:val="TextBody"/>
        <w:bidi w:val="0"/>
        <w:spacing w:lineRule="auto" w:line="288" w:before="0" w:after="240"/>
        <w:ind w:left="0" w:right="0" w:firstLine="720"/>
        <w:jc w:val="both"/>
        <w:rPr/>
      </w:pPr>
      <w:r>
        <w:rPr>
          <w:rFonts w:ascii="Times New Roman;serif" w:hAnsi="Times New Roman;serif"/>
          <w:b w:val="false"/>
          <w:color w:val="000000"/>
          <w:sz w:val="23"/>
        </w:rPr>
        <w:t>9.11    </w:t>
      </w:r>
      <w:r>
        <w:rPr>
          <w:rFonts w:ascii="Times New Roman;serif" w:hAnsi="Times New Roman;serif"/>
          <w:b/>
          <w:color w:val="000000"/>
          <w:sz w:val="23"/>
          <w:u w:val="single"/>
        </w:rPr>
        <w:t>Assignability</w:t>
      </w:r>
      <w:r>
        <w:rPr>
          <w:rFonts w:ascii="Times New Roman;serif" w:hAnsi="Times New Roman;serif"/>
          <w:b w:val="false"/>
          <w:color w:val="000000"/>
          <w:sz w:val="23"/>
        </w:rPr>
        <w:t>. This Agreement may not be assigned by Executive, and any purported assignment by Executive shall be null and void. All of the terms and conditions of this Agreement shall be binding upon and inure to the benefit of the Company and its successors (including, without limitation, any successor to the Company’s business as the result of a merger or consolidation of the Company, whether or not the Company survives such merger or consolidation) and assigns (including, without limitation, Parent Company or any Affiliate). Successors to the Company shall include, without limitation, any entity or entities acquiring, directly or indirectly, all or substantially all of the assets of the Company whether by merger, consolidation, purchase, or otherwise. Any such successor or assign (as applicable) shall thereafter be deemed the “Company” for purposes hereof.</w:t>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ARTICLE X</w:t>
      </w:r>
    </w:p>
    <w:p>
      <w:pPr>
        <w:pStyle w:val="TextBody"/>
        <w:bidi w:val="0"/>
        <w:spacing w:lineRule="auto" w:line="288" w:before="0" w:after="240"/>
        <w:jc w:val="center"/>
        <w:rPr>
          <w:rFonts w:ascii="Times New Roman;serif" w:hAnsi="Times New Roman;serif"/>
          <w:b/>
          <w:color w:val="000000"/>
          <w:sz w:val="23"/>
        </w:rPr>
      </w:pPr>
      <w:r>
        <w:rPr>
          <w:rFonts w:ascii="Times New Roman;serif" w:hAnsi="Times New Roman;serif"/>
          <w:b/>
          <w:color w:val="000000"/>
          <w:sz w:val="23"/>
        </w:rPr>
        <w:t>Dispute Resolution</w:t>
      </w:r>
    </w:p>
    <w:p>
      <w:pPr>
        <w:pStyle w:val="TextBody"/>
        <w:bidi w:val="0"/>
        <w:spacing w:lineRule="auto" w:line="288" w:before="0" w:after="240"/>
        <w:ind w:left="0" w:right="0" w:firstLine="720"/>
        <w:jc w:val="both"/>
        <w:rPr/>
      </w:pPr>
      <w:r>
        <w:rPr>
          <w:rFonts w:ascii="Times New Roman;serif" w:hAnsi="Times New Roman;serif"/>
          <w:b w:val="false"/>
          <w:color w:val="000000"/>
          <w:sz w:val="23"/>
        </w:rPr>
        <w:t>10.1    </w:t>
      </w:r>
      <w:r>
        <w:rPr>
          <w:rFonts w:ascii="Times New Roman;serif" w:hAnsi="Times New Roman;serif"/>
          <w:b/>
          <w:color w:val="000000"/>
          <w:sz w:val="23"/>
          <w:u w:val="single"/>
        </w:rPr>
        <w:t>Arbitration</w:t>
      </w:r>
      <w:r>
        <w:rPr>
          <w:rFonts w:ascii="Times New Roman;serif" w:hAnsi="Times New Roman;serif"/>
          <w:b w:val="false"/>
          <w:color w:val="000000"/>
          <w:sz w:val="23"/>
        </w:rPr>
        <w:t>. Executive acknowledges that Parent Company’s U.S. headquarters is located in Chapel Hill, North Carolina and that he will travel to that location for business purposes from time to time during the Term and/or will have material responsibilities that require Executive to regularly interact with executives at that location during the Term. In the event of disputes between the parties with respect to the terms and conditions of this Agreement, such disputes shall be resolved by and through an arbitration proceeding to be conducted under the auspices of the American Arbitration Association (or any like organization successor thereto) in Chapel Hill, North Carolina, or another location in North Carolina that is mutually agreed by the parties; provided, however, that either party may seek temporary or preliminary injunctive relief, or other appropriate relief (including, without limitation, enforcement of Articles IV and V above) from a court in aid of arbitration. Such arbitration proceeding shall be conducted pursuant to the commercial arbitration rules (formal or informal) of the American Arbitration Association in as expedited a manner as is then permitted by such rules (the “</w:t>
      </w:r>
      <w:r>
        <w:rPr>
          <w:rFonts w:ascii="Times New Roman;serif" w:hAnsi="Times New Roman;serif"/>
          <w:b w:val="false"/>
          <w:color w:val="000000"/>
          <w:sz w:val="23"/>
          <w:u w:val="single"/>
        </w:rPr>
        <w:t>Arbitration</w:t>
      </w:r>
      <w:r>
        <w:rPr>
          <w:color w:val="000000"/>
        </w:rPr>
        <w:t>”</w:t>
      </w:r>
      <w:r>
        <w:rPr>
          <w:rFonts w:ascii="Times New Roman;serif" w:hAnsi="Times New Roman;serif"/>
          <w:b w:val="false"/>
          <w:color w:val="000000"/>
          <w:sz w:val="23"/>
        </w:rPr>
        <w:t>). Both the foregoing agreement of the parties to arbitrate any and all such claims, and the results, determination, finding, judgment, and/or award rendered through such Arbitration, shall be final and binding on the parties to this Agreement and may be specifically enforced by legal proceedings.</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3"/>
        </w:rPr>
        <w:t>10.2    </w:t>
      </w:r>
      <w:r>
        <w:rPr>
          <w:rFonts w:ascii="Times New Roman;serif" w:hAnsi="Times New Roman;serif"/>
          <w:b/>
          <w:color w:val="000000"/>
          <w:sz w:val="23"/>
          <w:u w:val="single"/>
        </w:rPr>
        <w:t>Procedure</w:t>
      </w:r>
      <w:r>
        <w:rPr>
          <w:rFonts w:ascii="Times New Roman;serif" w:hAnsi="Times New Roman;serif"/>
          <w:b w:val="false"/>
          <w:color w:val="000000"/>
          <w:sz w:val="23"/>
        </w:rPr>
        <w:t>. Such Arbitration may be initiated by written notice from either party to the other which shall be a compulsory and binding proceeding on each party. The Arbitration shall be conducted by an arbitrator selected in accordance with the procedures of the American Arbitration Association. Time is of the essence of this arbitration procedure, and the arbitrator shall be instructed and required to render his or her decision within thirty (30) days following completion of the Arbitration.</w:t>
      </w:r>
    </w:p>
    <w:p>
      <w:pPr>
        <w:pStyle w:val="TextBody"/>
        <w:bidi w:val="0"/>
        <w:spacing w:lineRule="auto" w:line="288" w:before="0" w:after="240"/>
        <w:ind w:left="0" w:right="0" w:firstLine="720"/>
        <w:jc w:val="both"/>
        <w:rPr/>
      </w:pPr>
      <w:r>
        <w:rPr>
          <w:rFonts w:ascii="Times New Roman;serif" w:hAnsi="Times New Roman;serif"/>
          <w:b w:val="false"/>
          <w:color w:val="000000"/>
          <w:sz w:val="23"/>
        </w:rPr>
        <w:t>10.3    </w:t>
      </w:r>
      <w:r>
        <w:rPr>
          <w:rFonts w:ascii="Times New Roman;serif" w:hAnsi="Times New Roman;serif"/>
          <w:b/>
          <w:color w:val="000000"/>
          <w:sz w:val="23"/>
          <w:u w:val="single"/>
        </w:rPr>
        <w:t>Governing Law</w:t>
      </w:r>
      <w:r>
        <w:rPr>
          <w:rFonts w:ascii="Times New Roman;serif" w:hAnsi="Times New Roman;serif"/>
          <w:b w:val="false"/>
          <w:color w:val="000000"/>
          <w:sz w:val="23"/>
        </w:rPr>
        <w:t>. This Agreement shall be construed and administered in accordance with the laws of the State of North Carolina, without regard to the principles of conflicts of law which might otherwise apply.</w:t>
      </w:r>
    </w:p>
    <w:p>
      <w:pPr>
        <w:pStyle w:val="TextBody"/>
        <w:bidi w:val="0"/>
        <w:spacing w:lineRule="auto" w:line="288" w:before="0" w:after="240"/>
        <w:ind w:left="0" w:right="0" w:firstLine="720"/>
        <w:jc w:val="both"/>
        <w:rPr/>
      </w:pPr>
      <w:r>
        <w:rPr>
          <w:rFonts w:ascii="Times New Roman;serif" w:hAnsi="Times New Roman;serif"/>
          <w:b w:val="false"/>
          <w:color w:val="000000"/>
          <w:sz w:val="23"/>
        </w:rPr>
        <w:t>10.4    </w:t>
      </w:r>
      <w:r>
        <w:rPr>
          <w:rFonts w:ascii="Times New Roman;serif" w:hAnsi="Times New Roman;serif"/>
          <w:b/>
          <w:color w:val="000000"/>
          <w:sz w:val="23"/>
          <w:u w:val="single"/>
        </w:rPr>
        <w:t>Venue and Jurisdiction</w:t>
      </w:r>
      <w:r>
        <w:rPr>
          <w:rFonts w:ascii="Times New Roman;serif" w:hAnsi="Times New Roman;serif"/>
          <w:b w:val="false"/>
          <w:color w:val="000000"/>
          <w:sz w:val="23"/>
        </w:rPr>
        <w:t>. Any action to compel arbitration hereunder or otherwise relating to this Agreement shall be brought exclusively in either a state court or federal court located in Chapel Hill, North Carolina.</w:t>
      </w:r>
    </w:p>
    <w:p>
      <w:pPr>
        <w:pStyle w:val="TextBody"/>
        <w:bidi w:val="0"/>
        <w:spacing w:lineRule="auto" w:line="288" w:before="0" w:after="240"/>
        <w:ind w:left="0" w:right="0" w:firstLine="720"/>
        <w:jc w:val="both"/>
        <w:rPr/>
      </w:pPr>
      <w:r>
        <w:rPr>
          <w:rFonts w:ascii="Times New Roman;serif" w:hAnsi="Times New Roman;serif"/>
          <w:b w:val="false"/>
          <w:color w:val="000000"/>
          <w:sz w:val="23"/>
        </w:rPr>
        <w:t>10.5    </w:t>
      </w:r>
      <w:r>
        <w:rPr>
          <w:rFonts w:ascii="Times New Roman;serif" w:hAnsi="Times New Roman;serif"/>
          <w:b/>
          <w:color w:val="000000"/>
          <w:sz w:val="23"/>
          <w:u w:val="single"/>
        </w:rPr>
        <w:t>Waiver of Jury Trial</w:t>
      </w:r>
      <w:r>
        <w:rPr>
          <w:rFonts w:ascii="Times New Roman;serif" w:hAnsi="Times New Roman;serif"/>
          <w:b w:val="false"/>
          <w:color w:val="000000"/>
          <w:sz w:val="23"/>
        </w:rPr>
        <w:t>. IN THE EVENT OF ANY LITIGATION WITH RESPECT TO ANY MATTER CONNECTED WITH THIS AGREEMENT OR THE AGREEMENTS CONTEMPLATED HEREUNDER, ALL OF THE PARTIES HERETO WAIVE ALL RIGHTS TO A TRIAL BY JURY, UNLESS APPLICABLE LAW PROHIBITS SUCH WAIVER.</w:t>
      </w:r>
    </w:p>
    <w:p>
      <w:pPr>
        <w:pStyle w:val="TextBody"/>
        <w:bidi w:val="0"/>
        <w:spacing w:lineRule="auto" w:line="288" w:before="0" w:after="240"/>
        <w:jc w:val="center"/>
        <w:rPr>
          <w:rFonts w:ascii="Times New Roman;serif" w:hAnsi="Times New Roman;serif"/>
          <w:b w:val="false"/>
          <w:color w:val="000000"/>
          <w:sz w:val="23"/>
        </w:rPr>
      </w:pPr>
      <w:r>
        <w:rPr>
          <w:rFonts w:ascii="Times New Roman;serif" w:hAnsi="Times New Roman;serif"/>
          <w:b w:val="false"/>
          <w:color w:val="000000"/>
          <w:sz w:val="23"/>
        </w:rPr>
        <w:t>[The balance of this page is intentionally left blank.]</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tbl>
      <w:tblPr>
        <w:tblW w:w="9798" w:type="dxa"/>
        <w:jc w:val="center"/>
        <w:tblInd w:w="0" w:type="dxa"/>
        <w:tblLayout w:type="fixed"/>
        <w:tblCellMar>
          <w:top w:w="28" w:type="dxa"/>
          <w:left w:w="28" w:type="dxa"/>
          <w:bottom w:w="28" w:type="dxa"/>
          <w:right w:w="28" w:type="dxa"/>
        </w:tblCellMar>
      </w:tblPr>
      <w:tblGrid>
        <w:gridCol w:w="717"/>
        <w:gridCol w:w="630"/>
        <w:gridCol w:w="630"/>
        <w:gridCol w:w="630"/>
        <w:gridCol w:w="630"/>
        <w:gridCol w:w="630"/>
        <w:gridCol w:w="630"/>
        <w:gridCol w:w="630"/>
        <w:gridCol w:w="630"/>
        <w:gridCol w:w="630"/>
        <w:gridCol w:w="630"/>
        <w:gridCol w:w="630"/>
        <w:gridCol w:w="630"/>
        <w:gridCol w:w="630"/>
        <w:gridCol w:w="89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979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3"/>
              </w:rPr>
            </w:pPr>
            <w:r>
              <w:rPr>
                <w:rFonts w:ascii="Times New Roman;serif" w:hAnsi="Times New Roman;serif"/>
                <w:b w:val="false"/>
                <w:color w:val="000000"/>
                <w:sz w:val="23"/>
              </w:rPr>
              <w:t>Kindly indicate your acceptance of this Agreement by signing and returning a copy of this letter to me.</w:t>
            </w:r>
          </w:p>
        </w:tc>
      </w:tr>
      <w:tr>
        <w:trPr/>
        <w:tc>
          <w:tcPr>
            <w:tcW w:w="979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3"/>
              </w:rPr>
            </w:pPr>
            <w:r>
              <w:rPr>
                <w:rFonts w:ascii="Times New Roman;serif" w:hAnsi="Times New Roman;serif"/>
                <w:b w:val="false"/>
                <w:color w:val="000000"/>
                <w:sz w:val="23"/>
              </w:rPr>
              <w:t>Very truly yours,</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3"/>
              </w:rPr>
            </w:pPr>
            <w:r>
              <w:rPr>
                <w:rFonts w:ascii="Times New Roman;serif" w:hAnsi="Times New Roman;serif"/>
                <w:b/>
                <w:color w:val="000000"/>
                <w:sz w:val="23"/>
              </w:rPr>
              <w:t>James River Management Company, Inc.</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1"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3"/>
              </w:rPr>
              <w:t xml:space="preserve">By: </w:t>
            </w:r>
            <w:r>
              <w:rPr>
                <w:rFonts w:ascii="Times New Roman;serif" w:hAnsi="Times New Roman;serif"/>
                <w:b w:val="false"/>
                <w:color w:val="000000"/>
                <w:sz w:val="23"/>
                <w:u w:val="single"/>
              </w:rPr>
              <w:t>/s/ Angela J. Burnett</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3"/>
              </w:rPr>
            </w:pPr>
            <w:r>
              <w:rPr>
                <w:rFonts w:ascii="Times New Roman;serif" w:hAnsi="Times New Roman;serif"/>
                <w:b w:val="false"/>
                <w:color w:val="000000"/>
                <w:sz w:val="23"/>
              </w:rPr>
              <w:t>Name: Angela J. Burnett</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3"/>
              </w:rPr>
            </w:pPr>
            <w:r>
              <w:rPr>
                <w:rFonts w:ascii="Times New Roman;serif" w:hAnsi="Times New Roman;serif"/>
                <w:b w:val="false"/>
                <w:color w:val="000000"/>
                <w:sz w:val="23"/>
              </w:rPr>
              <w:t>Title: SVP, Chief Human Resources Officer</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3"/>
              </w:rPr>
            </w:pPr>
            <w:r>
              <w:rPr>
                <w:rFonts w:ascii="Times New Roman;serif" w:hAnsi="Times New Roman;serif"/>
                <w:b/>
                <w:color w:val="000000"/>
                <w:sz w:val="23"/>
              </w:rPr>
              <w:t>James River Insurance Company</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1"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3"/>
              </w:rPr>
              <w:t xml:space="preserve">By: </w:t>
            </w:r>
            <w:r>
              <w:rPr>
                <w:rFonts w:ascii="Times New Roman;serif" w:hAnsi="Times New Roman;serif"/>
                <w:b w:val="false"/>
                <w:color w:val="000000"/>
                <w:sz w:val="23"/>
                <w:u w:val="single"/>
              </w:rPr>
              <w:t>/s/ Angela J. Burnett</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3"/>
              </w:rPr>
            </w:pPr>
            <w:r>
              <w:rPr>
                <w:rFonts w:ascii="Times New Roman;serif" w:hAnsi="Times New Roman;serif"/>
                <w:b w:val="false"/>
                <w:color w:val="000000"/>
                <w:sz w:val="23"/>
              </w:rPr>
              <w:t>Name: Angela J. Burnett</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3"/>
              </w:rPr>
            </w:pPr>
            <w:r>
              <w:rPr>
                <w:rFonts w:ascii="Times New Roman;serif" w:hAnsi="Times New Roman;serif"/>
                <w:b w:val="false"/>
                <w:color w:val="000000"/>
                <w:sz w:val="23"/>
              </w:rPr>
              <w:t>Title: SVP, Chief Human Resources Officer</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9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3"/>
              </w:rPr>
            </w:pPr>
            <w:r>
              <w:rPr>
                <w:rFonts w:ascii="Times New Roman;serif" w:hAnsi="Times New Roman;serif"/>
                <w:b w:val="false"/>
                <w:color w:val="000000"/>
                <w:sz w:val="23"/>
              </w:rPr>
              <w:t>ACCEPTED AND AGREED THIS 4TH DAY OF MAY, 2025</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3"/>
                <w:u w:val="single"/>
              </w:rPr>
            </w:pPr>
            <w:r>
              <w:rPr>
                <w:rFonts w:ascii="Times New Roman;serif" w:hAnsi="Times New Roman;serif"/>
                <w:b w:val="false"/>
                <w:color w:val="000000"/>
                <w:sz w:val="23"/>
                <w:u w:val="single"/>
              </w:rPr>
              <w:t>/s/ Todd Sutherland</w:t>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3"/>
              </w:rPr>
            </w:pPr>
            <w:r>
              <w:rPr>
                <w:rFonts w:ascii="Times New Roman;serif" w:hAnsi="Times New Roman;serif"/>
                <w:b w:val="false"/>
                <w:color w:val="000000"/>
                <w:sz w:val="23"/>
              </w:rPr>
              <w:t>Todd Sutherland</w:t>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Attachment A</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Executive’s Designated Preexisting Intellectual Property (see Section 6.4 of the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List below, or check box if “none”:</w:t>
      </w:r>
    </w:p>
    <w:p>
      <w:pPr>
        <w:pStyle w:val="TextBody"/>
        <w:bidi w:val="0"/>
        <w:spacing w:lineRule="auto" w:line="288" w:before="0" w:after="480"/>
        <w:ind w:left="0" w:right="0" w:hanging="720"/>
        <w:jc w:val="both"/>
        <w:rPr/>
      </w:pPr>
      <w:r>
        <w:rPr>
          <w:color w:val="000000"/>
        </w:rPr>
        <w:t xml:space="preserve">☐ </w:t>
      </w:r>
      <w:r>
        <w:rPr>
          <w:rFonts w:ascii="Times New Roman;serif" w:hAnsi="Times New Roman;serif"/>
          <w:b w:val="false"/>
          <w:color w:val="000000"/>
          <w:sz w:val="24"/>
        </w:rPr>
        <w:t>List:</w:t>
      </w:r>
    </w:p>
    <w:p>
      <w:pPr>
        <w:pStyle w:val="TextBody"/>
        <w:bidi w:val="0"/>
        <w:spacing w:lineRule="auto" w:line="288"/>
        <w:ind w:left="0" w:right="0" w:hanging="720"/>
        <w:jc w:val="both"/>
        <w:rPr/>
      </w:pPr>
      <w:r>
        <w:rPr>
          <w:color w:val="000000"/>
        </w:rPr>
        <w:t xml:space="preserve">☒ </w:t>
      </w:r>
      <w:r>
        <w:rPr>
          <w:rFonts w:ascii="Times New Roman;serif" w:hAnsi="Times New Roman;serif"/>
          <w:b w:val="false"/>
          <w:color w:val="000000"/>
          <w:sz w:val="24"/>
        </w:rPr>
        <w:t>None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Frank N. D’Orazio, certify that: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the Amendment No. 1 to the Annual Report on Form 10-K of James River Group Holdings, Inc.;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bl>
      <w:tblPr>
        <w:tblW w:w="2817" w:type="dxa"/>
        <w:jc w:val="left"/>
        <w:tblInd w:w="0" w:type="dxa"/>
        <w:tblLayout w:type="fixed"/>
        <w:tblCellMar>
          <w:top w:w="28" w:type="dxa"/>
          <w:left w:w="28" w:type="dxa"/>
          <w:bottom w:w="28" w:type="dxa"/>
          <w:right w:w="28" w:type="dxa"/>
        </w:tblCellMar>
      </w:tblPr>
      <w:tblGrid>
        <w:gridCol w:w="124"/>
        <w:gridCol w:w="109"/>
        <w:gridCol w:w="109"/>
        <w:gridCol w:w="724"/>
        <w:gridCol w:w="724"/>
        <w:gridCol w:w="1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Frank N. D’Orazio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Frank N. D’Orazio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Sarah C. Doran, certify that: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the Amendment No. 1 to the Annual Report on Form 10-K of James River Group Holdings, Inc.;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Date:April 30, 2026</w:t>
      </w:r>
    </w:p>
    <w:tbl>
      <w:tblPr>
        <w:tblW w:w="2756" w:type="dxa"/>
        <w:jc w:val="center"/>
        <w:tblInd w:w="0" w:type="dxa"/>
        <w:tblLayout w:type="fixed"/>
        <w:tblCellMar>
          <w:top w:w="28" w:type="dxa"/>
          <w:left w:w="28" w:type="dxa"/>
          <w:bottom w:w="28" w:type="dxa"/>
          <w:right w:w="28" w:type="dxa"/>
        </w:tblCellMar>
      </w:tblPr>
      <w:tblGrid>
        <w:gridCol w:w="124"/>
        <w:gridCol w:w="109"/>
        <w:gridCol w:w="109"/>
        <w:gridCol w:w="706"/>
        <w:gridCol w:w="706"/>
        <w:gridCol w:w="10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C. Doran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Sarah C. Doran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20459/000162045923000128/exhibit21.htm" TargetMode="External"/><Relationship Id="rId4" Type="http://schemas.openxmlformats.org/officeDocument/2006/relationships/hyperlink" Target="https://www.sec.gov/Archives/edgar/data/1620459/000162045925000142/ex31-certificateofincorpor.htm" TargetMode="External"/><Relationship Id="rId5" Type="http://schemas.openxmlformats.org/officeDocument/2006/relationships/hyperlink" Target="https://www.sec.gov/Archives/edgar/data/1620459/000162045925000142/ex32-certificateofdesignat.htm" TargetMode="External"/><Relationship Id="rId6" Type="http://schemas.openxmlformats.org/officeDocument/2006/relationships/hyperlink" Target="https://www.sec.gov/Archives/edgar/data/1620459/000162045925000142/ex33-byxlaws.htm" TargetMode="External"/><Relationship Id="rId7" Type="http://schemas.openxmlformats.org/officeDocument/2006/relationships/hyperlink" Target="https://www.sec.gov/Archives/edgar/data/1620459/000162045926000009/a4q25jrvrex417.htm" TargetMode="External"/><Relationship Id="rId8" Type="http://schemas.openxmlformats.org/officeDocument/2006/relationships/hyperlink" Target="https://www.sec.gov/Archives/edgar/data/1620459/000162045925000090/exhibit101-creditagreement.htm" TargetMode="External"/><Relationship Id="rId9" Type="http://schemas.openxmlformats.org/officeDocument/2006/relationships/hyperlink" Target="https://www.sec.gov/Archives/edgar/data/1620459/000162045925000090/exhibit103-jrgiguaranty.htm" TargetMode="External"/><Relationship Id="rId10" Type="http://schemas.openxmlformats.org/officeDocument/2006/relationships/hyperlink" Target="https://www.sec.gov/Archives/edgar/data/1620459/000110465925109293/tm2530648d10_ex10-4.htm" TargetMode="External"/><Relationship Id="rId11" Type="http://schemas.openxmlformats.org/officeDocument/2006/relationships/hyperlink" Target="https://www.sec.gov/Archives/edgar/data/1620459/000157104914006789/t1402136_ex10-11.htm" TargetMode="External"/><Relationship Id="rId12" Type="http://schemas.openxmlformats.org/officeDocument/2006/relationships/hyperlink" Target="https://www.sec.gov/Archives/edgar/data/1620459/000157104917004403/t1701376_ex10-1.htm" TargetMode="External"/><Relationship Id="rId13" Type="http://schemas.openxmlformats.org/officeDocument/2006/relationships/hyperlink" Target="https://www.sec.gov/Archives/edgar/data/1620459/000162045922000100/exhibit101-2ndamendmentto2.htm" TargetMode="External"/><Relationship Id="rId14" Type="http://schemas.openxmlformats.org/officeDocument/2006/relationships/hyperlink" Target="https://www.sec.gov/Archives/edgar/data/1620459/000162045924000111/ex101-3rdamendmentto2014lt.htm" TargetMode="External"/><Relationship Id="rId15" Type="http://schemas.openxmlformats.org/officeDocument/2006/relationships/hyperlink" Target="https://www.sec.gov/Archives/edgar/data/1620459/000162045925000123/ex101-4thamendmentto2014lt.htm" TargetMode="External"/><Relationship Id="rId16" Type="http://schemas.openxmlformats.org/officeDocument/2006/relationships/hyperlink" Target="https://www.sec.gov/Archives/edgar/data/1620459/000110465925109179/tm2530648d1_ex10-2.htm" TargetMode="External"/><Relationship Id="rId17" Type="http://schemas.openxmlformats.org/officeDocument/2006/relationships/hyperlink" Target="https://www.sec.gov/Archives/edgar/data/1620459/000162045926000009/a4q25jrvrex1010.htm" TargetMode="External"/><Relationship Id="rId18" Type="http://schemas.openxmlformats.org/officeDocument/2006/relationships/hyperlink" Target="https://www.sec.gov/Archives/edgar/data/1620459/000162045926000009/a4q25jrvrex1011.htm" TargetMode="External"/><Relationship Id="rId19" Type="http://schemas.openxmlformats.org/officeDocument/2006/relationships/hyperlink" Target="https://www.sec.gov/Archives/edgar/data/1620459/000162045926000009/a4q25jrvrex1012.htm" TargetMode="External"/><Relationship Id="rId20" Type="http://schemas.openxmlformats.org/officeDocument/2006/relationships/hyperlink" Target="https://www.sec.gov/Archives/edgar/data/1620459/000157104914006789/t1402136_ex10-15.htm" TargetMode="External"/><Relationship Id="rId21" Type="http://schemas.openxmlformats.org/officeDocument/2006/relationships/hyperlink" Target="https://www.sec.gov/Archives/edgar/data/1620459/000162045919000057/ex101-planamendment.htm" TargetMode="External"/><Relationship Id="rId22" Type="http://schemas.openxmlformats.org/officeDocument/2006/relationships/hyperlink" Target="https://www.sec.gov/Archives/edgar/data/1620459/000162045924000111/ex102-2ndamendmenttononxem.htm" TargetMode="External"/><Relationship Id="rId23" Type="http://schemas.openxmlformats.org/officeDocument/2006/relationships/hyperlink" Target="https://www.sec.gov/Archives/edgar/data/1620459/000162045925000123/ex102-3rdamendmentto2014ne.htm" TargetMode="External"/><Relationship Id="rId24" Type="http://schemas.openxmlformats.org/officeDocument/2006/relationships/hyperlink" Target="https://www.sec.gov/Archives/edgar/data/1620459/000110465925109179/tm2530648d1_ex10-1.htm" TargetMode="External"/><Relationship Id="rId25" Type="http://schemas.openxmlformats.org/officeDocument/2006/relationships/hyperlink" Target="https://www.sec.gov/Archives/edgar/data/1620459/000162045926000009/a4q25jrvrex1018.htm" TargetMode="External"/><Relationship Id="rId26" Type="http://schemas.openxmlformats.org/officeDocument/2006/relationships/hyperlink" Target="https://www.sec.gov/Archives/edgar/data/1620459/000162045924000104/jrvrex102-amendedandrestat.htm" TargetMode="External"/><Relationship Id="rId27" Type="http://schemas.openxmlformats.org/officeDocument/2006/relationships/hyperlink" Target="https://www.sec.gov/Archives/edgar/data/1620459/000157104916020824/t1603123_ex10-1.htm" TargetMode="External"/><Relationship Id="rId28" Type="http://schemas.openxmlformats.org/officeDocument/2006/relationships/hyperlink" Target="https://www.sec.gov/Archives/edgar/data/1620459/000162828018013981/jrvrex10109302018.htm" TargetMode="External"/><Relationship Id="rId29" Type="http://schemas.openxmlformats.org/officeDocument/2006/relationships/hyperlink" Target="https://www.sec.gov/Archives/edgar/data/1620459/000162828018002654/jrvrex102212312017.htm" TargetMode="External"/><Relationship Id="rId30" Type="http://schemas.openxmlformats.org/officeDocument/2006/relationships/hyperlink" Target="https://www.sec.gov/Archives/edgar/data/1620459/000162045925000108/a2q25jrvrex103.htm" TargetMode="External"/><Relationship Id="rId31" Type="http://schemas.openxmlformats.org/officeDocument/2006/relationships/hyperlink" Target="https://www.sec.gov/Archives/edgar/data/1620459/000162045925000117/exhibit101-amendmenttoempl.htm" TargetMode="External"/><Relationship Id="rId32" Type="http://schemas.openxmlformats.org/officeDocument/2006/relationships/hyperlink" Target="https://www.sec.gov/Archives/edgar/data/1620459/000162045926000009/a4q25jrvrex1025.htm" TargetMode="External"/><Relationship Id="rId33" Type="http://schemas.openxmlformats.org/officeDocument/2006/relationships/hyperlink" Target="https://www.sec.gov/Archives/edgar/data/0001620459/000110465922028107/tm227669d1_ex10-1.htm" TargetMode="External"/><Relationship Id="rId34" Type="http://schemas.openxmlformats.org/officeDocument/2006/relationships/hyperlink" Target="https://www.sec.gov/Archives/edgar/data/1620459/000162045922000084/a1q22jrvrex102.htm" TargetMode="External"/><Relationship Id="rId35" Type="http://schemas.openxmlformats.org/officeDocument/2006/relationships/hyperlink" Target="https://www.sec.gov/Archives/edgar/data/1620459/000110465924117680/tm2428256d1_ex4-1.htm" TargetMode="External"/><Relationship Id="rId36" Type="http://schemas.openxmlformats.org/officeDocument/2006/relationships/hyperlink" Target="https://www.sec.gov/Archives/edgar/data/1620459/000162045922000084/a1q22jrvrex104.htm" TargetMode="External"/><Relationship Id="rId37" Type="http://schemas.openxmlformats.org/officeDocument/2006/relationships/hyperlink" Target="https://www.sec.gov/Archives/edgar/data/1620459/000110465924117680/tm2428256d1_ex10-3.htm" TargetMode="External"/><Relationship Id="rId38" Type="http://schemas.openxmlformats.org/officeDocument/2006/relationships/hyperlink" Target="https://www.sec.gov/Archives/edgar/data/0001620459/000110465921120933/tm2128750d1_ex10-1.htm" TargetMode="External"/><Relationship Id="rId39" Type="http://schemas.openxmlformats.org/officeDocument/2006/relationships/hyperlink" Target="https://www.sec.gov/Archives/edgar/data/0001620459/000110465921120933/tm2128750d1_ex10-2.htm" TargetMode="External"/><Relationship Id="rId40" Type="http://schemas.openxmlformats.org/officeDocument/2006/relationships/hyperlink" Target="https://www.sec.gov/Archives/edgar/data/1620459/000162045924000095/exhibit101-combinedlptanda.htm" TargetMode="External"/><Relationship Id="rId41" Type="http://schemas.openxmlformats.org/officeDocument/2006/relationships/hyperlink" Target="https://www.sec.gov/Archives/edgar/data/1620459/000110465924117680/tm2428256d1_ex10-1.htm" TargetMode="External"/><Relationship Id="rId42" Type="http://schemas.openxmlformats.org/officeDocument/2006/relationships/hyperlink" Target="https://www.sec.gov/Archives/edgar/data/1620459/000162045925000010/a4q24jrvrex1040.htm" TargetMode="External"/><Relationship Id="rId43" Type="http://schemas.openxmlformats.org/officeDocument/2006/relationships/hyperlink" Target="https://www.sec.gov/Archives/edgar/data/1620459/000110465924117680/tm2428256d1_ex10-2.htm" TargetMode="External"/><Relationship Id="rId44" Type="http://schemas.openxmlformats.org/officeDocument/2006/relationships/hyperlink" Target="https://www.sec.gov/Archives/edgar/data/1620459/000162045926000009/a4q25jrvrex191.htm" TargetMode="External"/><Relationship Id="rId45" Type="http://schemas.openxmlformats.org/officeDocument/2006/relationships/hyperlink" Target="https://www.sec.gov/Archives/edgar/data/1620459/000162045926000009/a4q25jrvrex211.htm" TargetMode="External"/><Relationship Id="rId46" Type="http://schemas.openxmlformats.org/officeDocument/2006/relationships/hyperlink" Target="https://www.sec.gov/Archives/edgar/data/1620459/000162045926000009/a4q25jrvrex231.htm" TargetMode="External"/><Relationship Id="rId47" Type="http://schemas.openxmlformats.org/officeDocument/2006/relationships/hyperlink" Target="https://www.sec.gov/Archives/edgar/data/1620459/000162045926000009/a4q25jrvrex311.htm" TargetMode="External"/><Relationship Id="rId48" Type="http://schemas.openxmlformats.org/officeDocument/2006/relationships/hyperlink" Target="https://www.sec.gov/Archives/edgar/data/1620459/000162045926000009/a4q25jrvrex312.htm" TargetMode="External"/><Relationship Id="rId49" Type="http://schemas.openxmlformats.org/officeDocument/2006/relationships/hyperlink" Target="https://www.sec.gov/Archives/edgar/data/1620459/000162045926000009/a4q25jrvrex321.htm" TargetMode="External"/><Relationship Id="rId50" Type="http://schemas.openxmlformats.org/officeDocument/2006/relationships/hyperlink" Target="https://www.sec.gov/Archives/edgar/data/1620459/000162045926000009/a4q25jrvrex971.htm" TargetMode="External"/><Relationship Id="rId51" Type="http://schemas.openxmlformats.org/officeDocument/2006/relationships/image" Target="media/image2.png"/><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51</Pages>
  <Words>47070</Words>
  <Characters>256819</Characters>
  <CharactersWithSpaces>301965</CharactersWithSpaces>
  <Paragraphs>2288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