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Washington, DC 20549</w:t>
      </w:r>
    </w:p>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FORM 10-K</w:t>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33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ind w:left="480" w:hanging="454"/>
        <w:spacing w:after="0" w:line="199" w:lineRule="auto"/>
        <w:tabs>
          <w:tab w:leader="none" w:pos="480" w:val="left"/>
        </w:tabs>
        <w:numPr>
          <w:ilvl w:val="0"/>
          <w:numId w:val="2"/>
        </w:numPr>
        <w:rPr>
          <w:rFonts w:ascii="MS PGothic" w:cs="MS PGothic" w:eastAsia="MS PGothic" w:hAnsi="MS PGothic"/>
          <w:sz w:val="29"/>
          <w:szCs w:val="29"/>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001-36777</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JAMES RIVER GROUP HOLDINGS, LTD.</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148" w:lineRule="exact"/>
        <w:rPr>
          <w:sz w:val="24"/>
          <w:szCs w:val="24"/>
          <w:color w:val="auto"/>
        </w:rPr>
      </w:pPr>
    </w:p>
    <w:tbl>
      <w:tblPr>
        <w:tblLayout w:type="fixed"/>
        <w:tblInd w:w="820" w:type="dxa"/>
        <w:tblCellMar>
          <w:top w:w="0" w:type="dxa"/>
          <w:left w:w="0" w:type="dxa"/>
          <w:bottom w:w="0" w:type="dxa"/>
          <w:right w:w="0" w:type="dxa"/>
        </w:tblCellMar>
      </w:tblPr>
      <w:tr>
        <w:trPr>
          <w:trHeight w:val="210"/>
        </w:trPr>
        <w:tc>
          <w:tcPr>
            <w:tcW w:w="4880" w:type="dxa"/>
            <w:vAlign w:val="bottom"/>
          </w:tcPr>
          <w:p>
            <w:pPr>
              <w:ind w:left="1680"/>
              <w:spacing w:after="0"/>
              <w:rPr>
                <w:sz w:val="20"/>
                <w:szCs w:val="20"/>
                <w:color w:val="auto"/>
              </w:rPr>
            </w:pPr>
            <w:r>
              <w:rPr>
                <w:rFonts w:ascii="Arial" w:cs="Arial" w:eastAsia="Arial" w:hAnsi="Arial"/>
                <w:sz w:val="16"/>
                <w:szCs w:val="16"/>
                <w:b w:val="1"/>
                <w:bCs w:val="1"/>
                <w:color w:val="auto"/>
              </w:rPr>
              <w:t>Bermuda</w:t>
            </w:r>
          </w:p>
        </w:tc>
        <w:tc>
          <w:tcPr>
            <w:tcW w:w="3600" w:type="dxa"/>
            <w:vAlign w:val="bottom"/>
          </w:tcPr>
          <w:p>
            <w:pPr>
              <w:jc w:val="right"/>
              <w:ind w:right="408"/>
              <w:spacing w:after="0"/>
              <w:rPr>
                <w:sz w:val="20"/>
                <w:szCs w:val="20"/>
                <w:color w:val="auto"/>
              </w:rPr>
            </w:pPr>
            <w:r>
              <w:rPr>
                <w:rFonts w:ascii="Arial" w:cs="Arial" w:eastAsia="Arial" w:hAnsi="Arial"/>
                <w:sz w:val="16"/>
                <w:szCs w:val="16"/>
                <w:b w:val="1"/>
                <w:bCs w:val="1"/>
                <w:color w:val="auto"/>
              </w:rPr>
              <w:t>98-0585280</w:t>
            </w:r>
          </w:p>
        </w:tc>
      </w:tr>
      <w:tr>
        <w:trPr>
          <w:trHeight w:val="193"/>
        </w:trPr>
        <w:tc>
          <w:tcPr>
            <w:tcW w:w="4880" w:type="dxa"/>
            <w:vAlign w:val="bottom"/>
          </w:tcPr>
          <w:p>
            <w:pPr>
              <w:spacing w:after="0"/>
              <w:rPr>
                <w:sz w:val="20"/>
                <w:szCs w:val="20"/>
                <w:color w:val="auto"/>
              </w:rPr>
            </w:pPr>
            <w:r>
              <w:rPr>
                <w:rFonts w:ascii="Arial" w:cs="Arial" w:eastAsia="Arial" w:hAnsi="Arial"/>
                <w:sz w:val="13"/>
                <w:szCs w:val="13"/>
                <w:color w:val="auto"/>
              </w:rPr>
              <w:t>(State or other jurisdiction of incorporation or organization)</w:t>
            </w:r>
          </w:p>
        </w:tc>
        <w:tc>
          <w:tcPr>
            <w:tcW w:w="3600" w:type="dxa"/>
            <w:vAlign w:val="bottom"/>
          </w:tcPr>
          <w:p>
            <w:pPr>
              <w:jc w:val="center"/>
              <w:ind w:left="1788"/>
              <w:spacing w:after="0"/>
              <w:rPr>
                <w:sz w:val="20"/>
                <w:szCs w:val="20"/>
                <w:color w:val="auto"/>
              </w:rPr>
            </w:pPr>
            <w:r>
              <w:rPr>
                <w:rFonts w:ascii="Arial" w:cs="Arial" w:eastAsia="Arial" w:hAnsi="Arial"/>
                <w:sz w:val="13"/>
                <w:szCs w:val="13"/>
                <w:color w:val="auto"/>
                <w:w w:val="91"/>
              </w:rPr>
              <w:t>(IRS Employer Identification No.)</w:t>
            </w:r>
          </w:p>
        </w:tc>
      </w:tr>
    </w:tbl>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Wellesley House, 2nd Floor, 90 Pitts Bay Road, Pembroke HM08, Bermuda</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(441) 278-4580</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2" w:lineRule="exact"/>
        <w:rPr>
          <w:sz w:val="24"/>
          <w:szCs w:val="24"/>
          <w:color w:val="auto"/>
        </w:rPr>
      </w:pPr>
    </w:p>
    <w:tbl>
      <w:tblPr>
        <w:tblLayout w:type="fixed"/>
        <w:tblInd w:w="140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Title of each class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Trading Symbol(s)</w:t>
            </w:r>
          </w:p>
        </w:tc>
        <w:tc>
          <w:tcPr>
            <w:tcW w:w="3280" w:type="dxa"/>
            <w:vAlign w:val="bottom"/>
            <w:gridSpan w:val="2"/>
          </w:tcPr>
          <w:p>
            <w:pPr>
              <w:ind w:left="340"/>
              <w:spacing w:after="0"/>
              <w:rPr>
                <w:sz w:val="20"/>
                <w:szCs w:val="20"/>
                <w:color w:val="auto"/>
              </w:rPr>
            </w:pPr>
            <w:r>
              <w:rPr>
                <w:rFonts w:ascii="Arial" w:cs="Arial" w:eastAsia="Arial" w:hAnsi="Arial"/>
                <w:sz w:val="16"/>
                <w:szCs w:val="16"/>
                <w:color w:val="auto"/>
                <w:w w:val="89"/>
              </w:rPr>
              <w:t>Names of each exchange on which registered</w:t>
            </w: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84"/>
        </w:trPr>
        <w:tc>
          <w:tcPr>
            <w:tcW w:w="3240" w:type="dxa"/>
            <w:vAlign w:val="bottom"/>
            <w:gridSpan w:val="3"/>
          </w:tcPr>
          <w:p>
            <w:pPr>
              <w:jc w:val="center"/>
              <w:ind w:right="300"/>
              <w:spacing w:after="0"/>
              <w:rPr>
                <w:sz w:val="20"/>
                <w:szCs w:val="20"/>
                <w:color w:val="auto"/>
              </w:rPr>
            </w:pPr>
            <w:r>
              <w:rPr>
                <w:rFonts w:ascii="Arial" w:cs="Arial" w:eastAsia="Arial" w:hAnsi="Arial"/>
                <w:sz w:val="16"/>
                <w:szCs w:val="16"/>
                <w:color w:val="auto"/>
                <w:w w:val="89"/>
              </w:rPr>
              <w:t>Common Shares, par value $0.0002 per share</w:t>
            </w:r>
          </w:p>
        </w:tc>
        <w:tc>
          <w:tcPr>
            <w:tcW w:w="30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JRVR</w:t>
            </w:r>
          </w:p>
        </w:tc>
        <w:tc>
          <w:tcPr>
            <w:tcW w:w="340" w:type="dxa"/>
            <w:vAlign w:val="bottom"/>
          </w:tcPr>
          <w:p>
            <w:pPr>
              <w:spacing w:after="0"/>
              <w:rPr>
                <w:sz w:val="24"/>
                <w:szCs w:val="24"/>
                <w:color w:val="auto"/>
              </w:rPr>
            </w:pPr>
          </w:p>
        </w:tc>
        <w:tc>
          <w:tcPr>
            <w:tcW w:w="2940" w:type="dxa"/>
            <w:vAlign w:val="bottom"/>
          </w:tcPr>
          <w:p>
            <w:pPr>
              <w:ind w:left="280"/>
              <w:spacing w:after="0"/>
              <w:rPr>
                <w:sz w:val="20"/>
                <w:szCs w:val="20"/>
                <w:color w:val="auto"/>
              </w:rPr>
            </w:pPr>
            <w:r>
              <w:rPr>
                <w:rFonts w:ascii="Arial" w:cs="Arial" w:eastAsia="Arial" w:hAnsi="Arial"/>
                <w:sz w:val="16"/>
                <w:szCs w:val="16"/>
                <w:color w:val="auto"/>
              </w:rPr>
              <w:t>NASDAQ   Global Select Market</w:t>
            </w:r>
          </w:p>
        </w:tc>
      </w:tr>
    </w:tbl>
    <w:p>
      <w:pPr>
        <w:spacing w:after="0" w:line="73"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54" w:lineRule="exact"/>
        <w:rPr>
          <w:sz w:val="24"/>
          <w:szCs w:val="24"/>
          <w:color w:val="auto"/>
        </w:rPr>
      </w:pPr>
    </w:p>
    <w:p>
      <w:pPr>
        <w:ind w:right="3320"/>
        <w:spacing w:after="0" w:line="25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x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86" w:lineRule="exact"/>
        <w:rPr>
          <w:sz w:val="24"/>
          <w:szCs w:val="24"/>
          <w:color w:val="auto"/>
        </w:rPr>
      </w:pPr>
    </w:p>
    <w:p>
      <w:pPr>
        <w:ind w:right="16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73" w:lineRule="exact"/>
        <w:rPr>
          <w:sz w:val="24"/>
          <w:szCs w:val="24"/>
          <w:color w:val="auto"/>
        </w:rPr>
      </w:pPr>
    </w:p>
    <w:p>
      <w:pPr>
        <w:ind w:right="380"/>
        <w:spacing w:after="0" w:line="30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120"/>
        <w:spacing w:after="0" w:line="184" w:lineRule="exact"/>
        <w:tabs>
          <w:tab w:leader="none" w:pos="1980" w:val="left"/>
          <w:tab w:leader="none" w:pos="2360" w:val="left"/>
          <w:tab w:leader="none" w:pos="3620" w:val="left"/>
          <w:tab w:leader="none" w:pos="3960" w:val="left"/>
          <w:tab w:leader="none" w:pos="5660" w:val="left"/>
          <w:tab w:leader="none" w:pos="6020" w:val="left"/>
          <w:tab w:leader="none" w:pos="8200" w:val="left"/>
          <w:tab w:leader="none" w:pos="9080" w:val="left"/>
        </w:tabs>
        <w:rPr>
          <w:sz w:val="20"/>
          <w:szCs w:val="20"/>
          <w:color w:val="auto"/>
        </w:rPr>
      </w:pPr>
      <w:r>
        <w:rPr>
          <w:rFonts w:ascii="Arial" w:cs="Arial" w:eastAsia="Arial" w:hAnsi="Arial"/>
          <w:sz w:val="14"/>
          <w:szCs w:val="14"/>
          <w:b w:val="1"/>
          <w:bCs w:val="1"/>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b w:val="1"/>
          <w:bCs w:val="1"/>
          <w:color w:val="auto"/>
        </w:rPr>
        <w:t xml:space="preserve">Emerging growth company </w:t>
      </w:r>
      <w:r>
        <w:rPr>
          <w:rFonts w:ascii="MS PGothic" w:cs="MS PGothic" w:eastAsia="MS PGothic" w:hAnsi="MS PGothic"/>
          <w:sz w:val="12"/>
          <w:szCs w:val="12"/>
          <w:color w:val="auto"/>
        </w:rPr>
        <w:t>☐</w:t>
      </w:r>
    </w:p>
    <w:p>
      <w:pPr>
        <w:spacing w:after="0" w:line="140" w:lineRule="exact"/>
        <w:rPr>
          <w:sz w:val="24"/>
          <w:szCs w:val="24"/>
          <w:color w:val="auto"/>
        </w:rPr>
      </w:pPr>
    </w:p>
    <w:p>
      <w:pPr>
        <w:ind w:right="50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21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r>
        <w:rPr>
          <w:rFonts w:ascii="MS PGothic" w:cs="MS PGothic" w:eastAsia="MS PGothic" w:hAnsi="MS PGothic"/>
          <w:sz w:val="17"/>
          <w:szCs w:val="17"/>
          <w:color w:val="auto"/>
        </w:rPr>
        <w:t>☒</w:t>
      </w:r>
    </w:p>
    <w:p>
      <w:pPr>
        <w:spacing w:after="0" w:line="70" w:lineRule="exact"/>
        <w:rPr>
          <w:sz w:val="24"/>
          <w:szCs w:val="24"/>
          <w:color w:val="auto"/>
        </w:rPr>
      </w:pPr>
    </w:p>
    <w:p>
      <w:pPr>
        <w:ind w:right="60"/>
        <w:spacing w:after="0" w:line="19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6"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50" w:lineRule="exact"/>
        <w:rPr>
          <w:sz w:val="24"/>
          <w:szCs w:val="24"/>
          <w:color w:val="auto"/>
        </w:rPr>
      </w:pPr>
    </w:p>
    <w:p>
      <w:pPr>
        <w:ind w:right="360"/>
        <w:spacing w:after="0" w:line="293" w:lineRule="auto"/>
        <w:rPr>
          <w:sz w:val="20"/>
          <w:szCs w:val="20"/>
          <w:color w:val="auto"/>
        </w:rPr>
      </w:pPr>
      <w:r>
        <w:rPr>
          <w:rFonts w:ascii="Arial" w:cs="Arial" w:eastAsia="Arial" w:hAnsi="Arial"/>
          <w:sz w:val="14"/>
          <w:szCs w:val="14"/>
          <w:color w:val="auto"/>
        </w:rPr>
        <w:t>The aggregate market value of the registrant’s common shares held by non-affiliates of the registrant as of June 30, 2022, computed by reference to the closing sales price on the NASDAQ Global Select Market on that date, was approximately $906,356,080.</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the registrant’s common shares outstanding was 37,515,856 as of February 24, 2023.</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8"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Portions of the James River Group Holdings, Ltd. Proxy Statement for the 2023 Annual General Meeting of Shareholders may be incorporated by reference into Part III hereof. Alternatively, such Part III information may be filed by James River Group Holdings, Ltd. by an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 w:name="page2"/>
    <w:bookmarkEnd w:id="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Borders>
              <w:right w:val="single" w:sz="8" w:color="CCEEFF"/>
            </w:tcBorders>
          </w:tcPr>
          <w:p>
            <w:pPr>
              <w:spacing w:after="0"/>
              <w:rPr>
                <w:sz w:val="15"/>
                <w:szCs w:val="15"/>
                <w:color w:val="auto"/>
              </w:rPr>
            </w:pPr>
          </w:p>
        </w:tc>
        <w:tc>
          <w:tcPr>
            <w:tcW w:w="1840" w:type="dxa"/>
            <w:vAlign w:val="bottom"/>
            <w:gridSpan w:val="7"/>
            <w:shd w:val="clear" w:color="auto" w:fill="CCEEFF"/>
          </w:tcPr>
          <w:p>
            <w:pPr>
              <w:spacing w:after="0" w:line="182" w:lineRule="exact"/>
              <w:rPr>
                <w:sz w:val="20"/>
                <w:szCs w:val="20"/>
                <w:color w:val="auto"/>
              </w:rPr>
            </w:pPr>
            <w:r>
              <w:rPr>
                <w:rFonts w:ascii="Arial" w:cs="Arial" w:eastAsia="Arial" w:hAnsi="Arial"/>
                <w:sz w:val="18"/>
                <w:szCs w:val="18"/>
                <w:color w:val="0000FF"/>
              </w:rPr>
              <w:t>PART I</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gridSpan w:val="5"/>
            <w:shd w:val="clear" w:color="auto" w:fill="CCEEFF"/>
          </w:tcPr>
          <w:p>
            <w:pPr>
              <w:jc w:val="right"/>
              <w:ind w:right="20"/>
              <w:spacing w:after="0" w:line="182" w:lineRule="exact"/>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540" w:type="dxa"/>
            <w:vAlign w:val="bottom"/>
            <w:gridSpan w:val="2"/>
          </w:tcPr>
          <w:p>
            <w:pPr>
              <w:spacing w:after="0" w:line="189" w:lineRule="exact"/>
              <w:rPr>
                <w:sz w:val="20"/>
                <w:szCs w:val="20"/>
                <w:color w:val="auto"/>
              </w:rPr>
            </w:pPr>
            <w:r>
              <w:rPr>
                <w:rFonts w:ascii="Arial" w:cs="Arial" w:eastAsia="Arial" w:hAnsi="Arial"/>
                <w:sz w:val="18"/>
                <w:szCs w:val="18"/>
                <w:color w:val="0000FF"/>
                <w:w w:val="94"/>
              </w:rPr>
              <w:t>Item 1.</w:t>
            </w:r>
          </w:p>
        </w:tc>
        <w:tc>
          <w:tcPr>
            <w:tcW w:w="1300" w:type="dxa"/>
            <w:vAlign w:val="bottom"/>
            <w:gridSpan w:val="5"/>
          </w:tcPr>
          <w:p>
            <w:pPr>
              <w:spacing w:after="0"/>
              <w:rPr>
                <w:sz w:val="16"/>
                <w:szCs w:val="16"/>
                <w:color w:val="auto"/>
              </w:rPr>
            </w:pPr>
          </w:p>
        </w:tc>
        <w:tc>
          <w:tcPr>
            <w:tcW w:w="8600" w:type="dxa"/>
            <w:vAlign w:val="bottom"/>
            <w:gridSpan w:val="27"/>
          </w:tcPr>
          <w:p>
            <w:pPr>
              <w:spacing w:after="0" w:line="189" w:lineRule="exact"/>
              <w:rPr>
                <w:sz w:val="20"/>
                <w:szCs w:val="20"/>
                <w:color w:val="auto"/>
              </w:rPr>
            </w:pPr>
            <w:r>
              <w:rPr>
                <w:rFonts w:ascii="Arial" w:cs="Arial" w:eastAsia="Arial" w:hAnsi="Arial"/>
                <w:sz w:val="18"/>
                <w:szCs w:val="18"/>
                <w:color w:val="0000FF"/>
              </w:rPr>
              <w:t>BUSINESS</w:t>
            </w:r>
          </w:p>
        </w:tc>
        <w:tc>
          <w:tcPr>
            <w:tcW w:w="74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184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Item 1A.</w:t>
            </w: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38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Arial" w:cs="Arial" w:eastAsia="Arial" w:hAnsi="Arial"/>
                <w:sz w:val="18"/>
                <w:szCs w:val="18"/>
                <w:color w:val="0000FF"/>
                <w:w w:val="92"/>
              </w:rPr>
              <w:t>Item 1B.</w:t>
            </w:r>
          </w:p>
        </w:tc>
        <w:tc>
          <w:tcPr>
            <w:tcW w:w="1200" w:type="dxa"/>
            <w:vAlign w:val="bottom"/>
            <w:gridSpan w:val="3"/>
          </w:tcPr>
          <w:p>
            <w:pPr>
              <w:spacing w:after="0"/>
              <w:rPr>
                <w:sz w:val="16"/>
                <w:szCs w:val="16"/>
                <w:color w:val="auto"/>
              </w:rPr>
            </w:pPr>
          </w:p>
        </w:tc>
        <w:tc>
          <w:tcPr>
            <w:tcW w:w="8600" w:type="dxa"/>
            <w:vAlign w:val="bottom"/>
            <w:gridSpan w:val="27"/>
          </w:tcPr>
          <w:p>
            <w:pPr>
              <w:spacing w:after="0" w:line="189" w:lineRule="exact"/>
              <w:rPr>
                <w:sz w:val="20"/>
                <w:szCs w:val="20"/>
                <w:color w:val="auto"/>
              </w:rPr>
            </w:pPr>
            <w:r>
              <w:rPr>
                <w:rFonts w:ascii="Arial" w:cs="Arial" w:eastAsia="Arial" w:hAnsi="Arial"/>
                <w:sz w:val="18"/>
                <w:szCs w:val="18"/>
                <w:color w:val="0000FF"/>
              </w:rPr>
              <w:t>UNRESOLVED STAFF COMMENTS</w:t>
            </w:r>
          </w:p>
        </w:tc>
        <w:tc>
          <w:tcPr>
            <w:tcW w:w="7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2.</w:t>
            </w:r>
          </w:p>
        </w:tc>
        <w:tc>
          <w:tcPr>
            <w:tcW w:w="1320" w:type="dxa"/>
            <w:vAlign w:val="bottom"/>
            <w:gridSpan w:val="6"/>
            <w:shd w:val="clear" w:color="auto" w:fill="CCEEFF"/>
          </w:tcPr>
          <w:p>
            <w:pPr>
              <w:spacing w:after="0"/>
              <w:rPr>
                <w:sz w:val="16"/>
                <w:szCs w:val="16"/>
                <w:color w:val="auto"/>
              </w:rPr>
            </w:pP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PROPERTIES</w:t>
            </w:r>
          </w:p>
        </w:tc>
        <w:tc>
          <w:tcPr>
            <w:tcW w:w="7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65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FF"/>
                <w:w w:val="90"/>
              </w:rPr>
              <w:t>Item 3.</w:t>
            </w:r>
          </w:p>
        </w:tc>
        <w:tc>
          <w:tcPr>
            <w:tcW w:w="1320" w:type="dxa"/>
            <w:vAlign w:val="bottom"/>
            <w:gridSpan w:val="6"/>
          </w:tcPr>
          <w:p>
            <w:pPr>
              <w:spacing w:after="0"/>
              <w:rPr>
                <w:sz w:val="16"/>
                <w:szCs w:val="16"/>
                <w:color w:val="auto"/>
              </w:rPr>
            </w:pPr>
          </w:p>
        </w:tc>
        <w:tc>
          <w:tcPr>
            <w:tcW w:w="8600" w:type="dxa"/>
            <w:vAlign w:val="bottom"/>
            <w:gridSpan w:val="27"/>
          </w:tcPr>
          <w:p>
            <w:pPr>
              <w:spacing w:after="0" w:line="189" w:lineRule="exact"/>
              <w:rPr>
                <w:sz w:val="20"/>
                <w:szCs w:val="20"/>
                <w:color w:val="auto"/>
              </w:rPr>
            </w:pPr>
            <w:r>
              <w:rPr>
                <w:rFonts w:ascii="Arial" w:cs="Arial" w:eastAsia="Arial" w:hAnsi="Arial"/>
                <w:sz w:val="18"/>
                <w:szCs w:val="18"/>
                <w:color w:val="0000FF"/>
              </w:rPr>
              <w:t>LEGAL PROCEEDINGS</w:t>
            </w:r>
          </w:p>
        </w:tc>
        <w:tc>
          <w:tcPr>
            <w:tcW w:w="7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4.</w:t>
            </w:r>
          </w:p>
        </w:tc>
        <w:tc>
          <w:tcPr>
            <w:tcW w:w="1320" w:type="dxa"/>
            <w:vAlign w:val="bottom"/>
            <w:gridSpan w:val="6"/>
            <w:shd w:val="clear" w:color="auto" w:fill="CCEEFF"/>
          </w:tcPr>
          <w:p>
            <w:pPr>
              <w:spacing w:after="0"/>
              <w:rPr>
                <w:sz w:val="16"/>
                <w:szCs w:val="16"/>
                <w:color w:val="auto"/>
              </w:rPr>
            </w:pP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w:t>
            </w:r>
          </w:p>
        </w:tc>
        <w:tc>
          <w:tcPr>
            <w:tcW w:w="7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66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1840" w:type="dxa"/>
            <w:vAlign w:val="bottom"/>
            <w:gridSpan w:val="7"/>
          </w:tcPr>
          <w:p>
            <w:pPr>
              <w:spacing w:after="0" w:line="189" w:lineRule="exact"/>
              <w:rPr>
                <w:sz w:val="20"/>
                <w:szCs w:val="20"/>
                <w:color w:val="auto"/>
              </w:rPr>
            </w:pPr>
            <w:r>
              <w:rPr>
                <w:rFonts w:ascii="Arial" w:cs="Arial" w:eastAsia="Arial" w:hAnsi="Arial"/>
                <w:sz w:val="18"/>
                <w:szCs w:val="18"/>
                <w:color w:val="0000FF"/>
              </w:rPr>
              <w:t>PART II</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184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Item 5.</w:t>
            </w: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w:t>
            </w:r>
          </w:p>
        </w:tc>
        <w:tc>
          <w:tcPr>
            <w:tcW w:w="7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0000FF"/>
              </w:rPr>
              <w:t>67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CCEEFF"/>
            </w:tcBorders>
          </w:tcPr>
          <w:p>
            <w:pPr>
              <w:spacing w:after="0"/>
              <w:rPr>
                <w:sz w:val="17"/>
                <w:szCs w:val="17"/>
                <w:color w:val="auto"/>
              </w:rPr>
            </w:pPr>
          </w:p>
        </w:tc>
        <w:tc>
          <w:tcPr>
            <w:tcW w:w="5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3080" w:type="dxa"/>
            <w:vAlign w:val="bottom"/>
            <w:tcBorders>
              <w:top w:val="single" w:sz="8" w:color="0000FF"/>
              <w:bottom w:val="single" w:sz="8" w:color="0000FF"/>
            </w:tcBorders>
            <w:gridSpan w:val="14"/>
            <w:shd w:val="clear" w:color="auto" w:fill="CCEEFF"/>
          </w:tcPr>
          <w:p>
            <w:pPr>
              <w:spacing w:after="0" w:line="142" w:lineRule="exact"/>
              <w:rPr>
                <w:sz w:val="20"/>
                <w:szCs w:val="20"/>
                <w:color w:val="auto"/>
              </w:rPr>
            </w:pPr>
            <w:r>
              <w:rPr>
                <w:rFonts w:ascii="Arial" w:cs="Arial" w:eastAsia="Arial" w:hAnsi="Arial"/>
                <w:sz w:val="16"/>
                <w:szCs w:val="16"/>
                <w:color w:val="0000FF"/>
              </w:rPr>
              <w:t>PURCHASES OF EQUITY SECURITIES</w:t>
            </w:r>
          </w:p>
        </w:tc>
        <w:tc>
          <w:tcPr>
            <w:tcW w:w="86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1140" w:type="dxa"/>
            <w:vAlign w:val="bottom"/>
            <w:tcBorders>
              <w:top w:val="single" w:sz="8" w:color="0000FF"/>
              <w:bottom w:val="single" w:sz="8" w:color="CCEEFF"/>
            </w:tcBorders>
            <w:shd w:val="clear" w:color="auto" w:fill="CCEEFF"/>
          </w:tcPr>
          <w:p>
            <w:pPr>
              <w:spacing w:after="0"/>
              <w:rPr>
                <w:sz w:val="17"/>
                <w:szCs w:val="17"/>
                <w:color w:val="auto"/>
              </w:rPr>
            </w:pPr>
          </w:p>
        </w:tc>
        <w:tc>
          <w:tcPr>
            <w:tcW w:w="340" w:type="dxa"/>
            <w:vAlign w:val="bottom"/>
            <w:tcBorders>
              <w:top w:val="single" w:sz="8" w:color="0000FF"/>
              <w:bottom w:val="single" w:sz="8" w:color="CCEEFF"/>
            </w:tcBorders>
            <w:shd w:val="clear" w:color="auto" w:fill="CCEEFF"/>
          </w:tcPr>
          <w:p>
            <w:pPr>
              <w:spacing w:after="0"/>
              <w:rPr>
                <w:sz w:val="17"/>
                <w:szCs w:val="17"/>
                <w:color w:val="auto"/>
              </w:rPr>
            </w:pPr>
          </w:p>
        </w:tc>
        <w:tc>
          <w:tcPr>
            <w:tcW w:w="820" w:type="dxa"/>
            <w:vAlign w:val="bottom"/>
            <w:tcBorders>
              <w:top w:val="single" w:sz="8" w:color="0000FF"/>
              <w:bottom w:val="single" w:sz="8" w:color="CCEEFF"/>
            </w:tcBorders>
            <w:shd w:val="clear" w:color="auto" w:fill="CCEEFF"/>
          </w:tcPr>
          <w:p>
            <w:pPr>
              <w:spacing w:after="0"/>
              <w:rPr>
                <w:sz w:val="17"/>
                <w:szCs w:val="17"/>
                <w:color w:val="auto"/>
              </w:rPr>
            </w:pPr>
          </w:p>
        </w:tc>
        <w:tc>
          <w:tcPr>
            <w:tcW w:w="74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260" w:type="dxa"/>
            <w:vAlign w:val="bottom"/>
            <w:tcBorders>
              <w:top w:val="single" w:sz="8" w:color="0000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gridSpan w:val="4"/>
            <w:vMerge w:val="continue"/>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840" w:type="dxa"/>
            <w:vAlign w:val="bottom"/>
            <w:tcBorders>
              <w:top w:val="single" w:sz="8" w:color="CCEEFF"/>
            </w:tcBorders>
            <w:gridSpan w:val="7"/>
          </w:tcPr>
          <w:p>
            <w:pPr>
              <w:spacing w:after="0" w:line="183" w:lineRule="exact"/>
              <w:rPr>
                <w:sz w:val="20"/>
                <w:szCs w:val="20"/>
                <w:color w:val="auto"/>
              </w:rPr>
            </w:pPr>
            <w:r>
              <w:rPr>
                <w:rFonts w:ascii="Arial" w:cs="Arial" w:eastAsia="Arial" w:hAnsi="Arial"/>
                <w:sz w:val="18"/>
                <w:szCs w:val="18"/>
                <w:color w:val="0000FF"/>
              </w:rPr>
              <w:t>Item 6.</w:t>
            </w:r>
          </w:p>
        </w:tc>
        <w:tc>
          <w:tcPr>
            <w:tcW w:w="8600" w:type="dxa"/>
            <w:vAlign w:val="bottom"/>
            <w:tcBorders>
              <w:top w:val="single" w:sz="8" w:color="CCEEFF"/>
            </w:tcBorders>
            <w:gridSpan w:val="27"/>
          </w:tcPr>
          <w:p>
            <w:pPr>
              <w:spacing w:after="0" w:line="183" w:lineRule="exact"/>
              <w:rPr>
                <w:sz w:val="20"/>
                <w:szCs w:val="20"/>
                <w:color w:val="auto"/>
              </w:rPr>
            </w:pPr>
            <w:r>
              <w:rPr>
                <w:rFonts w:ascii="Arial" w:cs="Arial" w:eastAsia="Arial" w:hAnsi="Arial"/>
                <w:sz w:val="18"/>
                <w:szCs w:val="18"/>
                <w:color w:val="0000FF"/>
              </w:rPr>
              <w:t>[RESERVED]</w:t>
            </w:r>
          </w:p>
        </w:tc>
        <w:tc>
          <w:tcPr>
            <w:tcW w:w="54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FF"/>
            </w:tcBorders>
            <w:gridSpan w:val="2"/>
          </w:tcPr>
          <w:p>
            <w:pPr>
              <w:jc w:val="right"/>
              <w:spacing w:after="0" w:line="183" w:lineRule="exact"/>
              <w:rPr>
                <w:sz w:val="20"/>
                <w:szCs w:val="20"/>
                <w:color w:val="auto"/>
              </w:rPr>
            </w:pPr>
            <w:r>
              <w:rPr>
                <w:rFonts w:ascii="Arial" w:cs="Arial" w:eastAsia="Arial" w:hAnsi="Arial"/>
                <w:sz w:val="18"/>
                <w:szCs w:val="18"/>
                <w:color w:val="0000FF"/>
                <w:w w:val="79"/>
              </w:rPr>
              <w:t>68</w:t>
            </w: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184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Item 7.</w:t>
            </w: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7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0000FF"/>
              </w:rPr>
              <w:t>69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5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740" w:type="dxa"/>
            <w:vAlign w:val="bottom"/>
            <w:tcBorders>
              <w:top w:val="single" w:sz="8" w:color="0000FF"/>
            </w:tcBorders>
            <w:gridSpan w:val="22"/>
            <w:shd w:val="clear" w:color="auto" w:fill="CCEEFF"/>
          </w:tcPr>
          <w:p>
            <w:pPr>
              <w:spacing w:after="0" w:line="142" w:lineRule="exact"/>
              <w:rPr>
                <w:sz w:val="20"/>
                <w:szCs w:val="20"/>
                <w:color w:val="auto"/>
              </w:rPr>
            </w:pPr>
            <w:r>
              <w:rPr>
                <w:rFonts w:ascii="Arial" w:cs="Arial" w:eastAsia="Arial" w:hAnsi="Arial"/>
                <w:sz w:val="16"/>
                <w:szCs w:val="16"/>
                <w:color w:val="0000FF"/>
              </w:rPr>
              <w:t>OPERATIONS</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gridSpan w:val="2"/>
            <w:shd w:val="clear" w:color="auto" w:fill="CCEEFF"/>
          </w:tcPr>
          <w:p>
            <w:pPr>
              <w:spacing w:after="0"/>
              <w:rPr>
                <w:sz w:val="15"/>
                <w:szCs w:val="15"/>
                <w:color w:val="auto"/>
              </w:rPr>
            </w:pPr>
          </w:p>
        </w:tc>
        <w:tc>
          <w:tcPr>
            <w:tcW w:w="720" w:type="dxa"/>
            <w:vAlign w:val="bottom"/>
            <w:tcBorders>
              <w:top w:val="single" w:sz="8" w:color="CCEEFF"/>
            </w:tcBorders>
            <w:gridSpan w:val="4"/>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840" w:type="dxa"/>
            <w:vAlign w:val="bottom"/>
            <w:gridSpan w:val="7"/>
          </w:tcPr>
          <w:p>
            <w:pPr>
              <w:spacing w:after="0" w:line="183" w:lineRule="exact"/>
              <w:rPr>
                <w:sz w:val="20"/>
                <w:szCs w:val="20"/>
                <w:color w:val="auto"/>
              </w:rPr>
            </w:pPr>
            <w:r>
              <w:rPr>
                <w:rFonts w:ascii="Arial" w:cs="Arial" w:eastAsia="Arial" w:hAnsi="Arial"/>
                <w:sz w:val="18"/>
                <w:szCs w:val="18"/>
                <w:color w:val="0000FF"/>
              </w:rPr>
              <w:t>Item 7A.</w:t>
            </w:r>
          </w:p>
        </w:tc>
        <w:tc>
          <w:tcPr>
            <w:tcW w:w="8600" w:type="dxa"/>
            <w:vAlign w:val="bottom"/>
            <w:gridSpan w:val="27"/>
          </w:tcPr>
          <w:p>
            <w:pPr>
              <w:spacing w:after="0" w:line="183" w:lineRule="exact"/>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gridSpan w:val="5"/>
          </w:tcPr>
          <w:p>
            <w:pPr>
              <w:jc w:val="right"/>
              <w:ind w:right="20"/>
              <w:spacing w:after="0" w:line="183" w:lineRule="exact"/>
              <w:rPr>
                <w:sz w:val="20"/>
                <w:szCs w:val="20"/>
                <w:color w:val="auto"/>
              </w:rPr>
            </w:pPr>
            <w:r>
              <w:rPr>
                <w:rFonts w:ascii="Arial" w:cs="Arial" w:eastAsia="Arial" w:hAnsi="Arial"/>
                <w:sz w:val="18"/>
                <w:szCs w:val="18"/>
                <w:color w:val="0000FF"/>
              </w:rPr>
              <w:t>103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8.</w:t>
            </w:r>
          </w:p>
        </w:tc>
        <w:tc>
          <w:tcPr>
            <w:tcW w:w="1320" w:type="dxa"/>
            <w:vAlign w:val="bottom"/>
            <w:gridSpan w:val="6"/>
            <w:shd w:val="clear" w:color="auto" w:fill="CCEEFF"/>
          </w:tcPr>
          <w:p>
            <w:pPr>
              <w:spacing w:after="0"/>
              <w:rPr>
                <w:sz w:val="16"/>
                <w:szCs w:val="16"/>
                <w:color w:val="auto"/>
              </w:rPr>
            </w:pP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74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104</w:t>
            </w: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FF"/>
                <w:w w:val="90"/>
              </w:rPr>
              <w:t>Item 9.</w:t>
            </w:r>
          </w:p>
        </w:tc>
        <w:tc>
          <w:tcPr>
            <w:tcW w:w="1320" w:type="dxa"/>
            <w:vAlign w:val="bottom"/>
            <w:gridSpan w:val="6"/>
          </w:tcPr>
          <w:p>
            <w:pPr>
              <w:spacing w:after="0"/>
              <w:rPr>
                <w:sz w:val="16"/>
                <w:szCs w:val="16"/>
                <w:color w:val="auto"/>
              </w:rPr>
            </w:pPr>
          </w:p>
        </w:tc>
        <w:tc>
          <w:tcPr>
            <w:tcW w:w="8600" w:type="dxa"/>
            <w:vAlign w:val="bottom"/>
            <w:gridSpan w:val="27"/>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w:t>
            </w:r>
          </w:p>
        </w:tc>
        <w:tc>
          <w:tcPr>
            <w:tcW w:w="740" w:type="dxa"/>
            <w:vAlign w:val="bottom"/>
            <w:gridSpan w:val="5"/>
            <w:vMerge w:val="restart"/>
          </w:tcPr>
          <w:p>
            <w:pPr>
              <w:jc w:val="right"/>
              <w:ind w:right="20"/>
              <w:spacing w:after="0"/>
              <w:rPr>
                <w:sz w:val="20"/>
                <w:szCs w:val="20"/>
                <w:color w:val="auto"/>
              </w:rPr>
            </w:pPr>
            <w:r>
              <w:rPr>
                <w:rFonts w:ascii="Arial" w:cs="Arial" w:eastAsia="Arial" w:hAnsi="Arial"/>
                <w:sz w:val="18"/>
                <w:szCs w:val="18"/>
                <w:color w:val="0000FF"/>
              </w:rPr>
              <w:t>104</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DISCLOSURE</w:t>
            </w:r>
          </w:p>
        </w:tc>
        <w:tc>
          <w:tcPr>
            <w:tcW w:w="6820" w:type="dxa"/>
            <w:vAlign w:val="bottom"/>
            <w:tcBorders>
              <w:top w:val="single" w:sz="8" w:color="0000FF"/>
            </w:tcBorders>
            <w:gridSpan w:val="18"/>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1840" w:type="dxa"/>
            <w:vAlign w:val="bottom"/>
            <w:gridSpan w:val="7"/>
            <w:shd w:val="clear" w:color="auto" w:fill="CCEEFF"/>
          </w:tcPr>
          <w:p>
            <w:pPr>
              <w:spacing w:after="0" w:line="203" w:lineRule="exact"/>
              <w:rPr>
                <w:sz w:val="20"/>
                <w:szCs w:val="20"/>
                <w:color w:val="auto"/>
              </w:rPr>
            </w:pPr>
            <w:r>
              <w:rPr>
                <w:rFonts w:ascii="Arial" w:cs="Arial" w:eastAsia="Arial" w:hAnsi="Arial"/>
                <w:sz w:val="18"/>
                <w:szCs w:val="18"/>
                <w:color w:val="0000FF"/>
              </w:rPr>
              <w:t>Item 9A.</w:t>
            </w:r>
          </w:p>
        </w:tc>
        <w:tc>
          <w:tcPr>
            <w:tcW w:w="8600" w:type="dxa"/>
            <w:vAlign w:val="bottom"/>
            <w:gridSpan w:val="27"/>
            <w:shd w:val="clear" w:color="auto" w:fill="CCEEFF"/>
          </w:tcPr>
          <w:p>
            <w:pPr>
              <w:spacing w:after="0" w:line="203" w:lineRule="exact"/>
              <w:rPr>
                <w:sz w:val="20"/>
                <w:szCs w:val="20"/>
                <w:color w:val="auto"/>
              </w:rPr>
            </w:pPr>
            <w:r>
              <w:rPr>
                <w:rFonts w:ascii="Arial" w:cs="Arial" w:eastAsia="Arial" w:hAnsi="Arial"/>
                <w:sz w:val="18"/>
                <w:szCs w:val="18"/>
                <w:color w:val="0000FF"/>
              </w:rPr>
              <w:t>CONTROLS AND PROCEDURES</w:t>
            </w:r>
          </w:p>
        </w:tc>
        <w:tc>
          <w:tcPr>
            <w:tcW w:w="740" w:type="dxa"/>
            <w:vAlign w:val="bottom"/>
            <w:gridSpan w:val="5"/>
            <w:shd w:val="clear" w:color="auto" w:fill="CCEEFF"/>
          </w:tcPr>
          <w:p>
            <w:pPr>
              <w:jc w:val="right"/>
              <w:ind w:right="20"/>
              <w:spacing w:after="0" w:line="203" w:lineRule="exact"/>
              <w:rPr>
                <w:sz w:val="20"/>
                <w:szCs w:val="20"/>
                <w:color w:val="auto"/>
              </w:rPr>
            </w:pPr>
            <w:r>
              <w:rPr>
                <w:rFonts w:ascii="Arial" w:cs="Arial" w:eastAsia="Arial" w:hAnsi="Arial"/>
                <w:sz w:val="18"/>
                <w:szCs w:val="18"/>
                <w:color w:val="0000FF"/>
              </w:rPr>
              <w:t>105</w:t>
            </w: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Arial" w:cs="Arial" w:eastAsia="Arial" w:hAnsi="Arial"/>
                <w:sz w:val="18"/>
                <w:szCs w:val="18"/>
                <w:color w:val="0000FF"/>
                <w:w w:val="92"/>
              </w:rPr>
              <w:t>Item 9B.</w:t>
            </w:r>
          </w:p>
        </w:tc>
        <w:tc>
          <w:tcPr>
            <w:tcW w:w="1200" w:type="dxa"/>
            <w:vAlign w:val="bottom"/>
            <w:gridSpan w:val="3"/>
          </w:tcPr>
          <w:p>
            <w:pPr>
              <w:spacing w:after="0"/>
              <w:rPr>
                <w:sz w:val="16"/>
                <w:szCs w:val="16"/>
                <w:color w:val="auto"/>
              </w:rPr>
            </w:pPr>
          </w:p>
        </w:tc>
        <w:tc>
          <w:tcPr>
            <w:tcW w:w="8600" w:type="dxa"/>
            <w:vAlign w:val="bottom"/>
            <w:gridSpan w:val="27"/>
          </w:tcPr>
          <w:p>
            <w:pPr>
              <w:spacing w:after="0" w:line="189" w:lineRule="exact"/>
              <w:rPr>
                <w:sz w:val="20"/>
                <w:szCs w:val="20"/>
                <w:color w:val="auto"/>
              </w:rPr>
            </w:pPr>
            <w:r>
              <w:rPr>
                <w:rFonts w:ascii="Arial" w:cs="Arial" w:eastAsia="Arial" w:hAnsi="Arial"/>
                <w:sz w:val="18"/>
                <w:szCs w:val="18"/>
                <w:color w:val="0000FF"/>
              </w:rPr>
              <w:t>OTHER INFORMATION</w:t>
            </w:r>
          </w:p>
        </w:tc>
        <w:tc>
          <w:tcPr>
            <w:tcW w:w="74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105</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6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91"/>
              </w:rPr>
              <w:t>Item 9C.</w:t>
            </w:r>
          </w:p>
        </w:tc>
        <w:tc>
          <w:tcPr>
            <w:tcW w:w="1200" w:type="dxa"/>
            <w:vAlign w:val="bottom"/>
            <w:gridSpan w:val="3"/>
            <w:shd w:val="clear" w:color="auto" w:fill="CCEEFF"/>
          </w:tcPr>
          <w:p>
            <w:pPr>
              <w:spacing w:after="0"/>
              <w:rPr>
                <w:sz w:val="16"/>
                <w:szCs w:val="16"/>
                <w:color w:val="auto"/>
              </w:rPr>
            </w:pP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4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105</w:t>
            </w: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1840" w:type="dxa"/>
            <w:vAlign w:val="bottom"/>
            <w:gridSpan w:val="7"/>
          </w:tcPr>
          <w:p>
            <w:pPr>
              <w:spacing w:after="0" w:line="189" w:lineRule="exact"/>
              <w:rPr>
                <w:sz w:val="20"/>
                <w:szCs w:val="20"/>
                <w:color w:val="auto"/>
              </w:rPr>
            </w:pPr>
            <w:r>
              <w:rPr>
                <w:rFonts w:ascii="Arial" w:cs="Arial" w:eastAsia="Arial" w:hAnsi="Arial"/>
                <w:sz w:val="18"/>
                <w:szCs w:val="18"/>
                <w:color w:val="0000FF"/>
              </w:rPr>
              <w:t>PART III</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184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Item 10.</w:t>
            </w: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74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600" w:type="dxa"/>
            <w:vAlign w:val="bottom"/>
            <w:gridSpan w:val="3"/>
          </w:tcPr>
          <w:p>
            <w:pPr>
              <w:spacing w:after="0" w:line="189" w:lineRule="exact"/>
              <w:rPr>
                <w:sz w:val="20"/>
                <w:szCs w:val="20"/>
                <w:color w:val="auto"/>
              </w:rPr>
            </w:pPr>
            <w:r>
              <w:rPr>
                <w:rFonts w:ascii="Arial" w:cs="Arial" w:eastAsia="Arial" w:hAnsi="Arial"/>
                <w:sz w:val="18"/>
                <w:szCs w:val="18"/>
                <w:color w:val="0000FF"/>
                <w:w w:val="89"/>
              </w:rPr>
              <w:t>Item 11.</w:t>
            </w:r>
          </w:p>
        </w:tc>
        <w:tc>
          <w:tcPr>
            <w:tcW w:w="1240" w:type="dxa"/>
            <w:vAlign w:val="bottom"/>
            <w:gridSpan w:val="4"/>
          </w:tcPr>
          <w:p>
            <w:pPr>
              <w:spacing w:after="0"/>
              <w:rPr>
                <w:sz w:val="16"/>
                <w:szCs w:val="16"/>
                <w:color w:val="auto"/>
              </w:rPr>
            </w:pPr>
          </w:p>
        </w:tc>
        <w:tc>
          <w:tcPr>
            <w:tcW w:w="8600" w:type="dxa"/>
            <w:vAlign w:val="bottom"/>
            <w:gridSpan w:val="27"/>
          </w:tcPr>
          <w:p>
            <w:pPr>
              <w:spacing w:after="0" w:line="189" w:lineRule="exact"/>
              <w:rPr>
                <w:sz w:val="20"/>
                <w:szCs w:val="20"/>
                <w:color w:val="auto"/>
              </w:rPr>
            </w:pPr>
            <w:r>
              <w:rPr>
                <w:rFonts w:ascii="Arial" w:cs="Arial" w:eastAsia="Arial" w:hAnsi="Arial"/>
                <w:sz w:val="18"/>
                <w:szCs w:val="18"/>
                <w:color w:val="0000FF"/>
              </w:rPr>
              <w:t>EXECUTIVE COMPENSATION</w:t>
            </w:r>
          </w:p>
        </w:tc>
        <w:tc>
          <w:tcPr>
            <w:tcW w:w="74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184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Item 12.</w:t>
            </w: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w:t>
            </w:r>
          </w:p>
        </w:tc>
        <w:tc>
          <w:tcPr>
            <w:tcW w:w="74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5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980" w:type="dxa"/>
            <w:vAlign w:val="bottom"/>
            <w:tcBorders>
              <w:top w:val="single" w:sz="8" w:color="0000FF"/>
            </w:tcBorders>
            <w:gridSpan w:val="24"/>
            <w:shd w:val="clear" w:color="auto" w:fill="CCEEFF"/>
          </w:tcPr>
          <w:p>
            <w:pPr>
              <w:spacing w:after="0" w:line="142" w:lineRule="exact"/>
              <w:rPr>
                <w:sz w:val="20"/>
                <w:szCs w:val="20"/>
                <w:color w:val="auto"/>
              </w:rPr>
            </w:pPr>
            <w:r>
              <w:rPr>
                <w:rFonts w:ascii="Arial" w:cs="Arial" w:eastAsia="Arial" w:hAnsi="Arial"/>
                <w:sz w:val="16"/>
                <w:szCs w:val="16"/>
                <w:color w:val="0000FF"/>
              </w:rPr>
              <w:t>STOCKHOLDER MATTERS</w:t>
            </w:r>
          </w:p>
        </w:tc>
        <w:tc>
          <w:tcPr>
            <w:tcW w:w="600" w:type="dxa"/>
            <w:vAlign w:val="bottom"/>
            <w:tcBorders>
              <w:top w:val="single" w:sz="8" w:color="CCEEFF"/>
            </w:tcBorders>
            <w:gridSpan w:val="2"/>
            <w:shd w:val="clear" w:color="auto" w:fill="CCEEFF"/>
          </w:tcPr>
          <w:p>
            <w:pPr>
              <w:spacing w:after="0"/>
              <w:rPr>
                <w:sz w:val="15"/>
                <w:szCs w:val="15"/>
                <w:color w:val="auto"/>
              </w:rPr>
            </w:pPr>
          </w:p>
        </w:tc>
        <w:tc>
          <w:tcPr>
            <w:tcW w:w="740" w:type="dxa"/>
            <w:vAlign w:val="bottom"/>
            <w:tcBorders>
              <w:top w:val="single" w:sz="8" w:color="CCEEFF"/>
            </w:tcBorders>
            <w:gridSpan w:val="5"/>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840" w:type="dxa"/>
            <w:vAlign w:val="bottom"/>
            <w:gridSpan w:val="7"/>
          </w:tcPr>
          <w:p>
            <w:pPr>
              <w:spacing w:after="0" w:line="183" w:lineRule="exact"/>
              <w:rPr>
                <w:sz w:val="20"/>
                <w:szCs w:val="20"/>
                <w:color w:val="auto"/>
              </w:rPr>
            </w:pPr>
            <w:r>
              <w:rPr>
                <w:rFonts w:ascii="Arial" w:cs="Arial" w:eastAsia="Arial" w:hAnsi="Arial"/>
                <w:sz w:val="18"/>
                <w:szCs w:val="18"/>
                <w:color w:val="0000FF"/>
              </w:rPr>
              <w:t>Item 13.</w:t>
            </w:r>
          </w:p>
        </w:tc>
        <w:tc>
          <w:tcPr>
            <w:tcW w:w="8600" w:type="dxa"/>
            <w:vAlign w:val="bottom"/>
            <w:gridSpan w:val="27"/>
          </w:tcPr>
          <w:p>
            <w:pPr>
              <w:spacing w:after="0" w:line="183"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740" w:type="dxa"/>
            <w:vAlign w:val="bottom"/>
            <w:gridSpan w:val="5"/>
          </w:tcPr>
          <w:p>
            <w:pPr>
              <w:jc w:val="right"/>
              <w:ind w:right="20"/>
              <w:spacing w:after="0" w:line="183" w:lineRule="exact"/>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184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Item 14.</w:t>
            </w: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74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1840" w:type="dxa"/>
            <w:vAlign w:val="bottom"/>
            <w:gridSpan w:val="7"/>
          </w:tcPr>
          <w:p>
            <w:pPr>
              <w:spacing w:after="0" w:line="189" w:lineRule="exact"/>
              <w:rPr>
                <w:sz w:val="20"/>
                <w:szCs w:val="20"/>
                <w:color w:val="auto"/>
              </w:rPr>
            </w:pPr>
            <w:r>
              <w:rPr>
                <w:rFonts w:ascii="Arial" w:cs="Arial" w:eastAsia="Arial" w:hAnsi="Arial"/>
                <w:sz w:val="18"/>
                <w:szCs w:val="18"/>
                <w:color w:val="0000FF"/>
              </w:rPr>
              <w:t>PART IV</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184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Item 15.</w:t>
            </w:r>
          </w:p>
        </w:tc>
        <w:tc>
          <w:tcPr>
            <w:tcW w:w="860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EXHIBIT AND FINANCIAL STATEMENT SCHEDULES</w:t>
            </w:r>
          </w:p>
        </w:tc>
        <w:tc>
          <w:tcPr>
            <w:tcW w:w="74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1840" w:type="dxa"/>
            <w:vAlign w:val="bottom"/>
            <w:gridSpan w:val="7"/>
          </w:tcPr>
          <w:p>
            <w:pPr>
              <w:spacing w:after="0" w:line="189" w:lineRule="exact"/>
              <w:rPr>
                <w:sz w:val="20"/>
                <w:szCs w:val="20"/>
                <w:color w:val="auto"/>
              </w:rPr>
            </w:pPr>
            <w:r>
              <w:rPr>
                <w:rFonts w:ascii="Arial" w:cs="Arial" w:eastAsia="Arial" w:hAnsi="Arial"/>
                <w:sz w:val="18"/>
                <w:szCs w:val="18"/>
                <w:color w:val="0000FF"/>
              </w:rPr>
              <w:t>Item 16.</w:t>
            </w:r>
          </w:p>
        </w:tc>
        <w:tc>
          <w:tcPr>
            <w:tcW w:w="8600" w:type="dxa"/>
            <w:vAlign w:val="bottom"/>
            <w:gridSpan w:val="27"/>
          </w:tcPr>
          <w:p>
            <w:pPr>
              <w:spacing w:after="0" w:line="189" w:lineRule="exact"/>
              <w:rPr>
                <w:sz w:val="20"/>
                <w:szCs w:val="20"/>
                <w:color w:val="auto"/>
              </w:rPr>
            </w:pPr>
            <w:r>
              <w:rPr>
                <w:rFonts w:ascii="Arial" w:cs="Arial" w:eastAsia="Arial" w:hAnsi="Arial"/>
                <w:sz w:val="18"/>
                <w:szCs w:val="18"/>
                <w:color w:val="0000FF"/>
              </w:rPr>
              <w:t>FORM 10-K SUMMARY</w:t>
            </w:r>
          </w:p>
        </w:tc>
        <w:tc>
          <w:tcPr>
            <w:tcW w:w="74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111</w:t>
            </w:r>
          </w:p>
        </w:tc>
        <w:tc>
          <w:tcPr>
            <w:tcW w:w="0" w:type="dxa"/>
            <w:vAlign w:val="bottom"/>
          </w:tcPr>
          <w:p>
            <w:pPr>
              <w:spacing w:after="0"/>
              <w:rPr>
                <w:sz w:val="1"/>
                <w:szCs w:val="1"/>
                <w:color w:val="auto"/>
              </w:rPr>
            </w:pPr>
          </w:p>
        </w:tc>
      </w:tr>
      <w:tr>
        <w:trPr>
          <w:trHeight w:val="885"/>
        </w:trPr>
        <w:tc>
          <w:tcPr>
            <w:tcW w:w="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top w:val="single" w:sz="8" w:color="0000FF"/>
            </w:tcBorders>
            <w:gridSpan w:val="8"/>
          </w:tcPr>
          <w:p>
            <w:pPr>
              <w:spacing w:after="0"/>
              <w:rPr>
                <w:sz w:val="24"/>
                <w:szCs w:val="24"/>
                <w:color w:val="auto"/>
              </w:rPr>
            </w:pPr>
          </w:p>
        </w:tc>
        <w:tc>
          <w:tcPr>
            <w:tcW w:w="2060" w:type="dxa"/>
            <w:vAlign w:val="bottom"/>
            <w:gridSpan w:val="7"/>
          </w:tcPr>
          <w:p>
            <w:pPr>
              <w:jc w:val="right"/>
              <w:ind w:right="20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i w:val="1"/>
          <w:iCs w:val="1"/>
          <w:color w:val="auto"/>
        </w:rPr>
        <w:t>Unless the context indicates or suggests otherwise, references in this Annual Report on Form 10-K to “the Company,” “we,” “us” and “our” refer to James River Group Holdings, Ltd. and its consolidated subsidiaries.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Annual Report on Form 10-K (“Annual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Annual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8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Annual Report as a result of various factors, many of which are beyond our control, including, among others:</w:t>
      </w:r>
    </w:p>
    <w:p>
      <w:pPr>
        <w:spacing w:after="0" w:line="62" w:lineRule="exact"/>
        <w:rPr>
          <w:sz w:val="20"/>
          <w:szCs w:val="20"/>
          <w:color w:val="auto"/>
        </w:rPr>
      </w:pPr>
    </w:p>
    <w:p>
      <w:pPr>
        <w:ind w:left="660" w:right="30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660" w:right="66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downgrades in the financial strength rating of our regulated insurance subsidiaries impacting our ability to attract and retain insurance and reinsurance business that our subsidiaries write, our competitive position, and our financial condition;</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8" w:lineRule="exact"/>
        <w:rPr>
          <w:rFonts w:ascii="Arial" w:cs="Arial" w:eastAsia="Arial" w:hAnsi="Arial"/>
          <w:sz w:val="17"/>
          <w:szCs w:val="17"/>
          <w:color w:val="auto"/>
        </w:rPr>
      </w:pPr>
    </w:p>
    <w:p>
      <w:pPr>
        <w:ind w:left="660" w:right="94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persistent high inflationary environment on our reserves, the values of our investments and investment returns, and our compensation expenses;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adequately protect our Company against financial loss and that supports our growth plans;</w:t>
      </w:r>
    </w:p>
    <w:p>
      <w:pPr>
        <w:spacing w:after="0" w:line="62" w:lineRule="exact"/>
        <w:rPr>
          <w:rFonts w:ascii="Arial" w:cs="Arial" w:eastAsia="Arial" w:hAnsi="Arial"/>
          <w:sz w:val="18"/>
          <w:szCs w:val="18"/>
          <w:color w:val="auto"/>
        </w:rPr>
      </w:pPr>
    </w:p>
    <w:p>
      <w:pPr>
        <w:ind w:left="660" w:right="500" w:hanging="328"/>
        <w:spacing w:after="0" w:line="286" w:lineRule="auto"/>
        <w:tabs>
          <w:tab w:leader="none" w:pos="579"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spacing w:after="0" w:line="57" w:lineRule="exact"/>
        <w:rPr>
          <w:rFonts w:ascii="Arial" w:cs="Arial" w:eastAsia="Arial" w:hAnsi="Arial"/>
          <w:sz w:val="17"/>
          <w:szCs w:val="17"/>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660" w:right="580" w:hanging="328"/>
        <w:spacing w:after="0" w:line="263"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tax laws and the interpretation of certain provisions of the 2017 Tax Act (including associated regulations), which may be retroactive and could have a significant effect on us including, among other things, by potentially increasing our tax rate, as well as on our shareholders;</w:t>
      </w:r>
    </w:p>
    <w:p>
      <w:pPr>
        <w:spacing w:after="0" w:line="75" w:lineRule="exact"/>
        <w:rPr>
          <w:rFonts w:ascii="Arial" w:cs="Arial" w:eastAsia="Arial" w:hAnsi="Arial"/>
          <w:sz w:val="18"/>
          <w:szCs w:val="18"/>
          <w:color w:val="auto"/>
        </w:rPr>
      </w:pPr>
    </w:p>
    <w:p>
      <w:pPr>
        <w:ind w:left="660" w:right="260" w:hanging="328"/>
        <w:spacing w:after="0" w:line="342" w:lineRule="auto"/>
        <w:tabs>
          <w:tab w:leader="none" w:pos="57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failure of any of the loss limitations or exclusions we utilize to shield us from unanticipated financial losses or legal exposures, or other liabilities;</w:t>
      </w:r>
    </w:p>
    <w:p>
      <w:pPr>
        <w:spacing w:after="0" w:line="140" w:lineRule="exact"/>
        <w:rPr>
          <w:rFonts w:ascii="Arial" w:cs="Arial" w:eastAsia="Arial" w:hAnsi="Arial"/>
          <w:sz w:val="16"/>
          <w:szCs w:val="16"/>
          <w:color w:val="auto"/>
        </w:rPr>
      </w:pPr>
    </w:p>
    <w:p>
      <w:pPr>
        <w:ind w:left="660" w:hanging="328"/>
        <w:spacing w:after="0" w:line="277"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the Sarbanes-Oxley Act of 2002, as amended (“Sarbanes-Oxley”);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adverse result in any litigation or legal proceedings we are or may become subject to;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discussed under “Risk Factors” and elsewhere in this Annual Report.</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Accordingly, you should read this Annual Report completely and with the understanding that our actual future results may be materially different from what we expect.</w:t>
      </w:r>
    </w:p>
    <w:p>
      <w:pPr>
        <w:spacing w:after="0" w:line="6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Forward-looking statements speak only as of the date of this Annual Report. Except as expressly required under federal securities laws and the rules and regulations of the SEC, we do not have any obligation, and do not undertake, to update any forward-looking statements to reflect events or circumstances arising after the date of this Annual Report, whether as a result of new information or future events or otherwise. You should not place undue reliance on the forward-looking statements included in this Annual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James River Group Holdings, Ltd. is a Bermuda-based holding company. We own and operate a group of specialty insurance and reinsurance companies. For the year ended December 31, 2022, approximately 71.2% of our group-wide gross written premiums and 90.3% of our group-wide net written premiums originated from the U.S. excess and surplus (“E&amp;S”) lines market, which we believe puts us among the top three publicly traded insurers as ranked by highest concentrations of E&amp;S risk. Substantially all of our business is casualty insurance, and for the year ended December 31, 2022, we derived 96.5% of our group-wide gross written premiums from casualty insurance. Our objective is to generate compelling returns on tangible equity, while limiting underwriting and investment volatility. We seek to accomplish this by earning profits from insurance and reinsurance underwriting and generating meaningful risk-adjusted investment returns, while managing our capital. Our group includes three operating segments: Excess and Surplus Lines, Specialty Admitted Insurance and Casualty Reinsurance.</w:t>
      </w:r>
    </w:p>
    <w:p>
      <w:pPr>
        <w:spacing w:after="0" w:line="70" w:lineRule="exact"/>
        <w:rPr>
          <w:sz w:val="20"/>
          <w:szCs w:val="20"/>
          <w:color w:val="auto"/>
        </w:rPr>
      </w:pPr>
    </w:p>
    <w:p>
      <w:pPr>
        <w:ind w:right="380" w:firstLine="324"/>
        <w:spacing w:after="0" w:line="301" w:lineRule="auto"/>
        <w:rPr>
          <w:sz w:val="20"/>
          <w:szCs w:val="20"/>
          <w:color w:val="auto"/>
        </w:rPr>
      </w:pPr>
      <w:r>
        <w:rPr>
          <w:rFonts w:ascii="Arial" w:cs="Arial" w:eastAsia="Arial" w:hAnsi="Arial"/>
          <w:sz w:val="16"/>
          <w:szCs w:val="16"/>
          <w:color w:val="auto"/>
        </w:rPr>
        <w:t>We write very little property or catastrophe insurance and no property catastrophe reinsurance. For the year ended December 31, 2022, property insurance and reinsurance represented 3.5% of our gross written premiums. When we do write property insurance, we buy reinsurance to significantly mitigate our risk. We have structured our reinsurance arrangements so that our modeled net pre-tax loss from a 1/1000 year probable maximum loss ("PML") event would not exceed 2.5% of shareholders’ equity on a group-wide basis, inclusive of reinstatement premiums payable and net retentions.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report our business in four segments: Excess and Surplus Lines, Specialty Admitted Insurance, Casualty Reinsurance and Corporate and Other.</w:t>
      </w:r>
    </w:p>
    <w:p>
      <w:pPr>
        <w:spacing w:after="0" w:line="1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Excess and Surplus Lines segment sells E&amp;S commercial lines liability and property insurance in every U.S. state and the District of Columbia through James River Insurance Company (“James River Insurance”) and its wholly-owned subsidiary, James River Casualty Company (“James River Casualty”). The Excess and Surplus Lines segment produced 61.5% of our gross written premiums and 78.7% of our net written premiums for the year ended December 31, 2022.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and delays associated with the filing of such changes with state regulators and seeking approval for the filings. In 2022, the average account in this segment (excluding commercial auto policies) generated annual gross written premiums of approximately $24,000. The Excess and Surplus Lines segment distributes primarily through wholesale insurance brokers. Members of our management team have participated in this market for over three decades and have long-standing relationships with the wholesale brokers who place E&amp;S lines accounts.</w:t>
      </w:r>
    </w:p>
    <w:p>
      <w:pPr>
        <w:spacing w:after="0" w:line="7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Specialty Admitted Insurance segment has admitted licenses and the authority to write excess and surplus lines insurance in 50 states and the District of Columbia through Falls Lake National Insurance Company (“Falls Lake National”) and its wholly-owned subsidiaries, Stonewood Insurance Company (“Stonewood Insurance”) and Falls Lake Fire and Casualty Company (“Falls Lake Fire and Casualty”). The Specialty Admitted Insurance segment produced 32.8% of our gross written premiums and 10.2% of our net written premiums for the year ended December 31, 2022. The Specialty Admitted Insurance segment primarily writes fronting business where we retain a minority share of the risk, generally 10%-35%, and seek to earn fee income. When we front, we use our legal authority, financial strength rating, underwriting experience and claims infrastructure to write insurance to service clients (usually managing general agents and reinsurers) who assume the vast majority of the risk on each fronted policy. Because we retain little premium or risk in our fronted business, we can allocate less capital per dollar of revenue to fronted policies than to policies where we retain more risk, which we believe enhances our returns on equity. We also write a select book of workers’ compensation coverage for building trades, healthcare employees and light manufacturing, among other light to medium hazard risks in select U.S. states. The Specialty Admitted Insurance segment accepts applications for insurance from a variety of sources, including fronting and program administrators, managing general agents (“MGAs”), and independent retail agents.</w:t>
      </w:r>
    </w:p>
    <w:p>
      <w:pPr>
        <w:spacing w:after="0" w:line="6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Casualty Reinsurance segment distributes through reinsurance brokers and produced 5.7% of our gross written premiums and 11.1% of our net written premiums for the year ended December 31, 2022. The Casualty Reinsurance segment provides proportional and working layer casualty reinsurance to third parties and, through December 31, 2021, to our U.S.-based insurance subsidiaries. Typically, we structure our reinsurance contracts (also known as treaties) as quota share arrangements, with loss mitigating features, such as commissions that adjust based on underwriting results. We frequently include risk mitigating features in our working layer excess of loss treaties, such as paid reinstatements. On a premium volume basis, treaties with loss mitigation features, including profit and sliding scale ceding commissions, represented 40.6% of the net premiums written by our Casualty Reinsurance segment during 2022. We typically do not assume large individual risks in our Casualty Reinsurance segment, nor do we write property catastrophe reinsurance. Most of the underlying policies assumed by our Casualty Reinsurance segment have a $1.0 million per occurrence limit, and we typically assume only a portion of that exposure. We do not assume stand-alone third-party property business at our Casualty Reinsurance segment, but we do have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small amount of assumed business with ancillary property exposure. General liability accounts represented 64.8% of gross premiums written by our Casualty Reinsurance segment during 2022.</w:t>
      </w:r>
    </w:p>
    <w:p>
      <w:pPr>
        <w:spacing w:after="0" w:line="6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Casualty Reinsurance segment writes third party business through one entity, JRG Reinsurance Company Ltd. ("JRG Re"). Through December 31, 2017, we had intercompany reinsurance agreements under which we ceded 70% of the net written premiums of our U.S. subsidiaries (after taking into account third-party reinsurance) to JRG Re. Effective January 1, 2018 through December 31, 2021, we generally discontinued ceding 70% of our U.S.-written premiums to JRG Re and instead ceded 70% of our U.S.-written premiums to Carolina Re Ltd ("Carolina Re"). This business was ceded under quota-share reinsurance treaties with ceding commissions that were negotiated at arm’s length. We exclude the effects of intercompany reinsurance agreements from the presentation of our segment results, consistent with the way we manage the Company. At December 31, 2022, 33.2% of our invested assets were held at JRG Re.</w:t>
      </w:r>
    </w:p>
    <w:p>
      <w:pPr>
        <w:spacing w:after="0" w:line="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Corporate and Other segment consists of the management and treasury activities of our holding companies, equity compensation for the group, and interest expense associated with our debt.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2022, our operating subsidiaries wrote $1,496.6 million of gross written premiums, allocated by segment and underlying market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Gross Written</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Premiums</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Written Premiums by Segment</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Year Ended</w:t>
            </w:r>
          </w:p>
        </w:tc>
        <w:tc>
          <w:tcPr>
            <w:tcW w:w="15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8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i w:val="1"/>
                <w:iCs w:val="1"/>
                <w:color w:val="auto"/>
                <w:w w:val="89"/>
              </w:rPr>
              <w:t>(in thousands)</w:t>
            </w:r>
          </w:p>
        </w:tc>
        <w:tc>
          <w:tcPr>
            <w:tcW w:w="1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and Surplus Lines segment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61.5 %</w:t>
            </w:r>
          </w:p>
        </w:tc>
        <w:tc>
          <w:tcPr>
            <w:tcW w:w="0" w:type="dxa"/>
            <w:vAlign w:val="bottom"/>
          </w:tcPr>
          <w:p>
            <w:pPr>
              <w:spacing w:after="0"/>
              <w:rPr>
                <w:sz w:val="1"/>
                <w:szCs w:val="1"/>
                <w:color w:val="auto"/>
              </w:rPr>
            </w:pPr>
          </w:p>
        </w:tc>
      </w:tr>
      <w:tr>
        <w:trPr>
          <w:trHeight w:val="229"/>
        </w:trPr>
        <w:tc>
          <w:tcPr>
            <w:tcW w:w="8140" w:type="dxa"/>
            <w:vAlign w:val="bottom"/>
            <w:gridSpan w:val="2"/>
          </w:tcPr>
          <w:p>
            <w:pPr>
              <w:ind w:left="140"/>
              <w:spacing w:after="0"/>
              <w:rPr>
                <w:sz w:val="20"/>
                <w:szCs w:val="20"/>
                <w:color w:val="auto"/>
              </w:rPr>
            </w:pPr>
            <w:r>
              <w:rPr>
                <w:rFonts w:ascii="Arial" w:cs="Arial" w:eastAsia="Arial" w:hAnsi="Arial"/>
                <w:sz w:val="18"/>
                <w:szCs w:val="18"/>
                <w:color w:val="auto"/>
              </w:rPr>
              <w:t>Specialty Admitted Insurance segment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490,208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Casualty Reinsurance segment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85,208</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1,496,580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Gross Written Premiums by Market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140"/>
              <w:spacing w:after="0"/>
              <w:rPr>
                <w:sz w:val="20"/>
                <w:szCs w:val="20"/>
                <w:color w:val="auto"/>
              </w:rPr>
            </w:pPr>
            <w:r>
              <w:rPr>
                <w:rFonts w:ascii="Arial" w:cs="Arial" w:eastAsia="Arial" w:hAnsi="Arial"/>
                <w:sz w:val="18"/>
                <w:szCs w:val="18"/>
                <w:color w:val="auto"/>
              </w:rPr>
              <w:t>Non-admitted markets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1,065,405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71.2 %</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Admitted markets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431,175</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1,496,580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A.M. Best Company (“A.M. Best”) financial strength rating for our group’s regulated insurance and reinsurance subsidiaries is “A-” (Excellent) with a stable outlook. This rating reflects A.M. Best’s evaluation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w:t>
      </w:r>
    </w:p>
    <w:p>
      <w:pPr>
        <w:spacing w:after="0" w:line="68"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In 2002, a group of experienced insurance executives created James River Group, Inc. (“James River Group”). James River Group was listed on the NASDAQ Stock Market (symbol: JRVR) in 2005. James River Group had two insurance company subsidiaries, James River Insurance and Stonewood Insurance. Both of these subsidiaries as well as James River Group remain subsidiaries of ours.</w:t>
      </w:r>
    </w:p>
    <w:p>
      <w:pPr>
        <w:spacing w:after="0" w:line="7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2007, a group of investors acquired James River Group, at which point it ceased trading as a public company. Simultaneously, the investors and management founded and capitalized JRG Re, and we began the process of building our present company.</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December 2014, we completed an initial public offering of our common shares (the “IPO”). Institutional investors sold all of the common shares in the IPO. Neither the Company nor any of its management or other shareholders sold shares in the IPO.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the following competitive strengths:</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Broad Underwriting Expertise. </w:t>
      </w:r>
      <w:r>
        <w:rPr>
          <w:rFonts w:ascii="Arial" w:cs="Arial" w:eastAsia="Arial" w:hAnsi="Arial"/>
          <w:sz w:val="18"/>
          <w:szCs w:val="18"/>
          <w:color w:val="auto"/>
        </w:rPr>
        <w:t>We strive to be innovative in tailoring our products to provide solutions for our distribution partners and insureds, and</w:t>
      </w:r>
      <w:r>
        <w:rPr>
          <w:rFonts w:ascii="Arial" w:cs="Arial" w:eastAsia="Arial" w:hAnsi="Arial"/>
          <w:sz w:val="18"/>
          <w:szCs w:val="18"/>
          <w:i w:val="1"/>
          <w:iCs w:val="1"/>
          <w:color w:val="auto"/>
        </w:rPr>
        <w:t xml:space="preserve"> </w:t>
      </w:r>
      <w:r>
        <w:rPr>
          <w:rFonts w:ascii="Arial" w:cs="Arial" w:eastAsia="Arial" w:hAnsi="Arial"/>
          <w:sz w:val="18"/>
          <w:szCs w:val="18"/>
          <w:color w:val="auto"/>
        </w:rPr>
        <w:t>we are willing to entertain insuring many types of risk classifications. As a result, we believe we are a “go to” market for a wide variety of risks. We are able to structure solutions for our insureds and the wholesale brokers with whom we work because of our deep technical expertise and experience in the niches and specialties we underwrite.</w:t>
      </w:r>
    </w:p>
    <w:p>
      <w:pPr>
        <w:spacing w:after="0" w:line="7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i w:val="1"/>
          <w:iCs w:val="1"/>
          <w:color w:val="auto"/>
        </w:rPr>
        <w:t xml:space="preserve">Focus on Small and Medium-Sized Casualty Niche and Specialty Business. </w:t>
      </w:r>
      <w:r>
        <w:rPr>
          <w:rFonts w:ascii="Arial" w:cs="Arial" w:eastAsia="Arial" w:hAnsi="Arial"/>
          <w:sz w:val="17"/>
          <w:szCs w:val="17"/>
          <w:color w:val="auto"/>
        </w:rPr>
        <w:t>We believe that small and medium-sized casualty accounts, in niche areas</w:t>
      </w:r>
      <w:r>
        <w:rPr>
          <w:rFonts w:ascii="Arial" w:cs="Arial" w:eastAsia="Arial" w:hAnsi="Arial"/>
          <w:sz w:val="17"/>
          <w:szCs w:val="17"/>
          <w:i w:val="1"/>
          <w:iCs w:val="1"/>
          <w:color w:val="auto"/>
        </w:rPr>
        <w:t xml:space="preserve"> </w:t>
      </w:r>
      <w:r>
        <w:rPr>
          <w:rFonts w:ascii="Arial" w:cs="Arial" w:eastAsia="Arial" w:hAnsi="Arial"/>
          <w:sz w:val="17"/>
          <w:szCs w:val="17"/>
          <w:color w:val="auto"/>
        </w:rPr>
        <w:t>where we focus, are consistently among the most attractive subsets of the property-casualty insurance and reinsurance market. We think the unique characteristics of the risks within these markets require each account to be individually underwritten in an efficient manner.</w:t>
      </w:r>
    </w:p>
    <w:p>
      <w:pPr>
        <w:spacing w:after="0" w:line="5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Many carriers have chosen either to reject business that requires individual underwriting or have attempted to automate the underwriting of this highly variable business. Since our inception, we have embraced technology to greatly reduce the cost of individually underwriting these accounts in our Excess and Surplus Lines and Specialty Admitted Insurance segments. We are investing in technologies that may bring additional insights to our underwriters and allow them to refine and improve their risk selection and pricing. We continue to have our underwriters make individual judgments regarding the underwriting and pricing of accounts. Our experience leads us to believe this approach, combining expert judgment and technology designed to provide our underwriters with relevant information and quick processing, is still more likely to produce consistent results over time and across markets. We are successfully increasing rates in our Excess and Surplus Lines segment. Pricing on our E&amp;S renewal book has increased for twenty-four consecutive quarters. The Excess and Surplus Lines and Specialty Admitted segments combined represented 94.3% of our gross written premiums and 88.9% of our net written premiums for the year ended December 31, 2022. We believe that there are compelling opportunities for measured but profitable growth in many sectors of the insurance markets we target.</w:t>
      </w:r>
    </w:p>
    <w:p>
      <w:pPr>
        <w:spacing w:after="0" w:line="7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Emphasis on Lowering Volatility. </w:t>
      </w:r>
      <w:r>
        <w:rPr>
          <w:rFonts w:ascii="Arial" w:cs="Arial" w:eastAsia="Arial" w:hAnsi="Arial"/>
          <w:sz w:val="18"/>
          <w:szCs w:val="18"/>
          <w:color w:val="auto"/>
        </w:rPr>
        <w:t>We earn our profits by taking underwriting and investment risk. We underwrite many classes of insurance and invest</w:t>
      </w:r>
      <w:r>
        <w:rPr>
          <w:rFonts w:ascii="Arial" w:cs="Arial" w:eastAsia="Arial" w:hAnsi="Arial"/>
          <w:sz w:val="18"/>
          <w:szCs w:val="18"/>
          <w:i w:val="1"/>
          <w:iCs w:val="1"/>
          <w:color w:val="auto"/>
        </w:rPr>
        <w:t xml:space="preserve"> </w:t>
      </w:r>
      <w:r>
        <w:rPr>
          <w:rFonts w:ascii="Arial" w:cs="Arial" w:eastAsia="Arial" w:hAnsi="Arial"/>
          <w:sz w:val="18"/>
          <w:szCs w:val="18"/>
          <w:color w:val="auto"/>
        </w:rPr>
        <w:t>in many types of assets. We believe we have minimal exposure to material property risks and did not have meaningful losses from property risks during 2022.</w:t>
      </w:r>
    </w:p>
    <w:p>
      <w:pPr>
        <w:spacing w:after="0" w:line="76"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seek to limit our catastrophic underwriting exposure in all areas, but in particular to property risks and catastrophic events. Our U.S. primary companies purchase reinsurance from unaffiliated reinsurers to reduce our net exposure to any one risk or occurrence. In addition, our policy forms and pricing are subject to regular formal analysis in an effort to ensure we are insuring the types of risks we intend and that we are being appropriately compensated for taking on those risks. We write a small amount of reinsurance. We seek to avoid catastrophic risks and contractually limit the amount of exposure we have on any one risk or occurrence in the reinsurance we write. We prefer to structure our assumed reinsurance treaties as proportional or quota share reinsurance, which is generally less volatile than excess of loss or catastrophe reinsurance. We believe this structure aligns our interests with those of the ceding company.</w:t>
      </w:r>
    </w:p>
    <w:p>
      <w:pPr>
        <w:spacing w:after="0" w:line="8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i w:val="1"/>
          <w:iCs w:val="1"/>
          <w:color w:val="auto"/>
        </w:rPr>
        <w:t xml:space="preserve">Talented Underwriters and Operating Leadership. </w:t>
      </w:r>
      <w:r>
        <w:rPr>
          <w:rFonts w:ascii="Arial" w:cs="Arial" w:eastAsia="Arial" w:hAnsi="Arial"/>
          <w:sz w:val="17"/>
          <w:szCs w:val="17"/>
          <w:color w:val="auto"/>
        </w:rPr>
        <w:t>The managers of our 15 underwriting divisions have an average of over 25 years of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substantial subject matter expertise and deep technical knowledge. They have been successful and profitable underwriters for us in the specialty casualty insurance sector. Our segment presidents all have extensive backgrounds and histories working in management capacities in specialty casualty insurance and reinsurance. Our recently joined Chief Actuary, Chief U.S. Claims Officer and Chief Underwriting Officer also bring extensive backgrounds in operational leadership within specialty casualty insurance and reinsurance, including a deep focus on risk management.</w:t>
      </w:r>
    </w:p>
    <w:p>
      <w:pPr>
        <w:spacing w:after="0" w:line="68"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i w:val="1"/>
          <w:iCs w:val="1"/>
          <w:color w:val="auto"/>
        </w:rPr>
        <w:t xml:space="preserve">Efficient Operating Platform. </w:t>
      </w:r>
      <w:r>
        <w:rPr>
          <w:rFonts w:ascii="Arial" w:cs="Arial" w:eastAsia="Arial" w:hAnsi="Arial"/>
          <w:sz w:val="17"/>
          <w:szCs w:val="17"/>
          <w:color w:val="auto"/>
        </w:rPr>
        <w:t>We have what we believe to be an extremely attractive expense ratio, as we carefully manage personnel and all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throughout our group while growing our business. For the year ended December 31, 2022, our expense ratio was 25.0%.</w:t>
      </w:r>
    </w:p>
    <w:p>
      <w:pPr>
        <w:spacing w:after="0" w:line="3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Robust Technology and Data Capture. </w:t>
      </w:r>
      <w:r>
        <w:rPr>
          <w:rFonts w:ascii="Arial" w:cs="Arial" w:eastAsia="Arial" w:hAnsi="Arial"/>
          <w:sz w:val="18"/>
          <w:szCs w:val="18"/>
          <w:color w:val="auto"/>
        </w:rPr>
        <w:t>We seek to ground our underwriting decisions in reliable historical data and technical evaluation of risks. Our</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utilize intuitive systems and differentiated technologies. We have implemented processes to capture extensive data from our book of business, before, during and after the underwriting analysis and decision. We use the data we collect to inform and, we believe, improve our judgment about similar risks as we refine our underwriting criteria. We use the data we collect in regular formal review processes for each of our lines of business and significant reinsurance treaties.</w:t>
      </w:r>
    </w:p>
    <w:p>
      <w:pPr>
        <w:spacing w:after="0" w:line="80" w:lineRule="exact"/>
        <w:rPr>
          <w:sz w:val="20"/>
          <w:szCs w:val="20"/>
          <w:color w:val="auto"/>
        </w:rPr>
      </w:pPr>
    </w:p>
    <w:p>
      <w:pPr>
        <w:jc w:val="both"/>
        <w:ind w:right="220" w:firstLine="324"/>
        <w:spacing w:after="0" w:line="279" w:lineRule="auto"/>
        <w:rPr>
          <w:sz w:val="20"/>
          <w:szCs w:val="20"/>
          <w:color w:val="auto"/>
        </w:rPr>
      </w:pPr>
      <w:r>
        <w:rPr>
          <w:rFonts w:ascii="Arial" w:cs="Arial" w:eastAsia="Arial" w:hAnsi="Arial"/>
          <w:sz w:val="17"/>
          <w:szCs w:val="17"/>
          <w:i w:val="1"/>
          <w:iCs w:val="1"/>
          <w:color w:val="auto"/>
        </w:rPr>
        <w:t xml:space="preserve">Active Claims Management. </w:t>
      </w:r>
      <w:r>
        <w:rPr>
          <w:rFonts w:ascii="Arial" w:cs="Arial" w:eastAsia="Arial" w:hAnsi="Arial"/>
          <w:sz w:val="17"/>
          <w:szCs w:val="17"/>
          <w:color w:val="auto"/>
        </w:rPr>
        <w:t>Our U.S.-based primary insurance companies actively manage claims. We attempt to investigate thoroughly and settle</w:t>
      </w:r>
      <w:r>
        <w:rPr>
          <w:rFonts w:ascii="Arial" w:cs="Arial" w:eastAsia="Arial" w:hAnsi="Arial"/>
          <w:sz w:val="17"/>
          <w:szCs w:val="17"/>
          <w:i w:val="1"/>
          <w:iCs w:val="1"/>
          <w:color w:val="auto"/>
        </w:rPr>
        <w:t xml:space="preserve"> </w:t>
      </w:r>
      <w:r>
        <w:rPr>
          <w:rFonts w:ascii="Arial" w:cs="Arial" w:eastAsia="Arial" w:hAnsi="Arial"/>
          <w:sz w:val="17"/>
          <w:szCs w:val="17"/>
          <w:color w:val="auto"/>
        </w:rPr>
        <w:t>promptly all covered claims, which we generally accomplish through direct contact with the insured and other affected parties. We have historically been able to close approximately 95% of claims from a particular policy year within the five subsequent years, and as of December 31, 2022, our reserves for claims incurred but not reported (“IBNR”) were 66.6% of our total net loss reserves.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i w:val="1"/>
          <w:iCs w:val="1"/>
          <w:color w:val="auto"/>
        </w:rPr>
        <w:t xml:space="preserve">Meaningful Risk Adjusted Investment Returns. </w:t>
      </w:r>
      <w:r>
        <w:rPr>
          <w:rFonts w:ascii="Arial" w:cs="Arial" w:eastAsia="Arial" w:hAnsi="Arial"/>
          <w:sz w:val="16"/>
          <w:szCs w:val="16"/>
          <w:color w:val="auto"/>
        </w:rPr>
        <w:t>We seek to generate meaningful contributions to company profitability from our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We attempt to follow a strategy that emphasizes the preservation of our invested assets, provides adequate liquidity for the prompt payment of claims and produces attractive results for our shareholders. Within that context, we seek to improve risk-adjusted returns in our investment portfolio by allocating a portion of our portfolio to investments where we take measured risks based upon detailed knowledge of certain niche asset classes. Investment grade fixed maturity securities make up the majority of our investment portfolio, and we are comfortable allocating a portion of our assets to non-traditional investments. We consider non-traditional investments to include investments that are (1) unrated bond or fixed income securities, (2) non-listed equities or</w:t>
      </w:r>
    </w:p>
    <w:p>
      <w:pPr>
        <w:spacing w:after="0" w:line="4" w:lineRule="exact"/>
        <w:rPr>
          <w:sz w:val="20"/>
          <w:szCs w:val="20"/>
          <w:color w:val="auto"/>
        </w:rPr>
      </w:pPr>
    </w:p>
    <w:p>
      <w:pPr>
        <w:ind w:firstLine="8"/>
        <w:spacing w:after="0" w:line="269"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investments that generally have less liquidity than rated bond or fixed income securities or listed equities. Non-traditional investments represented 7.8% of our total cash and invested assets (excluding restricted cash equivalents) at December 31, 2022, consisting of syndicated bank loans (6.6%) and other invested assets (1.2%) that include interests in limited liability companies that invest in renewable energy opportunities, limited partnerships that invest in debt or equity securities, notes receivable for renewable energy projects, and a private debt security. While we are willing to make investments in non-traditional types of investments, we seek to avoid asset classes and investments that we do not understand. The weighted average credit rating of our portfolio of fixed maturity securities, bank loans and preferred stocks as of December 31, 2022 was “A”. At December 31, 2022, the average duration of our total invested assets and cash, excluding restricted cash, was 4.1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believe our approach to our business will help us achieve our goal of generating compelling returns on tangible equity while limiting volatility in our financial results. This approach involves the following:</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Generate Consistent Underwriting Profits. </w:t>
      </w:r>
      <w:r>
        <w:rPr>
          <w:rFonts w:ascii="Arial" w:cs="Arial" w:eastAsia="Arial" w:hAnsi="Arial"/>
          <w:sz w:val="18"/>
          <w:szCs w:val="18"/>
          <w:color w:val="auto"/>
        </w:rPr>
        <w:t>We seek to make underwriting profits each and every year. We attempt to find ways to grow in markets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to be profitable, but are less concerned about growth than maintaining profitability in our underwriting activities (measured without regard to investment income). We are willing to reduce the premiums we write when we cannot achieve the pricing and contract terms we believe are necessary to meet our financial goals.</w:t>
      </w:r>
    </w:p>
    <w:p>
      <w:pPr>
        <w:spacing w:after="0" w:line="7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i w:val="1"/>
          <w:iCs w:val="1"/>
          <w:color w:val="auto"/>
        </w:rPr>
        <w:t xml:space="preserve">Maintain a Strong Balance Sheet. </w:t>
      </w:r>
      <w:r>
        <w:rPr>
          <w:rFonts w:ascii="Arial" w:cs="Arial" w:eastAsia="Arial" w:hAnsi="Arial"/>
          <w:sz w:val="16"/>
          <w:szCs w:val="16"/>
          <w:color w:val="auto"/>
        </w:rPr>
        <w:t>Balance sheet integrity is key to our long-term success. In order to maintain balance sheet integrity, we seek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amount of future obligations, especially reserves for losses and loss adjustment expenses, in a consistent and appropriate fashion.</w:t>
      </w:r>
    </w:p>
    <w:p>
      <w:pPr>
        <w:spacing w:after="0" w:line="16"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i w:val="1"/>
          <w:iCs w:val="1"/>
          <w:color w:val="auto"/>
        </w:rPr>
        <w:t xml:space="preserve">Respond Rapidly to Market Opportunities and Challenges. </w:t>
      </w:r>
      <w:r>
        <w:rPr>
          <w:rFonts w:ascii="Arial" w:cs="Arial" w:eastAsia="Arial" w:hAnsi="Arial"/>
          <w:sz w:val="17"/>
          <w:szCs w:val="17"/>
          <w:color w:val="auto"/>
        </w:rPr>
        <w:t>For the year ended December 31, 2022, gross written premiums for the Excess and</w:t>
      </w:r>
      <w:r>
        <w:rPr>
          <w:rFonts w:ascii="Arial" w:cs="Arial" w:eastAsia="Arial" w:hAnsi="Arial"/>
          <w:sz w:val="17"/>
          <w:szCs w:val="17"/>
          <w:i w:val="1"/>
          <w:iCs w:val="1"/>
          <w:color w:val="auto"/>
        </w:rPr>
        <w:t xml:space="preserve"> </w:t>
      </w:r>
      <w:r>
        <w:rPr>
          <w:rFonts w:ascii="Arial" w:cs="Arial" w:eastAsia="Arial" w:hAnsi="Arial"/>
          <w:sz w:val="17"/>
          <w:szCs w:val="17"/>
          <w:color w:val="auto"/>
        </w:rPr>
        <w:t>Surplus Lines segment increased by 10.5% over the same period in 2021. We seek to grow our business by taking advantage of opportunities in markets in which we believe we can use our expertise to generate consistent underwriting profits. We seek to measure rates and react quickly to changes in the rates or terms the market will accept. In this favorable pricing environment, we have taken steps to grow and are increasing gross written premiums across most underwriting divisions in this segment. In 2022, our growth was primarily focused in our Excess Casualty, General Casualty, Manufacturers &amp; Contractors, Excess Property, Sports and Entertainment and Small Business divisions within our Excess and Surplus Lines segment. This very specific evaluation of each risk or class of risks is a hallmark of our underwriting.</w:t>
      </w:r>
    </w:p>
    <w:p>
      <w:pPr>
        <w:spacing w:after="0" w:line="6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When market conditions have been challenging, or when actual experience has not been as favorable as we anticipated, or when the size or risk profile of certain insureds or lines of business change, we have tried to act quickly to evaluate our situation and to make course corrections in order to protect our profits and preserve tangible equity. Our actions have included reducing our writings when margins tightened and exiting lines or classes of business when we believed the risk of continuing in a line outweighed the potential rewards from underwriting. We do not hesitate to increase loss estimates when we determine that it is appropriate.</w:t>
      </w:r>
    </w:p>
    <w:p>
      <w:pPr>
        <w:spacing w:after="0" w:line="8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Focus on Specialty Insurance Markets and Fee Income. </w:t>
      </w:r>
      <w:r>
        <w:rPr>
          <w:rFonts w:ascii="Arial" w:cs="Arial" w:eastAsia="Arial" w:hAnsi="Arial"/>
          <w:sz w:val="18"/>
          <w:szCs w:val="18"/>
          <w:color w:val="auto"/>
        </w:rPr>
        <w:t>We focus on specialty markets in which our underwriters have particular expertise and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have fewer competitors than in standard markets, and greater flexibility to price and structure our products in accordance with our underwriting strategy. We believe underwriting profitability can best be achieved through restricting our risk taking to niches where, because of our expertise, we can distinguish ourselves in the underwriting and pricing process. We also believe that we can achieve attractive returns on capital through the growth of our fronting business, as we carefully manage credit and collateral to generate attractive fee income, while generally utilizing less capital than in our highly underwritten businesses.</w:t>
      </w:r>
    </w:p>
    <w:p>
      <w:pPr>
        <w:spacing w:after="0" w:line="84"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 xml:space="preserve">Use Timely and Accurate Data. </w:t>
      </w:r>
      <w:r>
        <w:rPr>
          <w:rFonts w:ascii="Arial" w:cs="Arial" w:eastAsia="Arial" w:hAnsi="Arial"/>
          <w:sz w:val="18"/>
          <w:szCs w:val="18"/>
          <w:color w:val="auto"/>
        </w:rPr>
        <w:t>We design our internal processing and data collection systems to provide our management team with accurate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information in real-time. We collect premium, commission and claims data, including detailed information regarding policy price, terms, conditions and the nature of the insured’s business. This data allows us to analyze trends in our business, including results by individual agent or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i w:val="1"/>
          <w:iCs w:val="1"/>
          <w:color w:val="auto"/>
        </w:rPr>
        <w:t xml:space="preserve">Earn a Meaningful Contribution from Investments. </w:t>
      </w:r>
      <w:r>
        <w:rPr>
          <w:rFonts w:ascii="Arial" w:cs="Arial" w:eastAsia="Arial" w:hAnsi="Arial"/>
          <w:sz w:val="18"/>
          <w:szCs w:val="18"/>
          <w:color w:val="auto"/>
        </w:rPr>
        <w:t>We seek to earn a meaningful contribution to our overall returns from our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each year. We attempt to balance the preservation of assets, liquidity needs and mitigation of volatility with returns across our portfolio. We believe our diversified portfolio and ability to source investment opportunities positions us well to generate returns while balancing the importance of maintaining a strong balance sheet.</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Manage Capital Actively. </w:t>
      </w:r>
      <w:r>
        <w:rPr>
          <w:rFonts w:ascii="Arial" w:cs="Arial" w:eastAsia="Arial" w:hAnsi="Arial"/>
          <w:sz w:val="17"/>
          <w:szCs w:val="17"/>
          <w:color w:val="auto"/>
        </w:rPr>
        <w:t>We invest and manage our capital with a goal of consistently increasing tangible equity for our shareholders and generating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attractive returns on tangible equity. We intend to expand our premium volume and capital base to take advantage of opportunities to earn an underwriting profit or to reduce our premium volume and capital base if attractive underwriting opportunities are not available. We expect to finance our future operations with a combination of debt and equity and do not intend to raise or retain more capital than we believe we can profitably deploy in a reasonable time frame or that is reasonably necessary to bolster the capital positions of our regulated insurance entities. We may not, however, always be able to raise capital when needed. Our ratings from A.M. Best are very important to us, as are our relationships with our regulators, and maintaining them in good order is a principal consideration in our decisions regarding capital management.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Structure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chart below displays our corporate structure as of December 31, 2022 as it pertains to our holding and operating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5863590" cy="311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and Surplus Lines Segment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underwrite non-admitted E&amp;S business through our subsidiaries, James River Insurance and James River Casualty (together, “James River,” which comprises our Excess and Surplus Lines segment), from offices in Richmond, Virginia; Scottsdale, Arizona; and Atlanta, Georgia. The Excess and Surplus Lines segment is our largest segment, representing 61.5% of consolidated gross written premiums for the year ended December 31, 2022. James River has been engaged in the E&amp;S insurance market for 20 years.</w:t>
      </w:r>
    </w:p>
    <w:p>
      <w:pPr>
        <w:spacing w:after="0" w:line="7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E&amp;S industry focuses on providing insurance coverage to policyholders that may be unable to purchase insurance from standard lines insurers typically due to perceived risk related to their operations or risk exposures. Our Excess and Surplus Lines segment underwrites property-casualty insurance in all states and the District of Columbia. We utilize a network of authorized wholesale brokers and general agents throughout the United States. Gross written premiums for our Excess and Surplus Lines segment grew by 10.5% and 19.2% in 2022 and 2021, respectively. Net written premiums grew by</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17.5% and 11.3% in 2022 and 2021, respectively. In 2020, our Excess and Surplus Lines segment’s gross written premiums shrank by 24.2% relative to 2019 due to the early cancellation in late 2019 of a large commercial auto account. The Excess and Surplus Lines segment produced a cumulative combined ratio of 94.1% from 2013 through 2022.</w:t>
      </w:r>
    </w:p>
    <w:p>
      <w:pPr>
        <w:spacing w:after="0" w:line="8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Companies that underwrite on an E&amp;S lines basis operate under a different regulatory structure than standard market carriers. E&amp;S lines carriers are generally permitted to craft the terms of the insurance contract to suit the particular risk they are</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assuming. E&amp;S lines carriers are, for the most part, free of rate and form regulation. In contrast, standard market carriers are generally required to use approved insurance forms and to charge rates that have been authorized by or filed with state insurance departments. However, as E&amp;S carriers, our insurance subsidiaries in the Excess and Surplus Lines segment are not backed by any state’s guarantee fund, and in most states these subsidiaries may only write coverage for an insured after they have been declined coverage by the standard market.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Excess and Surplus Lines segment underwrites coverage for a wide range of commercial businesses and does not write personal lines insurance.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Applications for insurance are presented to us by authorized wholesale brokers who are engaged by retail agents to assist in coverage procurement.</w:t>
      </w:r>
    </w:p>
    <w:p>
      <w:pPr>
        <w:spacing w:after="0" w:line="11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Claims for business written and retained by the Excess and Surplus Lines segment are managed by our internal claims department although we use independent adjusters for inspection and payment of certain claims.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chart below identifies the Excess and Surplus Lines segment’s divisions and sets forth the amount of gross written premiums by each division.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right="540"/>
              <w:spacing w:after="0" w:line="153" w:lineRule="exact"/>
              <w:rPr>
                <w:sz w:val="20"/>
                <w:szCs w:val="20"/>
                <w:color w:val="auto"/>
              </w:rPr>
            </w:pPr>
            <w:r>
              <w:rPr>
                <w:rFonts w:ascii="Arial" w:cs="Arial" w:eastAsia="Arial" w:hAnsi="Arial"/>
                <w:sz w:val="14"/>
                <w:szCs w:val="14"/>
                <w:b w:val="1"/>
                <w:bCs w:val="1"/>
                <w:color w:val="auto"/>
                <w:w w:val="93"/>
              </w:rPr>
              <w:t>Gross Written Premiums</w:t>
            </w: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Percentage</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E&amp;S Division</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5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of Total</w:t>
            </w:r>
          </w:p>
        </w:tc>
        <w:tc>
          <w:tcPr>
            <w:tcW w:w="280" w:type="dxa"/>
            <w:vAlign w:val="bottom"/>
          </w:tcPr>
          <w:p>
            <w:pPr>
              <w:spacing w:after="0"/>
              <w:rPr>
                <w:sz w:val="12"/>
                <w:szCs w:val="12"/>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center"/>
              <w:ind w:left="374"/>
              <w:spacing w:after="0"/>
              <w:rPr>
                <w:sz w:val="20"/>
                <w:szCs w:val="20"/>
                <w:color w:val="auto"/>
              </w:rPr>
            </w:pPr>
            <w:r>
              <w:rPr>
                <w:rFonts w:ascii="Arial" w:cs="Arial" w:eastAsia="Arial" w:hAnsi="Arial"/>
                <w:sz w:val="14"/>
                <w:szCs w:val="14"/>
                <w:i w:val="1"/>
                <w:iCs w:val="1"/>
                <w:color w:val="auto"/>
                <w:w w:val="92"/>
              </w:rPr>
              <w:t>(in thousands)</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66,452</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General Casualty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173,574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140,608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125,433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54,127</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Manufacturers and Contractors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79,160</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Excess Property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52,104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33,942</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Commercial Auto</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37,974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322,126</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Small Business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Allied Health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34,156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30,450</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Environmental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10,499</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Sports and Entertainment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color w:val="auto"/>
              </w:rPr>
              <w:t>Professional Liability</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8,936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Medical Professionals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921,164</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833,657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656,538</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7"/>
          <w:szCs w:val="17"/>
          <w:color w:val="auto"/>
        </w:rPr>
        <w:t>Excess Casualty underwrites excess liability coverage for a variety of risk classes including manufacturers, contractors, distributors and transportation risks. Typically, we provide between $1.0 million and $10.0 million per occurrence limits above a $1.0 million attachment point. Of this amount, we retain up to $2.0 million of exposure per occurrence and cede the balance to our reinsurers. We write excess liability coverage above our own primary policies, as well as policies issued by third parties. When we write above others’ policies, we are selective regarding underlying carriers, focusing on the nature of the business, the financial strength of the carrier, their pricing and their claims handling capabilities.</w:t>
      </w:r>
    </w:p>
    <w:p>
      <w:pPr>
        <w:spacing w:after="0" w:line="68"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General Casualty writes primary liability coverage on businesses exposed to premises liability type claims including real estate, mercantile and retail operations, apartments and condominiums, hotels and motels, restaurants, bars, taverns and schools. Typically, we write $1.0 million per occurrence in limits, and we retain the entire $1.0 million limit.</w:t>
      </w:r>
    </w:p>
    <w:p>
      <w:pPr>
        <w:spacing w:after="0" w:line="7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Manufacturers and Contractors writes primary general liability coverage for a variety of classes, including manufacturers of consumer, commercial, and industrial products and general and trade contractors. Typically, we issue a $1.0 million per occurrence limit in this division, and we retain the entire $1.0 million limit.</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Excess Property writes property risks providing limits in various layers above the primary coverage layer for a variety of classes, including apartments, condominiums, resorts, shopping centers, offices and general commercial properties. Typical per risk limits offered range from $5.0 million to $30.0 million on a gross basis, and a maximum of $5.0 million on a net of reinsurance basis. The average net per risk limit is approximately $860,000 as of December 31, 2022. We retain up to the first $5.0 million in any one event or catastrophe.</w:t>
      </w:r>
    </w:p>
    <w:p>
      <w:pPr>
        <w:spacing w:after="0" w:line="7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Energy writes risks engaged in the business of energy production, distribution or mining, and the manufacture of equipment used in the energy business segment. Examples of classes underwritten by this division include oil and gas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exploration companies, oil or gas well drillers, oilfield consultants, oil or gas lease operators, oil well servicing companies, oil or gas pipeline construction companies, fireworks manufacturing, mining-related risks, utilities, and utility contractors. We provide policy limits up to $11.0 million, with typical limits between $1.0 million and $5.0 million per occurrence, retaining up to $1.0 million in limit net on either a primary or excess basis.</w:t>
      </w:r>
    </w:p>
    <w:p>
      <w:pPr>
        <w:spacing w:after="0" w:line="5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Commercial Auto underwrites primarily the hired and non-owned auto liability exposures for a variety of industry segments including package and food delivery services. On December 31, 2019, we terminated coverage for our largest commercial auto insured (Rasier) which comprised $374.2 million of gross written premiums in 2019, representing 40.6% of the Excess and Surplus Lines segment’s gross written premiums and 25.4% of our consolidated gross written premiums for the year ended December 31, 2019. Limits assumed are retained by the Company, in some cases subject to self-insured retentions of the insureds.</w:t>
      </w:r>
    </w:p>
    <w:p>
      <w:pPr>
        <w:spacing w:after="0" w:line="80"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Small Business includes both brokerage and delegated authority contract binding focusing on accounts with annual primary liability insurance premiums of less than $10,000. For these smaller risks, we limit flexibility in coverage options and pricing to facilitate quick turnaround and efficient processing. We generally write $1.0 million per occurrence limits and retain the entire amount.</w:t>
      </w:r>
    </w:p>
    <w:p>
      <w:pPr>
        <w:spacing w:after="0" w:line="7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Allied Health underwrites casualty insurance for allied health and social service types of risks, such as long-term care facilities, independent living apartments, group homes, half-way houses and shelters, drug rehabilitation, home health care and medical staffing enterprises. We provide policy limits up to $11.0 million, with typical limits between $1.0 million and $5.0 million per occurrence, retaining up to $1.0 million in limit net. Approximately 88% of the premiums written by our Allied Health division from inception through 2022 have been written on a claims-made and reported form. We believe this policy form significantly reduces our long-term exposure in this complicated class of business.</w:t>
      </w:r>
    </w:p>
    <w:p>
      <w:pPr>
        <w:spacing w:after="0" w:line="6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Life Sciences underwrites general liability, products liability and/or professional liability coverage for manufacturers, distributors and developers of biologics (antibodies &amp; vaccines used for the prevention of disease), nutraceuticals (health, nutrition and herbal supplements), human clinical trials, pharmaceuticals (mainly generics and over-the-counters) and medical devices. This division also writes a book of various types of business engaged in the medical and adult-use cannabis industry. We provide policy limits up to $11.0 million (up to $10.0 million on cannabis), with typical limits between $1.0 million and $5.0 million per occurrence, retaining up to $1.0 million in limit net.</w:t>
      </w:r>
    </w:p>
    <w:p>
      <w:pPr>
        <w:spacing w:after="0" w:line="8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Environmental underwrites contractors’ pollution liability, products pollution liability, site specific pollution liability and consultant’s professional liability coverage on a stand-alone basis and in conjunction with the general liability coverage. Typically, we write environmental coverage for contractors who are not engaged in environmental remediation work on an occurrence form. We provide policy limits up to $11.0 million, with typical limits between $1.0 million and $5.0 million per occurrence, retaining up to $1.0 million in limit net on a primary or excess basis.</w:t>
      </w:r>
    </w:p>
    <w:p>
      <w:pPr>
        <w:spacing w:after="0" w:line="63"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Sports and Entertainment underwrites primary liability coverage for sports, recreation and entertainment related risks, including special events, family entertainment centers, tourist attractions, health clubs, sports complexes and other sport and event venues. Typical limits offered are up to $1.0 million per occurrence, and we retain the entire $1.0 million limit.</w:t>
      </w:r>
    </w:p>
    <w:p>
      <w:pPr>
        <w:spacing w:after="0" w:line="7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Professional Liability writes professional liability coverage for accountants, architects, engineers, lawyers and certain other professions. We provide policy limits up to $11.0 million, with typical limits between $1.0 million and $5.0 million per occurrence, retaining up to $1.0 million in limit net. All of our professional liability coverage is written on a claims-made and reported basis.</w:t>
      </w:r>
    </w:p>
    <w:p>
      <w:pPr>
        <w:spacing w:after="0" w:line="7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Medical Professionals underwrites non-standard physicians’ professional liability for individuals or small groups. Our healthcare business is a mix of both surgical and non-surgical classes. We typically provide between $1.0 million and $3.0 million per occurrence limits and retain up to $1.0 million of exposure per occurrence and cede the balance to our reinsurers. All of the policies written by this division have been issued on a claims-made and reported basis.</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table identifies the top producing states by amount of gross written premium for our Excess and Surplus Lines segment for the year ended December 31, 2022 and the amount of gross written premium produced by such states for the years ended December 31, 2021, 2020, 2019 and 2018. The table also shows the percentage of each states’ gross written premium to total gross written premium in the Excess and Surplus Lines segment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gridSpan w:val="3"/>
          </w:tcPr>
          <w:p>
            <w:pPr>
              <w:jc w:val="right"/>
              <w:ind w:right="91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3"/>
          </w:tcPr>
          <w:p>
            <w:pPr>
              <w:jc w:val="right"/>
              <w:ind w:right="93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33"/>
              <w:spacing w:after="0" w:line="129"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840" w:type="dxa"/>
            <w:vAlign w:val="bottom"/>
          </w:tcPr>
          <w:p>
            <w:pPr>
              <w:jc w:val="center"/>
              <w:ind w:right="13"/>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860" w:type="dxa"/>
            <w:vAlign w:val="bottom"/>
          </w:tcPr>
          <w:p>
            <w:pPr>
              <w:jc w:val="center"/>
              <w:ind w:right="53"/>
              <w:spacing w:after="0" w:line="129"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920" w:type="dxa"/>
            <w:vAlign w:val="bottom"/>
          </w:tcPr>
          <w:p>
            <w:pPr>
              <w:jc w:val="center"/>
              <w:ind w:right="73"/>
              <w:spacing w:after="0" w:line="129"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53"/>
              <w:spacing w:after="0" w:line="12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60" w:type="dxa"/>
            <w:vAlign w:val="bottom"/>
          </w:tcPr>
          <w:p>
            <w:pPr>
              <w:spacing w:after="0"/>
              <w:rPr>
                <w:sz w:val="12"/>
                <w:szCs w:val="12"/>
                <w:color w:val="auto"/>
              </w:rPr>
            </w:pPr>
          </w:p>
        </w:tc>
        <w:tc>
          <w:tcPr>
            <w:tcW w:w="8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9"/>
              </w:rPr>
              <w:t>Written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rPr>
              <w:t>Written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9"/>
              </w:rPr>
              <w:t>Written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Written</w:t>
            </w:r>
          </w:p>
        </w:tc>
        <w:tc>
          <w:tcPr>
            <w:tcW w:w="160" w:type="dxa"/>
            <w:vAlign w:val="bottom"/>
          </w:tcPr>
          <w:p>
            <w:pPr>
              <w:spacing w:after="0"/>
              <w:rPr>
                <w:sz w:val="12"/>
                <w:szCs w:val="12"/>
                <w:color w:val="auto"/>
              </w:rPr>
            </w:pPr>
          </w:p>
        </w:tc>
        <w:tc>
          <w:tcPr>
            <w:tcW w:w="9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rPr>
              <w:t>Written</w:t>
            </w:r>
          </w:p>
        </w:tc>
        <w:tc>
          <w:tcPr>
            <w:tcW w:w="0" w:type="dxa"/>
            <w:vAlign w:val="bottom"/>
          </w:tcPr>
          <w:p>
            <w:pPr>
              <w:spacing w:after="0"/>
              <w:rPr>
                <w:sz w:val="1"/>
                <w:szCs w:val="1"/>
                <w:color w:val="auto"/>
              </w:rPr>
            </w:pPr>
          </w:p>
        </w:tc>
      </w:tr>
      <w:tr>
        <w:trPr>
          <w:trHeight w:val="196"/>
        </w:trPr>
        <w:tc>
          <w:tcPr>
            <w:tcW w:w="1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Premiums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84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Premiums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8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Premiums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Premiums</w:t>
            </w:r>
          </w:p>
        </w:tc>
        <w:tc>
          <w:tcPr>
            <w:tcW w:w="160" w:type="dxa"/>
            <w:vAlign w:val="bottom"/>
          </w:tcPr>
          <w:p>
            <w:pPr>
              <w:spacing w:after="0"/>
              <w:rPr>
                <w:sz w:val="17"/>
                <w:szCs w:val="17"/>
                <w:color w:val="auto"/>
              </w:rPr>
            </w:pPr>
          </w:p>
        </w:tc>
        <w:tc>
          <w:tcPr>
            <w:tcW w:w="90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Premiums</w:t>
            </w:r>
          </w:p>
        </w:tc>
        <w:tc>
          <w:tcPr>
            <w:tcW w:w="0" w:type="dxa"/>
            <w:vAlign w:val="bottom"/>
          </w:tcPr>
          <w:p>
            <w:pPr>
              <w:spacing w:after="0"/>
              <w:rPr>
                <w:sz w:val="1"/>
                <w:szCs w:val="1"/>
                <w:color w:val="auto"/>
              </w:rPr>
            </w:pPr>
          </w:p>
        </w:tc>
      </w:tr>
      <w:tr>
        <w:trPr>
          <w:trHeight w:val="229"/>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161,679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17.5 %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47,918</w:t>
            </w:r>
          </w:p>
        </w:tc>
        <w:tc>
          <w:tcPr>
            <w:tcW w:w="0" w:type="dxa"/>
            <w:vAlign w:val="bottom"/>
          </w:tcPr>
          <w:p>
            <w:pPr>
              <w:spacing w:after="0"/>
              <w:rPr>
                <w:sz w:val="1"/>
                <w:szCs w:val="1"/>
                <w:color w:val="auto"/>
              </w:rPr>
            </w:pPr>
          </w:p>
        </w:tc>
      </w:tr>
      <w:tr>
        <w:trPr>
          <w:trHeight w:val="230"/>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157,519</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17.1 %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147,677</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17.7 %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136,532</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19.5 %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213,729</w:t>
            </w:r>
          </w:p>
        </w:tc>
        <w:tc>
          <w:tcPr>
            <w:tcW w:w="0" w:type="dxa"/>
            <w:vAlign w:val="bottom"/>
          </w:tcPr>
          <w:p>
            <w:pPr>
              <w:spacing w:after="0"/>
              <w:rPr>
                <w:sz w:val="1"/>
                <w:szCs w:val="1"/>
                <w:color w:val="auto"/>
              </w:rPr>
            </w:pPr>
          </w:p>
        </w:tc>
      </w:tr>
      <w:tr>
        <w:trPr>
          <w:trHeight w:val="22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146,737</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15.9 %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15.4 %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11.4 %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w:t>
            </w:r>
          </w:p>
        </w:tc>
        <w:tc>
          <w:tcPr>
            <w:tcW w:w="0" w:type="dxa"/>
            <w:vAlign w:val="bottom"/>
          </w:tcPr>
          <w:p>
            <w:pPr>
              <w:spacing w:after="0"/>
              <w:rPr>
                <w:sz w:val="1"/>
                <w:szCs w:val="1"/>
                <w:color w:val="auto"/>
              </w:rPr>
            </w:pPr>
          </w:p>
        </w:tc>
      </w:tr>
      <w:tr>
        <w:trPr>
          <w:trHeight w:val="230"/>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112,189</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12.2 %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101,820</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12.2 %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108,778</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15.6 %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54,417</w:t>
            </w:r>
          </w:p>
        </w:tc>
        <w:tc>
          <w:tcPr>
            <w:tcW w:w="0" w:type="dxa"/>
            <w:vAlign w:val="bottom"/>
          </w:tcPr>
          <w:p>
            <w:pPr>
              <w:spacing w:after="0"/>
              <w:rPr>
                <w:sz w:val="1"/>
                <w:szCs w:val="1"/>
                <w:color w:val="auto"/>
              </w:rPr>
            </w:pPr>
          </w:p>
        </w:tc>
      </w:tr>
      <w:tr>
        <w:trPr>
          <w:trHeight w:val="22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23,383</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2.5 %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22,131</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17,621</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12,147</w:t>
            </w: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20,972</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2.3 %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16,544</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12,782</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2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0" w:type="dxa"/>
            <w:vAlign w:val="bottom"/>
          </w:tcPr>
          <w:p>
            <w:pPr>
              <w:spacing w:after="0"/>
              <w:rPr>
                <w:sz w:val="1"/>
                <w:szCs w:val="1"/>
                <w:color w:val="auto"/>
              </w:rPr>
            </w:pPr>
          </w:p>
        </w:tc>
      </w:tr>
      <w:tr>
        <w:trPr>
          <w:trHeight w:val="230"/>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17,526</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19,010</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16,243</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20,893</w:t>
            </w:r>
          </w:p>
        </w:tc>
        <w:tc>
          <w:tcPr>
            <w:tcW w:w="0" w:type="dxa"/>
            <w:vAlign w:val="bottom"/>
          </w:tcPr>
          <w:p>
            <w:pPr>
              <w:spacing w:after="0"/>
              <w:rPr>
                <w:sz w:val="1"/>
                <w:szCs w:val="1"/>
                <w:color w:val="auto"/>
              </w:rPr>
            </w:pPr>
          </w:p>
        </w:tc>
      </w:tr>
      <w:tr>
        <w:trPr>
          <w:trHeight w:val="22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0" w:type="dxa"/>
            <w:vAlign w:val="bottom"/>
          </w:tcPr>
          <w:p>
            <w:pPr>
              <w:spacing w:after="0"/>
              <w:rPr>
                <w:sz w:val="1"/>
                <w:szCs w:val="1"/>
                <w:color w:val="auto"/>
              </w:rPr>
            </w:pPr>
          </w:p>
        </w:tc>
      </w:tr>
      <w:tr>
        <w:trPr>
          <w:trHeight w:val="230"/>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Massachusetts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13,458</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16,682</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13,762</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19,758</w:t>
            </w:r>
          </w:p>
        </w:tc>
        <w:tc>
          <w:tcPr>
            <w:tcW w:w="0" w:type="dxa"/>
            <w:vAlign w:val="bottom"/>
          </w:tcPr>
          <w:p>
            <w:pPr>
              <w:spacing w:after="0"/>
              <w:rPr>
                <w:sz w:val="1"/>
                <w:szCs w:val="1"/>
                <w:color w:val="auto"/>
              </w:rPr>
            </w:pPr>
          </w:p>
        </w:tc>
      </w:tr>
      <w:tr>
        <w:trPr>
          <w:trHeight w:val="22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Virginia</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11,125</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8,663</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8,932</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15,532</w:t>
            </w: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13,043</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All other states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151,076</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16.4 %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133,737</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16.1 %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120,428</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17.2 %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165,248</w:t>
            </w:r>
          </w:p>
        </w:tc>
        <w:tc>
          <w:tcPr>
            <w:tcW w:w="0" w:type="dxa"/>
            <w:vAlign w:val="bottom"/>
          </w:tcPr>
          <w:p>
            <w:pPr>
              <w:spacing w:after="0"/>
              <w:rPr>
                <w:sz w:val="1"/>
                <w:szCs w:val="1"/>
                <w:color w:val="auto"/>
              </w:rPr>
            </w:pPr>
          </w:p>
        </w:tc>
      </w:tr>
      <w:tr>
        <w:trPr>
          <w:trHeight w:val="248"/>
        </w:trPr>
        <w:tc>
          <w:tcPr>
            <w:tcW w:w="1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921,164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833,657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699,143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656,538</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Distribution</w:t>
      </w:r>
    </w:p>
    <w:p>
      <w:pPr>
        <w:spacing w:after="0" w:line="11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Excess and Surplus Lines segment distributes its products through a select group of authorized E&amp;S lines brokers we believe can consistently produce reasonable volumes of quality business. These brokers procure policies for their clients from us as well as from other insurance companies. At December 31, 2022, the segment had authorized close to 100 broker groups to submit applications to us. The Excess and Surplus Lines segment generally makes broker authorizations by brokerage office and underwriting division. The segment does not grant its brokers underwriting or claims authority. The segment does delegate limited authority under several programs underwritten by exclusive General Agents as well as a growing but still limited number of General Agents underwriting small-account commercial risks through our online contract binding portal.</w:t>
      </w:r>
    </w:p>
    <w:p>
      <w:pPr>
        <w:spacing w:after="0" w:line="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Excess and Surplus Lines segment selects its brokers based upon management’s review of the experience, knowledge and business plan of each broker. While many of our Excess and Surplus Lines segment’s brokers have more than one office, we evaluate each office as if it were a separate entity. Brokers must be able to demonstrate an ability to produce both the quality and quantity of business that we seek. Brokers unable to produce consistently profitable business, or who produce unacceptably low volumes of business, may be terminated. Our Excess and Surplus Lines segment’s underwriters visit brokers regularly to discuss the products that we offer and the needs of the brokers. We believe the personal relationships we foster with individual brokers and our ability to respond to a wide variety of risks placed by these brokers make us an important market for them.</w:t>
      </w:r>
    </w:p>
    <w:p>
      <w:pPr>
        <w:spacing w:after="0" w:line="56"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Our Excess and Surplus Lines segment’s three largest brokers produced $643.3 million of gross written premiums for the year ended December 31, 2022, representing approximately 69.8% of the Excess and Surplus Lines segment’s gross written premiums and 43.0% of consolidated gross written premiums for 2022. The three largest brokers produced $289.7 million (Ryan Specialty Group), $214.2 million (AmWins Group), and $139.4 million (Truist Insurance Holdings) of gross written premiums for the year ended December 31, 2022, respectively, representing 19.4%, 14.3%, and 9.3% of consolidated gross written premiums and 31.4%, 23.3%, and 15.1% of the Excess and Surplus Lines segment’s gross written premiums for 2022, respectively.</w:t>
      </w:r>
    </w:p>
    <w:p>
      <w:pPr>
        <w:spacing w:after="0" w:line="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2022 and 2021, our Excess and Surplus Lines segment paid an average commission to producers of 16.8% and 16.6%, respectively, of gross written premiums.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Excess and Surplus Lines segment’s staff includes over 200 individuals directly employed in underwriting policies as of December 31, 2022. We are very selective about the policies we bind. Our Excess and Surplus Lines segment binds approximately 4% of new submissions and one out of every five new quotes. If our underwriters cannot reasonably expect to bind coverage at the combination of premiums and coverage that meet our standards, they are encouraged to quickly move 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another prospective opportunity. For the year ended December 31, 2022, we received approximately 288,000 submissions (new and renewal, excluding commercial auto policies), quoted over 59,000 policies and bound over 25,000 policies.</w:t>
      </w:r>
    </w:p>
    <w:p>
      <w:pPr>
        <w:spacing w:after="0" w:line="6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When we accept risk in our Excess and Surplus Lines segment, we are careful to establish terms that are suited to the risk and the pricing. As an excess and surplus lines writer, we use our freedom of rate and form to make it possible to take on risks that have already been rejected by admitted carriers who have determined they cannot insure these risks on approved forms at filed rates. We attempt to craft policies that offer affordable protection to our insureds by tailoring coverage in ways that make potential losses more predictable and are intended to reduce claims costs.</w:t>
      </w:r>
    </w:p>
    <w:p>
      <w:pPr>
        <w:spacing w:after="0" w:line="63"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effective management of claims settlement and any associated litigation avoids delays and associated additional costs.</w:t>
      </w:r>
    </w:p>
    <w:p>
      <w:pPr>
        <w:spacing w:after="0" w:line="11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Over 60 claims professionals with significant experience in the property-casualty industry support our Excess and Surplus Lines segment as of December 31, 2022.</w:t>
      </w:r>
    </w:p>
    <w:p>
      <w:pPr>
        <w:spacing w:after="0" w:line="6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excess and surplus lines business generally results in claims from premises/operations liability, professional liability, hired and non-owned auto liability, auto physical damage, first party property losses and products liability. We believe the key to effective claims management is timely and thorough claims investigation. We seek to complete all investigations and adjust reserves appropriately as soon as is practicable after the receipt of a claim. We seek to manage the number of claims per adjuster to allow adjusters sufficient time to investigate and resolve claims. Senior management reviews each case above a specified amount at least quarterly to evaluate whether the key issues in the case are being considered and to monitor case reserve levels. We keep the settlement authority of front-line adjusters low to ensure the practice of having two or more members of the department participate in the decision as to whether to settle or defend. In addition, cases with unusual damage, liability or policy interpretation issues are subjected to peer reviews. Members of the underwriting staff participate in this process. Prior to any scheduled mediation or trial involving a claim, claims personnel conduct further peer review to make sure all issues and exposures have been adequately analyzed.</w:t>
      </w:r>
    </w:p>
    <w:p>
      <w:pPr>
        <w:spacing w:after="0" w:line="73"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claims staff also contributes to our underwriting operations through communication of claims information to our underwriters. Members of our Claims team participate on our forms committee, which reviews and develops all policy forms and exclusions, and are also members of the underwriting review committee.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tcPr>
          <w:p>
            <w:pPr>
              <w:ind w:left="340"/>
              <w:spacing w:after="0"/>
              <w:rPr>
                <w:sz w:val="20"/>
                <w:szCs w:val="20"/>
                <w:color w:val="auto"/>
              </w:rPr>
            </w:pPr>
            <w:r>
              <w:rPr>
                <w:rFonts w:ascii="Arial" w:cs="Arial" w:eastAsia="Arial" w:hAnsi="Arial"/>
                <w:sz w:val="18"/>
                <w:szCs w:val="18"/>
                <w:color w:val="auto"/>
              </w:rPr>
              <w:t>Approximately 93% of all claims received are closed within five years in the Excess and Surplus Lines segment.</w:t>
            </w:r>
          </w:p>
        </w:tc>
        <w:tc>
          <w:tcPr>
            <w:tcW w:w="1520" w:type="dxa"/>
            <w:vAlign w:val="bottom"/>
          </w:tcPr>
          <w:p>
            <w:pPr>
              <w:spacing w:after="0"/>
              <w:rPr>
                <w:sz w:val="20"/>
                <w:szCs w:val="20"/>
                <w:color w:val="auto"/>
              </w:rPr>
            </w:pPr>
          </w:p>
        </w:tc>
      </w:tr>
      <w:tr>
        <w:trPr>
          <w:trHeight w:val="324"/>
        </w:trPr>
        <w:tc>
          <w:tcPr>
            <w:tcW w:w="9320" w:type="dxa"/>
            <w:vAlign w:val="bottom"/>
          </w:tcPr>
          <w:p>
            <w:pPr>
              <w:ind w:left="340"/>
              <w:spacing w:after="0"/>
              <w:rPr>
                <w:sz w:val="20"/>
                <w:szCs w:val="20"/>
                <w:color w:val="auto"/>
              </w:rPr>
            </w:pPr>
            <w:r>
              <w:rPr>
                <w:rFonts w:ascii="Arial" w:cs="Arial" w:eastAsia="Arial" w:hAnsi="Arial"/>
                <w:sz w:val="18"/>
                <w:szCs w:val="18"/>
                <w:color w:val="auto"/>
              </w:rPr>
              <w:t>The calendar year net loss ratios for the Excess and Surplus Lines segment for the last ten years were:</w:t>
            </w:r>
          </w:p>
        </w:tc>
        <w:tc>
          <w:tcPr>
            <w:tcW w:w="1520" w:type="dxa"/>
            <w:vAlign w:val="bottom"/>
          </w:tcPr>
          <w:p>
            <w:pPr>
              <w:spacing w:after="0"/>
              <w:rPr>
                <w:sz w:val="24"/>
                <w:szCs w:val="24"/>
                <w:color w:val="auto"/>
              </w:rPr>
            </w:pPr>
          </w:p>
        </w:tc>
      </w:tr>
      <w:tr>
        <w:trPr>
          <w:trHeight w:val="135"/>
        </w:trPr>
        <w:tc>
          <w:tcPr>
            <w:tcW w:w="93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29"/>
        </w:trPr>
        <w:tc>
          <w:tcPr>
            <w:tcW w:w="9320" w:type="dxa"/>
            <w:vAlign w:val="bottom"/>
            <w:shd w:val="clear" w:color="auto" w:fill="CCEEFF"/>
          </w:tcPr>
          <w:p>
            <w:pPr>
              <w:jc w:val="right"/>
              <w:ind w:right="8850"/>
              <w:spacing w:after="0"/>
              <w:rPr>
                <w:sz w:val="20"/>
                <w:szCs w:val="20"/>
                <w:color w:val="auto"/>
              </w:rPr>
            </w:pPr>
            <w:r>
              <w:rPr>
                <w:rFonts w:ascii="Arial" w:cs="Arial" w:eastAsia="Arial" w:hAnsi="Arial"/>
                <w:sz w:val="18"/>
                <w:szCs w:val="18"/>
                <w:color w:val="auto"/>
                <w:w w:val="89"/>
              </w:rPr>
              <w:t>2013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r>
      <w:tr>
        <w:trPr>
          <w:trHeight w:val="230"/>
        </w:trPr>
        <w:tc>
          <w:tcPr>
            <w:tcW w:w="9320" w:type="dxa"/>
            <w:vAlign w:val="bottom"/>
          </w:tcPr>
          <w:p>
            <w:pPr>
              <w:jc w:val="right"/>
              <w:ind w:right="8850"/>
              <w:spacing w:after="0"/>
              <w:rPr>
                <w:sz w:val="20"/>
                <w:szCs w:val="20"/>
                <w:color w:val="auto"/>
              </w:rPr>
            </w:pPr>
            <w:r>
              <w:rPr>
                <w:rFonts w:ascii="Arial" w:cs="Arial" w:eastAsia="Arial" w:hAnsi="Arial"/>
                <w:sz w:val="18"/>
                <w:szCs w:val="18"/>
                <w:color w:val="auto"/>
                <w:w w:val="89"/>
              </w:rPr>
              <w:t>2014</w:t>
            </w:r>
          </w:p>
        </w:tc>
        <w:tc>
          <w:tcPr>
            <w:tcW w:w="1520" w:type="dxa"/>
            <w:vAlign w:val="bottom"/>
          </w:tcPr>
          <w:p>
            <w:pPr>
              <w:jc w:val="right"/>
              <w:spacing w:after="0"/>
              <w:rPr>
                <w:sz w:val="20"/>
                <w:szCs w:val="20"/>
                <w:color w:val="auto"/>
              </w:rPr>
            </w:pPr>
            <w:r>
              <w:rPr>
                <w:rFonts w:ascii="Arial" w:cs="Arial" w:eastAsia="Arial" w:hAnsi="Arial"/>
                <w:sz w:val="18"/>
                <w:szCs w:val="18"/>
                <w:color w:val="auto"/>
              </w:rPr>
              <w:t>55.2 %</w:t>
            </w:r>
          </w:p>
        </w:tc>
      </w:tr>
      <w:tr>
        <w:trPr>
          <w:trHeight w:val="230"/>
        </w:trPr>
        <w:tc>
          <w:tcPr>
            <w:tcW w:w="9320" w:type="dxa"/>
            <w:vAlign w:val="bottom"/>
            <w:shd w:val="clear" w:color="auto" w:fill="CCEEFF"/>
          </w:tcPr>
          <w:p>
            <w:pPr>
              <w:jc w:val="right"/>
              <w:ind w:right="8850"/>
              <w:spacing w:after="0"/>
              <w:rPr>
                <w:sz w:val="20"/>
                <w:szCs w:val="20"/>
                <w:color w:val="auto"/>
              </w:rPr>
            </w:pPr>
            <w:r>
              <w:rPr>
                <w:rFonts w:ascii="Arial" w:cs="Arial" w:eastAsia="Arial" w:hAnsi="Arial"/>
                <w:sz w:val="18"/>
                <w:szCs w:val="18"/>
                <w:color w:val="auto"/>
                <w:w w:val="89"/>
              </w:rPr>
              <w:t>2015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r>
      <w:tr>
        <w:trPr>
          <w:trHeight w:val="230"/>
        </w:trPr>
        <w:tc>
          <w:tcPr>
            <w:tcW w:w="9320" w:type="dxa"/>
            <w:vAlign w:val="bottom"/>
          </w:tcPr>
          <w:p>
            <w:pPr>
              <w:jc w:val="right"/>
              <w:ind w:right="8850"/>
              <w:spacing w:after="0"/>
              <w:rPr>
                <w:sz w:val="20"/>
                <w:szCs w:val="20"/>
                <w:color w:val="auto"/>
              </w:rPr>
            </w:pPr>
            <w:r>
              <w:rPr>
                <w:rFonts w:ascii="Arial" w:cs="Arial" w:eastAsia="Arial" w:hAnsi="Arial"/>
                <w:sz w:val="18"/>
                <w:szCs w:val="18"/>
                <w:color w:val="auto"/>
                <w:w w:val="89"/>
              </w:rPr>
              <w:t>2016</w:t>
            </w:r>
          </w:p>
        </w:tc>
        <w:tc>
          <w:tcPr>
            <w:tcW w:w="1520" w:type="dxa"/>
            <w:vAlign w:val="bottom"/>
          </w:tcPr>
          <w:p>
            <w:pPr>
              <w:jc w:val="right"/>
              <w:spacing w:after="0"/>
              <w:rPr>
                <w:sz w:val="20"/>
                <w:szCs w:val="20"/>
                <w:color w:val="auto"/>
              </w:rPr>
            </w:pPr>
            <w:r>
              <w:rPr>
                <w:rFonts w:ascii="Arial" w:cs="Arial" w:eastAsia="Arial" w:hAnsi="Arial"/>
                <w:sz w:val="18"/>
                <w:szCs w:val="18"/>
                <w:color w:val="auto"/>
              </w:rPr>
              <w:t>62.6 %</w:t>
            </w:r>
          </w:p>
        </w:tc>
      </w:tr>
      <w:tr>
        <w:trPr>
          <w:trHeight w:val="229"/>
        </w:trPr>
        <w:tc>
          <w:tcPr>
            <w:tcW w:w="9320" w:type="dxa"/>
            <w:vAlign w:val="bottom"/>
            <w:shd w:val="clear" w:color="auto" w:fill="CCEEFF"/>
          </w:tcPr>
          <w:p>
            <w:pPr>
              <w:jc w:val="right"/>
              <w:ind w:right="8850"/>
              <w:spacing w:after="0"/>
              <w:rPr>
                <w:sz w:val="20"/>
                <w:szCs w:val="20"/>
                <w:color w:val="auto"/>
              </w:rPr>
            </w:pPr>
            <w:r>
              <w:rPr>
                <w:rFonts w:ascii="Arial" w:cs="Arial" w:eastAsia="Arial" w:hAnsi="Arial"/>
                <w:sz w:val="18"/>
                <w:szCs w:val="18"/>
                <w:color w:val="auto"/>
                <w:w w:val="89"/>
              </w:rPr>
              <w:t>2017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80.2 %</w:t>
            </w:r>
          </w:p>
        </w:tc>
      </w:tr>
      <w:tr>
        <w:trPr>
          <w:trHeight w:val="230"/>
        </w:trPr>
        <w:tc>
          <w:tcPr>
            <w:tcW w:w="9320" w:type="dxa"/>
            <w:vAlign w:val="bottom"/>
          </w:tcPr>
          <w:p>
            <w:pPr>
              <w:jc w:val="right"/>
              <w:ind w:right="8850"/>
              <w:spacing w:after="0"/>
              <w:rPr>
                <w:sz w:val="20"/>
                <w:szCs w:val="20"/>
                <w:color w:val="auto"/>
              </w:rPr>
            </w:pPr>
            <w:r>
              <w:rPr>
                <w:rFonts w:ascii="Arial" w:cs="Arial" w:eastAsia="Arial" w:hAnsi="Arial"/>
                <w:sz w:val="18"/>
                <w:szCs w:val="18"/>
                <w:color w:val="auto"/>
                <w:w w:val="89"/>
              </w:rPr>
              <w:t>2018</w:t>
            </w:r>
          </w:p>
        </w:tc>
        <w:tc>
          <w:tcPr>
            <w:tcW w:w="1520" w:type="dxa"/>
            <w:vAlign w:val="bottom"/>
          </w:tcPr>
          <w:p>
            <w:pPr>
              <w:jc w:val="right"/>
              <w:spacing w:after="0"/>
              <w:rPr>
                <w:sz w:val="20"/>
                <w:szCs w:val="20"/>
                <w:color w:val="auto"/>
              </w:rPr>
            </w:pPr>
            <w:r>
              <w:rPr>
                <w:rFonts w:ascii="Arial" w:cs="Arial" w:eastAsia="Arial" w:hAnsi="Arial"/>
                <w:sz w:val="18"/>
                <w:szCs w:val="18"/>
                <w:color w:val="auto"/>
              </w:rPr>
              <w:t>78.8 %</w:t>
            </w:r>
          </w:p>
        </w:tc>
      </w:tr>
      <w:tr>
        <w:trPr>
          <w:trHeight w:val="230"/>
        </w:trPr>
        <w:tc>
          <w:tcPr>
            <w:tcW w:w="9320" w:type="dxa"/>
            <w:vAlign w:val="bottom"/>
            <w:shd w:val="clear" w:color="auto" w:fill="CCEEFF"/>
          </w:tcPr>
          <w:p>
            <w:pPr>
              <w:jc w:val="right"/>
              <w:ind w:right="8850"/>
              <w:spacing w:after="0"/>
              <w:rPr>
                <w:sz w:val="20"/>
                <w:szCs w:val="20"/>
                <w:color w:val="auto"/>
              </w:rPr>
            </w:pPr>
            <w:r>
              <w:rPr>
                <w:rFonts w:ascii="Arial" w:cs="Arial" w:eastAsia="Arial" w:hAnsi="Arial"/>
                <w:sz w:val="18"/>
                <w:szCs w:val="18"/>
                <w:color w:val="auto"/>
                <w:w w:val="89"/>
              </w:rPr>
              <w:t>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r>
      <w:tr>
        <w:trPr>
          <w:trHeight w:val="230"/>
        </w:trPr>
        <w:tc>
          <w:tcPr>
            <w:tcW w:w="9320" w:type="dxa"/>
            <w:vAlign w:val="bottom"/>
          </w:tcPr>
          <w:p>
            <w:pPr>
              <w:jc w:val="right"/>
              <w:ind w:right="8850"/>
              <w:spacing w:after="0"/>
              <w:rPr>
                <w:sz w:val="20"/>
                <w:szCs w:val="20"/>
                <w:color w:val="auto"/>
              </w:rPr>
            </w:pPr>
            <w:r>
              <w:rPr>
                <w:rFonts w:ascii="Arial" w:cs="Arial" w:eastAsia="Arial" w:hAnsi="Arial"/>
                <w:sz w:val="18"/>
                <w:szCs w:val="18"/>
                <w:color w:val="auto"/>
                <w:w w:val="89"/>
              </w:rPr>
              <w:t>2020</w:t>
            </w:r>
          </w:p>
        </w:tc>
        <w:tc>
          <w:tcPr>
            <w:tcW w:w="1520" w:type="dxa"/>
            <w:vAlign w:val="bottom"/>
          </w:tcPr>
          <w:p>
            <w:pPr>
              <w:jc w:val="right"/>
              <w:spacing w:after="0"/>
              <w:rPr>
                <w:sz w:val="20"/>
                <w:szCs w:val="20"/>
                <w:color w:val="auto"/>
              </w:rPr>
            </w:pPr>
            <w:r>
              <w:rPr>
                <w:rFonts w:ascii="Arial" w:cs="Arial" w:eastAsia="Arial" w:hAnsi="Arial"/>
                <w:sz w:val="18"/>
                <w:szCs w:val="18"/>
                <w:color w:val="auto"/>
              </w:rPr>
              <w:t>76.7 %</w:t>
            </w:r>
          </w:p>
        </w:tc>
      </w:tr>
      <w:tr>
        <w:trPr>
          <w:trHeight w:val="229"/>
        </w:trPr>
        <w:tc>
          <w:tcPr>
            <w:tcW w:w="9320" w:type="dxa"/>
            <w:vAlign w:val="bottom"/>
            <w:shd w:val="clear" w:color="auto" w:fill="CCEEFF"/>
          </w:tcPr>
          <w:p>
            <w:pPr>
              <w:jc w:val="right"/>
              <w:ind w:right="8850"/>
              <w:spacing w:after="0"/>
              <w:rPr>
                <w:sz w:val="20"/>
                <w:szCs w:val="20"/>
                <w:color w:val="auto"/>
              </w:rPr>
            </w:pPr>
            <w:r>
              <w:rPr>
                <w:rFonts w:ascii="Arial" w:cs="Arial" w:eastAsia="Arial" w:hAnsi="Arial"/>
                <w:sz w:val="18"/>
                <w:szCs w:val="18"/>
                <w:color w:val="auto"/>
                <w:w w:val="89"/>
              </w:rPr>
              <w:t>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106.2 %</w:t>
            </w:r>
          </w:p>
        </w:tc>
      </w:tr>
      <w:tr>
        <w:trPr>
          <w:trHeight w:val="230"/>
        </w:trPr>
        <w:tc>
          <w:tcPr>
            <w:tcW w:w="9320" w:type="dxa"/>
            <w:vAlign w:val="bottom"/>
          </w:tcPr>
          <w:p>
            <w:pPr>
              <w:jc w:val="right"/>
              <w:ind w:right="8850"/>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right"/>
              <w:spacing w:after="0"/>
              <w:rPr>
                <w:sz w:val="20"/>
                <w:szCs w:val="20"/>
                <w:color w:val="auto"/>
              </w:rPr>
            </w:pPr>
            <w:r>
              <w:rPr>
                <w:rFonts w:ascii="Arial" w:cs="Arial" w:eastAsia="Arial" w:hAnsi="Arial"/>
                <w:sz w:val="18"/>
                <w:szCs w:val="18"/>
                <w:color w:val="auto"/>
              </w:rPr>
              <w:t>65.9 %</w:t>
            </w:r>
          </w:p>
        </w:tc>
      </w:tr>
    </w:tbl>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calendar year loss ratios for 2017 through 2021 were impacted by adverse reserve development of $38.7 million, $20.7 million, $57.4 million, $91.4 million and $200.1 million, respectively, in the commercial auto line of business that was primarily related to a former insured, Rasier LLC and its affiliates (“Rasier”). The loss ratios for 2022 and 2021 also include net catastrophe losses in the Excess Property line of business of $5.0 million related to Hurricane Ian in 2022 and $5.0 million related to Hurricane Ida in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 w:name="page14"/>
    <w:bookmarkEnd w:id="1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September 27, 2021,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structured to be fully collateralized, is not subject to an aggregate limit, and is subject to certain exclusions. A pre-tax loss of $29.6 million was recognized as adverse loss and loss adjustment reserve development in the Excess and Surplus Lines segment for the third quarter of 2021 associated with the loss portfolio transfer.</w:t>
      </w:r>
    </w:p>
    <w:p>
      <w:pPr>
        <w:spacing w:after="0" w:line="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 the year ended December 31, 2022, due to adverse paid loss trends on the legacy Rasier business, the Company recognized adverse prior year development of $46.7 million on the net reserves subject to the Commercial Auto LPT, resulting in a corresponding additional amount ceded under the Commercial Auto LPT. As a result, the cumulative amounts ceded under the Commercial Auto LPT exceed the consideration paid, moving the Commercial Auto LPT into a gain position. The Company has applied retroactive reinsurance accounting to the Commercial Auto LPT. A retroactive reinsurance benefit of $31.0 million was recorded in losses and loss adjustment expenses on the Consolidated Statements of Income (Loss) and Comprehensive (Loss) Income for the year ended December 31, 2022 using the recovery method. As of December 31, 2022 and December 31, 2021, the cumulative amounts ceded under the Commercial Auto LPT were $391.8 million and $345.1 million, respectively. The unrecognized deferred retroactive reinsurance gain of $15.7 million at December 31, 2022 is separately presented on the Company's Consolidated Balance Sheets.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Admitted Insurance Segment</w:t>
      </w:r>
    </w:p>
    <w:p>
      <w:pPr>
        <w:spacing w:after="0" w:line="117"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Falls Lake Insurance Companies (“Falls Lake”) comprise our other U.S. insurance segment, Specialty Admitted Insurance. Falls Lake consists of Falls Lake National (an Ohio domiciled company, licensed in 49 states and the District of Columbia and registered as a surplus lines company in California), and its subsidiaries Stonewood Insurance (a North Carolina domiciled company) and Falls Lake Fire and Casualty (a California domiciled company). The Specialty Admitted Insurance segment produced 32.8% of consolidated gross written premiums for the year ended December 31, 2022.</w:t>
      </w:r>
    </w:p>
    <w:p>
      <w:pPr>
        <w:spacing w:after="0" w:line="4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plan is to continue to use our broad licensure and significant management expertise to earn fee income as well as underwriting profits. The Specialty Admitted Insurance segment consists of:</w:t>
      </w:r>
    </w:p>
    <w:p>
      <w:pPr>
        <w:spacing w:after="0" w:line="62" w:lineRule="exact"/>
        <w:rPr>
          <w:sz w:val="20"/>
          <w:szCs w:val="20"/>
          <w:color w:val="auto"/>
        </w:rPr>
      </w:pPr>
    </w:p>
    <w:p>
      <w:pPr>
        <w:ind w:left="660" w:right="280" w:hanging="328"/>
        <w:spacing w:after="0" w:line="308" w:lineRule="auto"/>
        <w:tabs>
          <w:tab w:leader="none" w:pos="579" w:val="left"/>
        </w:tabs>
        <w:numPr>
          <w:ilvl w:val="0"/>
          <w:numId w:val="6"/>
        </w:numPr>
        <w:rPr>
          <w:rFonts w:ascii="Arial" w:cs="Arial" w:eastAsia="Arial" w:hAnsi="Arial"/>
          <w:sz w:val="17"/>
          <w:szCs w:val="17"/>
          <w:color w:val="auto"/>
        </w:rPr>
      </w:pPr>
      <w:r>
        <w:rPr>
          <w:rFonts w:ascii="Arial" w:cs="Arial" w:eastAsia="Arial" w:hAnsi="Arial"/>
          <w:sz w:val="17"/>
          <w:szCs w:val="17"/>
          <w:color w:val="auto"/>
        </w:rPr>
        <w:t>Fronting and program business written through selected MGAs, insurance carriers, and other producers, which represented 89.2% of 2022 gross written premiums in this segment, (88.3% in 2021, 84.4% in 2020, 83.6% in 2019, 85.2% in 2018, and 86.1% in 2017); and</w:t>
      </w:r>
    </w:p>
    <w:p>
      <w:pPr>
        <w:spacing w:after="0" w:line="38" w:lineRule="exact"/>
        <w:rPr>
          <w:rFonts w:ascii="Arial" w:cs="Arial" w:eastAsia="Arial" w:hAnsi="Arial"/>
          <w:sz w:val="17"/>
          <w:szCs w:val="17"/>
          <w:color w:val="auto"/>
        </w:rPr>
      </w:pPr>
    </w:p>
    <w:p>
      <w:pPr>
        <w:ind w:left="660" w:right="160" w:hanging="328"/>
        <w:spacing w:after="0" w:line="342" w:lineRule="auto"/>
        <w:tabs>
          <w:tab w:leader="none" w:pos="57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Individual risk workers’ compensation business, underwritten by our staff and generated by appointed agents in 13 states, that produced 10.8% of 2022 gross written premiums in this segment, (11.7% in 2021, 15.6% in 2020, 16.4% in 2019, 14.8% in 2018, and 13.9% in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Fronting &amp; Program Business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our fronting business, we issue insurance policies for another insurance company which may not have the licensure, product suite or rating to serve its desired market, or for a program supported by reinsurance or alternative capital provider(s). In a fronting arrangement, we give selected MGAs authority to act on our behalf to produce, underwrite and administer policies that meet our underwriting and pricing guidelines. We generally retain 10%-35% of the underwriting risk in our fronting business. The issuance of our policy makes us contractually responsible to the insured in the event they experience a covered loss. We enter into these arrangements selectively with counterparties which have significant experience and market presence in specialty classes of property-casualty risk, workers' compensation or automobile business. We only work with MGAs who permit us to actively engage with them through a combination of onsite and offsite resources to facilitate our real-time supervision of their work. Underwriting, claims and financial performance is subject to regular review by our staff, and we hold appropriate collateral to manage counterparty credit risk. We grant limited authority for underwriting and claims administration and employ a rigorous review process to ensure the authority is appropriately used within the terms of our contract, and that collateral held by us is appropriate. We charge fees as a percentage of gross written premiums for issuing these policies. We establish fronting opportunities through a variety of sources, including direct carrier relationships, MGAs, reinsurers, and reinsurance brokers.</w:t>
      </w:r>
    </w:p>
    <w:p>
      <w:pPr>
        <w:spacing w:after="0" w:line="64"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Due to our licensure and product filings, we are positioned to support this business throughout the United States. Because of the more limited capital allocation required to support it, we believe the fronting business represents an efficient use of capital, and we continued to expand this business in 2022. Our two largest fronting agencies produced $120.9 million and $110.9 million of gross written premiums in 2022, representing 8.1% and 7.4% of consolidated gross written premiums and 24.7% and 22.6% of the Specialty Admitted Insurance segment's gross written premiums,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Our objective is to utilize the combination of fee income and underwriting profits from our Specialty Admitted Insurance segment to leverage our capital and improve returns on tangible equity. Fee income was $23.6 million in 2022, $22.7 million in 2021, and $19.3 million in 2020.</w:t>
      </w:r>
    </w:p>
    <w:p>
      <w:pPr>
        <w:spacing w:after="0" w:line="3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focus our coverage on casualty risks in our fronting business, although some property insurance is written. We seek to limit our risk generally through reinsurance either on a proportional or excess of loss basis, or sometimes both. For initial claims oversight and administration, we generally outsource frequency layer claims management to third-party administrators for the first $100,000 of a claim, and then provide supervisory control above this amount.</w:t>
      </w:r>
    </w:p>
    <w:p>
      <w:pPr>
        <w:spacing w:after="0" w:line="7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Under the terms of these program agreements, we pay fixed commissions, often with a profit contingency. Our fronting business is distributed primarily through MGAs and fronting and program managers.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Workers’ Compensation Business</w:t>
      </w:r>
    </w:p>
    <w:p>
      <w:pPr>
        <w:spacing w:after="0" w:line="11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individual risk workers’ compensation business, produced through a distribution channel comprised of appointed independent retail agents and a limited number of appointed wholesale brokers, remains a regionally focused effort mainly in select Southeastern U.S. states. We made the strategic decision in 2020 to focus our efforts towards the Southeast, and to substantially reduce our presence in other states. This decision was based upon a wide range of factors, including ability to exceed internal performance metrics, regulations regarding pricing and claim cost containment, and our agent relationships. For the year ended December 31, 2022, approximately 39% of our retail produced workers’ compensation direct written premiums were in North Carolina, 18% were in Georgia, 17% were in Missouri, and 10% were in Virginia. Building trades represented approximately 31% of the direct premiums in force in our retail produced workers’ compensation book in 2022. Other significant industry groups include specialty transportation (14%), healthcare employees (13%), goods and services (13%), manufacturing (13%), and agriculture (9%). We recognize the cyclical nature of this line and are prepared to contract the business rapidly when rates decline, or the regulatory or economic environment makes it difficult to adequately price this business or contain claim costs.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Reinsurance Segment</w:t>
      </w:r>
    </w:p>
    <w:p>
      <w:pPr>
        <w:spacing w:after="0" w:line="11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report our business of writing reinsurance for third party insurance companies in our Casualty Reinsurance segment (representing 5.7% of consolidated gross written premiums for the year ended December 31, 2022). We participate in the reinsurance business through our Bermuda domiciled reinsurance subsidiary, JRG Re, which is licensed as a Class 3B reinsurer by the Bermuda Monetary Authority. JRG Re provides proportional and working layer excess of loss treaty reinsurance to third parties and, through December 31, 2017, also to our U.S.-based insurance subsidiaries. For purposes of management evaluation, this segment’s underwriting results only include premiums ceded by, and losses incurred with respect to, business assumed from unaffiliated companies and does not include premiums and losses ceded under the internal reinsurance arrangements.</w:t>
      </w:r>
    </w:p>
    <w:p>
      <w:pPr>
        <w:spacing w:after="0" w:line="5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Casualty Reinsurance segment underwrote $85.2 million in gross written premiums for the year ended December 31, 2022, 97.5% of which consisted of E&amp;S risks. Of those third-party premiums written by JRG Re, 64.8% is classified by the company as general liability and 22.0% as non-medical professional liability, with the balance primarily related to excess casualty and commercial auto coverages. We typically structure our reinsurance treaties as quota share arrangements with loss and risk mitigating features that align our interest with that of the ceding companies. On a premium volume basis, treaties written as “proportional” arrangements represented 98.1% of the third-party net written premiums during 2022 and treaties with loss mitigation features including sliding scale ceding commissions represented 40.6%. We purchase very little retrocessional coverage in this segment. Almost all of the segment’s premiums are for casualty lines of business. The Casualty Reinsurance segment writes virtually no reinsurance designed to respond specifically to natural catastrophes.</w:t>
      </w:r>
    </w:p>
    <w:p>
      <w:pPr>
        <w:spacing w:after="0" w:line="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Casualty Reinsurance segment’s three largest brokers generated $25.4 million, $20.0 million, and $17.2 million of gross written premiums, respectively, representing 73.4% of the segment’s gross written premiums in the year ended December 31, 2022. The Casualty Reinsurance segment’s three largest relationships with unaffiliated ceding companies generated $67.9 million of gross written premiums ($26.9 million, $24.5 million, and $16.5 million, respectively) representing 4.5% of consolidated gross written premiums and 79.7% of the Casualty Reinsurance segment's gross written premiums for the year ended December 31, 2022.</w:t>
      </w:r>
    </w:p>
    <w:p>
      <w:pPr>
        <w:spacing w:after="0" w:line="80"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Underwriting profits and investment income earned by JRG Re are exempt from U.S. taxation. We do, however, pay a 1% U.S. Federal excise tax on premiums ceded to JRG Re. At December 31, 2022, JRG Re invested assets made up 33.2% of our total invested assets.</w:t>
      </w:r>
    </w:p>
    <w:p>
      <w:pPr>
        <w:spacing w:after="0" w:line="79" w:lineRule="exact"/>
        <w:rPr>
          <w:sz w:val="20"/>
          <w:szCs w:val="20"/>
          <w:color w:val="auto"/>
        </w:rPr>
      </w:pPr>
    </w:p>
    <w:p>
      <w:pPr>
        <w:ind w:right="340" w:firstLine="324"/>
        <w:spacing w:after="0" w:line="308" w:lineRule="auto"/>
        <w:rPr>
          <w:sz w:val="20"/>
          <w:szCs w:val="20"/>
          <w:color w:val="auto"/>
        </w:rPr>
      </w:pPr>
      <w:r>
        <w:rPr>
          <w:rFonts w:ascii="Arial" w:cs="Arial" w:eastAsia="Arial" w:hAnsi="Arial"/>
          <w:sz w:val="16"/>
          <w:szCs w:val="16"/>
          <w:color w:val="auto"/>
        </w:rPr>
        <w:t>In keeping with our previously announced plans to significantly shrink top-line writings of the Casualty Reinsurance segment, we have decided to suspend writing business in the Casualty Reinsurance segment, as we continue our focus on growing our higher returning U.S. insurance and fronting</w:t>
      </w:r>
    </w:p>
    <w:p>
      <w:pPr>
        <w:ind w:right="300"/>
        <w:spacing w:after="0" w:line="295" w:lineRule="auto"/>
        <w:rPr>
          <w:sz w:val="20"/>
          <w:szCs w:val="20"/>
          <w:color w:val="auto"/>
        </w:rPr>
      </w:pPr>
      <w:r>
        <w:rPr>
          <w:rFonts w:ascii="Arial" w:cs="Arial" w:eastAsia="Arial" w:hAnsi="Arial"/>
          <w:sz w:val="18"/>
          <w:szCs w:val="18"/>
          <w:color w:val="auto"/>
        </w:rPr>
        <w:t>businesses. We expect the Casualty Reinsurance segment to continue earning premium due to the nature of the earnings patterns in the reinsurance business, which can extend over multiple years. Aside from the suspension of underwriting activities, we plan for the Casualty Reinsurance segment to maintain its normal day-</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5" w:name="page16"/>
    <w:bookmarkEnd w:id="1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60"/>
        <w:spacing w:after="0" w:line="375" w:lineRule="auto"/>
        <w:rPr>
          <w:sz w:val="20"/>
          <w:szCs w:val="20"/>
          <w:color w:val="auto"/>
        </w:rPr>
      </w:pPr>
      <w:r>
        <w:rPr>
          <w:rFonts w:ascii="Arial" w:cs="Arial" w:eastAsia="Arial" w:hAnsi="Arial"/>
          <w:sz w:val="18"/>
          <w:szCs w:val="18"/>
          <w:color w:val="auto"/>
        </w:rPr>
        <w:t xml:space="preserve">to-day operations, with a staff to continue servicing the business on its books and to facilitate compliance with its regulatory requirements. </w:t>
      </w:r>
      <w:r>
        <w:rPr>
          <w:rFonts w:ascii="Arial" w:cs="Arial" w:eastAsia="Arial" w:hAnsi="Arial"/>
          <w:sz w:val="18"/>
          <w:szCs w:val="18"/>
          <w:b w:val="1"/>
          <w:bCs w:val="1"/>
          <w:i w:val="1"/>
          <w:iCs w:val="1"/>
          <w:color w:val="auto"/>
        </w:rPr>
        <w:t>Corporate and Other Segment</w:t>
      </w:r>
    </w:p>
    <w:p>
      <w:pPr>
        <w:spacing w:after="0" w:line="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Chief Executive Officer and Chief Financial Officer and other holding company employees are part of the Corporate and Other segment. This is where we set and direct strategy for the group as a whole as well as high level objectives for each of the three operating segments. We make all capital management, capital allocation, treasury functions, information technology and group wide risk management decisions in this segment. Our decisions at this level also include reinsurance purchasing.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Reinsurance</w:t>
      </w:r>
    </w:p>
    <w:p>
      <w:pPr>
        <w:spacing w:after="0" w:line="1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routinely purchase reinsurance for our Excess and Surplus Lines and Specialty Admitted Insurance segments and, less frequently purchase retrocessional coverage for our Casualty Reinsurance segment. The purchase of reinsurance reduces volatility by limiting our exposure to large losses and provides capacity for growth. In a reinsurance transaction, an insurance company transfers, or cedes, all or part of its exposure in return for a portion of the premium. In a retrocession transaction, a reinsurer transfers, or cedes, all or part of its exposure in return for a portion of the premium. Our companies remain legally responsible for the entire obligation to policyholders and ceding companies, irrespective of any reinsurance or retrocession coverage we may purchase. Typically, we pay claims from our own funds and then seek reimbursement from the reinsurer or retrocessionaire, as applicable. There is credit exposure with respect to losses ceded to the extent that any reinsurer or retrocessionaire is unable or unwilling to meet the obligations ceded by us under reinsurance or retrocessional treaties. The ability to collect on reinsurance or retrocessional reinsurance is subject to many factors, including the solvency of the counterparty and their interpretation of contract language and other factors. As of December 31, 2022, we have no material, ongoing disputes with any reinsurer or retrocessionaire, and we are not aware of any credit quality issues with any of our reinsurers or retrocessionaires.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Property Reinsurance</w:t>
      </w:r>
    </w:p>
    <w:p>
      <w:pPr>
        <w:spacing w:after="0" w:line="11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focus on return on tangible equity leads us to avoid lines of business that we know are exposed to high degrees of volatility. The Excess and Surplus Lines segment writes a limited book of excess property risks (approximately $52.1 million direct written premiums in 2022). The risks assumed in this book are geographically dispersed and significantly reinsured to limit losses. The Excess and Surplus Lines segment may retain up to $5.0 million per risk on our excess property book; however, the average retained amount per risk is approximately $862,000. In our Specialty Admitted Insurance segment, we focus on casualty business, but we do write a limited amount of property insurance, principally through our fronting and programs business. The focus in our Casualty Reinsurance segment is also primarily casualty business, but we do have a relatively small amount of assumed business with property exposure.</w:t>
      </w:r>
    </w:p>
    <w:p>
      <w:pPr>
        <w:spacing w:after="0" w:line="87"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In our Excess and Surplus Lines segment, we purchased a surplus share reinsurance treaty specifically designed to cover property risks. The surplus share treaty along with facultative reinsurance helps ensure that our net retained limit per risk will be $5.0 million or less. Additionally, we purchased catastrophe reinsurance of $60.0 million in excess of a $5.0 million retention for the group that is intended to cover the 1 in 1,000 year modeled aggregate PML on the segment’s excess property book. We buy such high limits because we believe the property catastrophe models are less accurate when applied to small books of business like ours than when applied to larger portfolios. Where the Specialty Admitted Insurance segment incurs incidental property risks in its fronting and program book of business, the segment has purchased coverage for $4.0 million in excess of $1.0 million per occurrence, in addition to the protection provided under the corporate $60.0 million in excess of $5.0 million catastrophe treaty. This is also intended to cover the 1 in 1,000 year modeled aggregate PML on any property exposures the Specialty Admitted Insurance segment assumes. In our Casualty Reinsurance segment, we believe that our maximum loss from a catastrophic event is approximately $2.0 million and, as a result, we do not currently purchase retrocessional reinsurance coverage for property-catastrophe risks. We believe our pre-tax group-wide PML from a 1 in 1,000 year catastrophic event would not exceed 2.5% of shareholders’ equity, inclusive of reinstatement premiums payable and net retentions.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Casualty Reinsurance</w:t>
      </w:r>
    </w:p>
    <w:p>
      <w:pPr>
        <w:spacing w:after="0" w:line="11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our Excess and Surplus Lines segment, there are five divisions where we only write $1.0 million per occurrence limits (Commercial Auto, Manufacturers and Contractors, General Casualty, Small Business and Sports and Entertainment), and therefore, we do not purchase any specific reinsurance for these policies. In the other divisions, where we issue policies with larger limits, we purchase reinsurance in excess of $1.0 million or $2.0 million per occurrence.</w:t>
      </w:r>
    </w:p>
    <w:p>
      <w:pPr>
        <w:spacing w:after="0" w:line="79"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In our Specialty Admitted Insurance segment, there are two distinct reinsurance strategies. For individual risk workers' compensation, we purchase $29.0 million excess of $1.0 million per occurrence, and we purchase 65.5% quota share coverage of the primary $1.0 million. For our fronting and program business, we purchase proportional reinsurance and excess of loss reinsurance to limit our exposure to no more than $750,000 per occurrence.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In prior years, for both our Excess and Surplus Lines segment and our Specialty Admitted Insurance segment, we purchased a contingency clash reinsurance treaty that covered all casualty business for $10.0 million in excess of $2.0 million per occurrence. This coverage, which was put into runoff effective July 1, 2022, was intended to respond in situations with multiple insured losses from the same event as well as extra contractual obligations or excess policy limits on an individual occurrence basis. As of December 31, 2022, our average net retained limit per risk is $2.5 million.</w:t>
      </w:r>
    </w:p>
    <w:p>
      <w:pPr>
        <w:spacing w:after="0" w:line="4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 and expired on December 31, 2022.</w:t>
      </w:r>
    </w:p>
    <w:p>
      <w:pPr>
        <w:spacing w:after="0" w:line="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our Casualty Reinsurance segment, we currently purchase quota share retrocessional reinsurance in support of an individual assumed treaty where an expense override is achieved. In prior periods, we have purchased proportional and excess of loss retrocessional coverage for particular situations related to specific treaties, but have only done so on a limited basis.</w:t>
      </w:r>
    </w:p>
    <w:p>
      <w:pPr>
        <w:spacing w:after="0" w:line="7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2022, our top ten reinsurers represented 71.6% of our total ceded reinsurance recoverables, and all of these reinsurance recoverables were from reinsurers with an A.M. Best rating of “A+” (Superior) or better, or are collateralized with letters of credit or by a trust agreement. The following table sets forth our ten most significant reinsurers by amount of reinsurance recoverables on unpaid losses and the amount of reinsurance recoverables pertaining to each such reinsurer as well as its A.M. Best rating as of December 31,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Reinsurance</w:t>
            </w:r>
          </w:p>
        </w:tc>
        <w:tc>
          <w:tcPr>
            <w:tcW w:w="1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 Best Rating</w:t>
            </w:r>
          </w:p>
        </w:tc>
        <w:tc>
          <w:tcPr>
            <w:tcW w:w="0" w:type="dxa"/>
            <w:vAlign w:val="bottom"/>
          </w:tcPr>
          <w:p>
            <w:pPr>
              <w:spacing w:after="0"/>
              <w:rPr>
                <w:sz w:val="1"/>
                <w:szCs w:val="1"/>
                <w:color w:val="auto"/>
              </w:rPr>
            </w:pPr>
          </w:p>
        </w:tc>
      </w:tr>
      <w:tr>
        <w:trPr>
          <w:trHeight w:val="144"/>
        </w:trPr>
        <w:tc>
          <w:tcPr>
            <w:tcW w:w="7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Reinsurer</w:t>
            </w:r>
          </w:p>
        </w:tc>
        <w:tc>
          <w:tcPr>
            <w:tcW w:w="160" w:type="dxa"/>
            <w:vAlign w:val="bottom"/>
          </w:tcPr>
          <w:p>
            <w:pPr>
              <w:spacing w:after="0"/>
              <w:rPr>
                <w:sz w:val="12"/>
                <w:szCs w:val="12"/>
                <w:color w:val="auto"/>
              </w:rPr>
            </w:pPr>
          </w:p>
        </w:tc>
        <w:tc>
          <w:tcPr>
            <w:tcW w:w="1440" w:type="dxa"/>
            <w:vAlign w:val="bottom"/>
          </w:tcPr>
          <w:p>
            <w:pPr>
              <w:jc w:val="center"/>
              <w:ind w:right="74"/>
              <w:spacing w:after="0" w:line="145" w:lineRule="exact"/>
              <w:rPr>
                <w:sz w:val="20"/>
                <w:szCs w:val="20"/>
                <w:color w:val="auto"/>
              </w:rPr>
            </w:pPr>
            <w:r>
              <w:rPr>
                <w:rFonts w:ascii="Arial" w:cs="Arial" w:eastAsia="Arial" w:hAnsi="Arial"/>
                <w:sz w:val="14"/>
                <w:szCs w:val="14"/>
                <w:b w:val="1"/>
                <w:bCs w:val="1"/>
                <w:color w:val="auto"/>
                <w:w w:val="90"/>
              </w:rPr>
              <w:t>Recoverable as of</w:t>
            </w: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6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82"/>
        </w:trPr>
        <w:tc>
          <w:tcPr>
            <w:tcW w:w="34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tcPr>
          <w:p>
            <w:pPr>
              <w:spacing w:after="0"/>
              <w:rPr>
                <w:sz w:val="15"/>
                <w:szCs w:val="15"/>
                <w:color w:val="auto"/>
              </w:rPr>
            </w:pPr>
          </w:p>
        </w:tc>
        <w:tc>
          <w:tcPr>
            <w:tcW w:w="4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Swiss Reinsurance America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340,393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9"/>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Fortitude Re (Casualty Re LPT)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244,657</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Aleka Insurance Company (Commercial Auto LPT)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Unrated</w:t>
            </w:r>
            <w:r>
              <w:rPr>
                <w:rFonts w:ascii="Arial" w:cs="Arial" w:eastAsia="Arial" w:hAnsi="Arial"/>
                <w:sz w:val="23"/>
                <w:szCs w:val="23"/>
                <w:color w:val="auto"/>
                <w:w w:val="84"/>
                <w:vertAlign w:val="superscript"/>
              </w:rPr>
              <w:t>(1)</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Berkley Insurance Company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130,860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Hannover Ruck SE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Safety National Casualty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46,769</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Endurance Assurance Corporation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American European Insurance Company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38,891</w:t>
            </w:r>
          </w:p>
        </w:tc>
        <w:tc>
          <w:tcPr>
            <w:tcW w:w="100" w:type="dxa"/>
            <w:vAlign w:val="bottom"/>
          </w:tcPr>
          <w:p>
            <w:pPr>
              <w:spacing w:after="0"/>
              <w:rPr>
                <w:sz w:val="19"/>
                <w:szCs w:val="19"/>
                <w:color w:val="auto"/>
              </w:rPr>
            </w:pPr>
          </w:p>
        </w:tc>
        <w:tc>
          <w:tcPr>
            <w:tcW w:w="162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B</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Munich Reinsurance America</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Aioi Nissay Dowa Insurance Company</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3"/>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Top 10 Total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431,148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1,520,113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4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492061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0615" cy="154305"/>
                    </a:xfrm>
                    <a:prstGeom prst="rect">
                      <a:avLst/>
                    </a:prstGeom>
                    <a:noFill/>
                  </pic:spPr>
                </pic:pic>
              </a:graphicData>
            </a:graphic>
          </wp:anchor>
        </w:drawing>
      </w:r>
    </w:p>
    <w:p>
      <w:pPr>
        <w:spacing w:after="0" w:line="155"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This reinsurer is unrated. All material reinsurance amounts from this reinsurer are collateralized.</w:t>
      </w:r>
    </w:p>
    <w:p>
      <w:pPr>
        <w:spacing w:after="0" w:line="117" w:lineRule="exact"/>
        <w:rPr>
          <w:rFonts w:ascii="Arial" w:cs="Arial" w:eastAsia="Arial" w:hAnsi="Arial"/>
          <w:sz w:val="18"/>
          <w:szCs w:val="18"/>
          <w:i w:val="1"/>
          <w:iCs w:val="1"/>
          <w:color w:val="auto"/>
        </w:rPr>
      </w:pPr>
    </w:p>
    <w:p>
      <w:pPr>
        <w:ind w:left="400" w:hanging="392"/>
        <w:spacing w:after="0"/>
        <w:tabs>
          <w:tab w:leader="none" w:pos="4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This reinsurer is below A-. All material reinsurance recoverable amounts from this reinsurer are collateralized.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7" w:lineRule="exact"/>
        <w:rPr>
          <w:sz w:val="20"/>
          <w:szCs w:val="20"/>
          <w:color w:val="auto"/>
        </w:rPr>
      </w:pPr>
    </w:p>
    <w:p>
      <w:pPr>
        <w:ind w:right="60" w:firstLine="364"/>
        <w:spacing w:after="0" w:line="269" w:lineRule="auto"/>
        <w:rPr>
          <w:sz w:val="20"/>
          <w:szCs w:val="20"/>
          <w:color w:val="auto"/>
        </w:rPr>
      </w:pPr>
      <w:r>
        <w:rPr>
          <w:rFonts w:ascii="Arial" w:cs="Arial" w:eastAsia="Arial" w:hAnsi="Arial"/>
          <w:sz w:val="17"/>
          <w:szCs w:val="17"/>
          <w:color w:val="auto"/>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For the year ended December 31, 2022, due to adverse paid loss trends on the legacy Rasier business, the Company recognized adverse prior year development of $46.7 million on the reserves subject to the Commercial Auto LPT, bringing the cumulative amount ceded under the Commercial Auto LPT to $391.8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Commercial Auto LPT:</w:t>
      </w:r>
    </w:p>
    <w:p>
      <w:pPr>
        <w:spacing w:after="0" w:line="117" w:lineRule="exact"/>
        <w:rPr>
          <w:sz w:val="20"/>
          <w:szCs w:val="20"/>
          <w:color w:val="auto"/>
        </w:rPr>
      </w:pPr>
    </w:p>
    <w:p>
      <w:pPr>
        <w:ind w:right="60" w:firstLine="372"/>
        <w:spacing w:after="0" w:line="271" w:lineRule="auto"/>
        <w:tabs>
          <w:tab w:leader="none" w:pos="643" w:val="left"/>
        </w:tabs>
        <w:numPr>
          <w:ilvl w:val="0"/>
          <w:numId w:val="8"/>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2022, the balance in the Indemnity Trust was $267.0 million, and, together with the balance of the Loss Fund Trust (as defined below) attributable to the Indemnity Agreements as described below, the total balance of collateral securing Rasier’s obligations under the Indemnity Agreements was $336.2 million.</w:t>
      </w:r>
    </w:p>
    <w:p>
      <w:pPr>
        <w:spacing w:after="0" w:line="70" w:lineRule="exact"/>
        <w:rPr>
          <w:rFonts w:ascii="Arial" w:cs="Arial" w:eastAsia="Arial" w:hAnsi="Arial"/>
          <w:sz w:val="17"/>
          <w:szCs w:val="17"/>
          <w:color w:val="auto"/>
        </w:rPr>
      </w:pPr>
    </w:p>
    <w:p>
      <w:pPr>
        <w:ind w:right="40" w:firstLine="372"/>
        <w:spacing w:after="0" w:line="254" w:lineRule="auto"/>
        <w:tabs>
          <w:tab w:leader="none" w:pos="643"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the Commercial Auto LPT, Aleka is required to post collateral equal to 102% of James River's estimate of Aleka's obligations under the Commercial Auto LPT, calculated in accordance with standard actuarial principles and based on reserves recorded in our statutory financial statements. The collateral is provided through a collateral trust arrangement (the “LPT Trust”) established in favor of James River by Aleka. At December 31, 2022, the balance in the LPT Trust was $121.9 million, and, together with the balance of the Loss Fund Trust (as defined below) attributable to the Commercial Auto LPT as described below, the total balance of collateral securing Aleka’s obligations under the Commercial Auto LPT was $150.0 million. At December 31, 2022, the total reinsurance recoverables under the Commercial Auto LPT was $145.2 million (including $132.0 million of unpaid recoverables and $13.2 million of paid recoverables).</w:t>
      </w:r>
    </w:p>
    <w:p>
      <w:pPr>
        <w:spacing w:after="0" w:line="87" w:lineRule="exact"/>
        <w:rPr>
          <w:sz w:val="20"/>
          <w:szCs w:val="20"/>
          <w:color w:val="auto"/>
        </w:rPr>
      </w:pPr>
    </w:p>
    <w:p>
      <w:pPr>
        <w:ind w:right="40" w:firstLine="364"/>
        <w:spacing w:after="0" w:line="288" w:lineRule="auto"/>
        <w:rPr>
          <w:sz w:val="20"/>
          <w:szCs w:val="20"/>
          <w:color w:val="auto"/>
        </w:rPr>
      </w:pPr>
      <w:r>
        <w:rPr>
          <w:rFonts w:ascii="Arial" w:cs="Arial" w:eastAsia="Arial" w:hAnsi="Arial"/>
          <w:sz w:val="16"/>
          <w:szCs w:val="16"/>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2022, the balance in the Loss Fund Trust was $103.2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w:t>
      </w:r>
    </w:p>
    <w:p>
      <w:pPr>
        <w:spacing w:after="0" w:line="60" w:lineRule="exact"/>
        <w:rPr>
          <w:sz w:val="20"/>
          <w:szCs w:val="20"/>
          <w:color w:val="auto"/>
        </w:rPr>
      </w:pPr>
    </w:p>
    <w:p>
      <w:pPr>
        <w:ind w:firstLine="364"/>
        <w:spacing w:after="0" w:line="291" w:lineRule="auto"/>
        <w:rPr>
          <w:sz w:val="20"/>
          <w:szCs w:val="20"/>
          <w:color w:val="auto"/>
        </w:rPr>
      </w:pPr>
      <w:r>
        <w:rPr>
          <w:rFonts w:ascii="Arial" w:cs="Arial" w:eastAsia="Arial" w:hAnsi="Arial"/>
          <w:sz w:val="16"/>
          <w:szCs w:val="16"/>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Policy</w:t>
      </w:r>
    </w:p>
    <w:p>
      <w:pPr>
        <w:spacing w:after="0" w:line="11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 xml:space="preserve">We seek to establish reserves that will adequately meet our obligations. All of our reserving actuaries are credentialed and our Chief Actuary has 38 years of industry experience. We engage independent actuarial consultants to perform independent valuations to corroborate our decisions regarding reserves. Anticipated inflation is reflected implicitly in the reserving process through analysis of cost trends and the review of historical development. We do not discount our reserves for losses and loss adjustment expenses to reflect estimated present value. </w:t>
      </w:r>
      <w:r>
        <w:rPr>
          <w:rFonts w:ascii="Arial" w:cs="Arial" w:eastAsia="Arial" w:hAnsi="Arial"/>
          <w:sz w:val="17"/>
          <w:szCs w:val="17"/>
          <w:color w:val="030303"/>
        </w:rPr>
        <w:t>All of our methods to calculate net reserves include</w:t>
      </w:r>
      <w:r>
        <w:rPr>
          <w:rFonts w:ascii="Arial" w:cs="Arial" w:eastAsia="Arial" w:hAnsi="Arial"/>
          <w:sz w:val="17"/>
          <w:szCs w:val="17"/>
          <w:color w:val="auto"/>
        </w:rPr>
        <w:t xml:space="preserve"> </w:t>
      </w:r>
      <w:r>
        <w:rPr>
          <w:rFonts w:ascii="Arial" w:cs="Arial" w:eastAsia="Arial" w:hAnsi="Arial"/>
          <w:sz w:val="17"/>
          <w:szCs w:val="17"/>
          <w:color w:val="030303"/>
        </w:rPr>
        <w:t>assumptions about estimated reinsurance recoveries and their collectability</w:t>
      </w:r>
      <w:r>
        <w:rPr>
          <w:rFonts w:ascii="Arial" w:cs="Arial" w:eastAsia="Arial" w:hAnsi="Arial"/>
          <w:sz w:val="17"/>
          <w:szCs w:val="17"/>
          <w:color w:val="464646"/>
        </w:rPr>
        <w:t>.</w:t>
      </w:r>
      <w:r>
        <w:rPr>
          <w:rFonts w:ascii="Arial" w:cs="Arial" w:eastAsia="Arial" w:hAnsi="Arial"/>
          <w:sz w:val="17"/>
          <w:szCs w:val="17"/>
          <w:color w:val="030303"/>
        </w:rPr>
        <w:t xml:space="preserve"> Reinsurance collectability is evaluated independently of the reserving process and appropriate allowances for uncollectible reinsurance are established.</w:t>
      </w:r>
    </w:p>
    <w:p>
      <w:pPr>
        <w:spacing w:after="0" w:line="7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maintain reserves for specific claims incurred and reported and reserves for claims incurred but not reported (“IBNR”). The process of establishing loss reserves is complex and inherently imprecise because it must take into consideration many variables that are subject to the outcome of future events</w:t>
      </w:r>
      <w:r>
        <w:rPr>
          <w:rFonts w:ascii="Arial" w:cs="Arial" w:eastAsia="Arial" w:hAnsi="Arial"/>
          <w:sz w:val="16"/>
          <w:szCs w:val="16"/>
          <w:color w:val="5D5D5D"/>
        </w:rPr>
        <w:t>.</w:t>
      </w:r>
      <w:r>
        <w:rPr>
          <w:rFonts w:ascii="Arial" w:cs="Arial" w:eastAsia="Arial" w:hAnsi="Arial"/>
          <w:sz w:val="16"/>
          <w:szCs w:val="16"/>
          <w:color w:val="auto"/>
        </w:rPr>
        <w:t xml:space="preserve"> As a result, informed subjective estimates and judgments about our ultimate exposure to losses are an integral component of our loss reserving process</w:t>
      </w:r>
      <w:r>
        <w:rPr>
          <w:rFonts w:ascii="Arial" w:cs="Arial" w:eastAsia="Arial" w:hAnsi="Arial"/>
          <w:sz w:val="16"/>
          <w:szCs w:val="16"/>
          <w:color w:val="5D5D5D"/>
        </w:rPr>
        <w:t>.</w:t>
      </w:r>
      <w:r>
        <w:rPr>
          <w:rFonts w:ascii="Arial" w:cs="Arial" w:eastAsia="Arial" w:hAnsi="Arial"/>
          <w:sz w:val="16"/>
          <w:szCs w:val="16"/>
          <w:color w:val="auto"/>
        </w:rPr>
        <w:t xml:space="preserve"> Given that loss reserve estimates depend on the outcome of future events</w:t>
      </w:r>
      <w:r>
        <w:rPr>
          <w:rFonts w:ascii="Arial" w:cs="Arial" w:eastAsia="Arial" w:hAnsi="Arial"/>
          <w:sz w:val="16"/>
          <w:szCs w:val="16"/>
          <w:color w:val="3B3B3F"/>
        </w:rPr>
        <w:t>,</w:t>
      </w:r>
      <w:r>
        <w:rPr>
          <w:rFonts w:ascii="Arial" w:cs="Arial" w:eastAsia="Arial" w:hAnsi="Arial"/>
          <w:sz w:val="16"/>
          <w:szCs w:val="16"/>
          <w:color w:val="auto"/>
        </w:rPr>
        <w:t xml:space="preserve"> changes in prior year estimates are generally unavoidable in the insurance industry</w:t>
      </w:r>
      <w:r>
        <w:rPr>
          <w:rFonts w:ascii="Arial" w:cs="Arial" w:eastAsia="Arial" w:hAnsi="Arial"/>
          <w:sz w:val="16"/>
          <w:szCs w:val="16"/>
          <w:color w:val="3B3B3F"/>
        </w:rPr>
        <w:t>.</w:t>
      </w:r>
      <w:r>
        <w:rPr>
          <w:rFonts w:ascii="Arial" w:cs="Arial" w:eastAsia="Arial" w:hAnsi="Arial"/>
          <w:sz w:val="16"/>
          <w:szCs w:val="16"/>
          <w:color w:val="auto"/>
        </w:rPr>
        <w:t xml:space="preserve"> These changes are sometimes referred to as </w:t>
      </w:r>
      <w:r>
        <w:rPr>
          <w:rFonts w:ascii="Arial" w:cs="Arial" w:eastAsia="Arial" w:hAnsi="Arial"/>
          <w:sz w:val="16"/>
          <w:szCs w:val="16"/>
          <w:color w:val="262626"/>
        </w:rPr>
        <w:t>"prior</w:t>
      </w:r>
      <w:r>
        <w:rPr>
          <w:rFonts w:ascii="Arial" w:cs="Arial" w:eastAsia="Arial" w:hAnsi="Arial"/>
          <w:sz w:val="16"/>
          <w:szCs w:val="16"/>
          <w:color w:val="auto"/>
        </w:rPr>
        <w:t xml:space="preserve"> year loss development" or </w:t>
      </w:r>
      <w:r>
        <w:rPr>
          <w:rFonts w:ascii="Arial" w:cs="Arial" w:eastAsia="Arial" w:hAnsi="Arial"/>
          <w:sz w:val="16"/>
          <w:szCs w:val="16"/>
          <w:color w:val="3B3B3F"/>
        </w:rPr>
        <w:t>"</w:t>
      </w:r>
      <w:r>
        <w:rPr>
          <w:rFonts w:ascii="Arial" w:cs="Arial" w:eastAsia="Arial" w:hAnsi="Arial"/>
          <w:sz w:val="16"/>
          <w:szCs w:val="16"/>
          <w:color w:val="auto"/>
        </w:rPr>
        <w:t>reserve development" and are included in current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continually monitor reserves using the most recent information on reported claims and a variety of statistical techniques and we adjust our estimates as experience develops or new information becomes known.</w:t>
      </w:r>
    </w:p>
    <w:p>
      <w:pPr>
        <w:spacing w:after="0" w:line="62"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many cases, several years may elapse between the occurrence of an insured loss, the reporting of the loss and our eventual payment of the loss. We establish loss and loss adjustment expense reserves for the ultimate payment of all losses and loss adjustment expenses incurred. We estimate the reserve for losses and loss adjustment expenses using individual case-basis valuations of reported claims. We also use statistical analyses to estimate the cost of losses that have been incurred but not reported to us. These estimates are based on historical information and on estimates of future trends that may affect the frequency of claims and changes in the average cost of claims that may arise in the future. We also consider various factors such as:</w:t>
      </w:r>
    </w:p>
    <w:p>
      <w:pPr>
        <w:spacing w:after="0" w:line="53"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line and volume of business;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emergence and insured reporting patterns;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Underlying policy terms and conditions;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and exposure mix;</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in claim frequency and severity;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operations;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Emerging economic and social trends;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regulatory and litigation environments;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Discussions with third-party actuarial consultants.</w:t>
      </w:r>
    </w:p>
    <w:p>
      <w:pPr>
        <w:spacing w:after="0" w:line="117"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procedures we use to estimate loss reserves assume that past experience, adjusted for the effects of current developments and anticipated trends, is an appropriate basis for predicting future events. It also assumes that adequate historical or other data exists upon which to make these judgments. These estimates are by their nature subjective and imprecise, and ultimate losses and loss adjustment expenses may vary from established reserves.</w:t>
      </w:r>
    </w:p>
    <w:p>
      <w:pPr>
        <w:spacing w:after="0" w:line="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Reserve Committee consists of our Chief Executive Officer, Chief Financial Officer, Chief Accounting Officer, and Chief Actuary. Additionally, the presidents, chief financial officers and segment actuaries of each of our three insurance segments participate in the Reserve Committee meetings for their respective segments. The Reserve Committee meets quarterly to review the actuarial recommendations made by each segment actuary and use their best judgment to determine the best estimate to be recorded for the reserve for losses and loss adjustment expenses on our balance sheet. The Company also engages an independent internationally recognized actuarial consulting firm to review the Company’s reserve estimates in the third and fourth quarters of each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reflects our favorable (adverse) reserve development by segment during the calendar years 2022 to 2013 individually and in aggregate.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Excess and</w:t>
            </w:r>
          </w:p>
        </w:tc>
        <w:tc>
          <w:tcPr>
            <w:tcW w:w="26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Specialty</w:t>
            </w:r>
          </w:p>
        </w:tc>
        <w:tc>
          <w:tcPr>
            <w:tcW w:w="220" w:type="dxa"/>
            <w:vAlign w:val="bottom"/>
          </w:tcPr>
          <w:p>
            <w:pPr>
              <w:spacing w:after="0"/>
              <w:rPr>
                <w:sz w:val="14"/>
                <w:szCs w:val="14"/>
                <w:color w:val="auto"/>
              </w:rPr>
            </w:pPr>
          </w:p>
        </w:tc>
        <w:tc>
          <w:tcPr>
            <w:tcW w:w="12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Casualty</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5"/>
              </w:rPr>
              <w:t>Admitted</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Grand Total</w:t>
            </w:r>
          </w:p>
        </w:tc>
        <w:tc>
          <w:tcPr>
            <w:tcW w:w="0" w:type="dxa"/>
            <w:vAlign w:val="bottom"/>
          </w:tcPr>
          <w:p>
            <w:pPr>
              <w:spacing w:after="0"/>
              <w:rPr>
                <w:sz w:val="1"/>
                <w:szCs w:val="1"/>
                <w:color w:val="auto"/>
              </w:rPr>
            </w:pPr>
          </w:p>
        </w:tc>
      </w:tr>
      <w:tr>
        <w:trPr>
          <w:trHeight w:val="196"/>
        </w:trPr>
        <w:tc>
          <w:tcPr>
            <w:tcW w:w="45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Surplus Lines</w:t>
            </w:r>
          </w:p>
        </w:tc>
        <w:tc>
          <w:tcPr>
            <w:tcW w:w="26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7"/>
                <w:szCs w:val="17"/>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b w:val="1"/>
                <w:bCs w:val="1"/>
                <w:color w:val="auto"/>
              </w:rPr>
              <w:t>Reinsurance</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Calendar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w:t>
            </w:r>
          </w:p>
        </w:tc>
        <w:tc>
          <w:tcPr>
            <w:tcW w:w="3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4,150</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(13,430)</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40"/>
              <w:spacing w:after="0" w:line="230" w:lineRule="exact"/>
              <w:rPr>
                <w:sz w:val="20"/>
                <w:szCs w:val="20"/>
                <w:color w:val="auto"/>
              </w:rPr>
            </w:pPr>
            <w:r>
              <w:rPr>
                <w:rFonts w:ascii="Arial" w:cs="Arial" w:eastAsia="Arial" w:hAnsi="Arial"/>
                <w:sz w:val="18"/>
                <w:szCs w:val="18"/>
                <w:color w:val="auto"/>
              </w:rPr>
              <w:t xml:space="preserve">(190,710)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(137,568)</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2"/>
                <w:szCs w:val="12"/>
                <w:color w:val="auto"/>
                <w:w w:val="81"/>
              </w:rPr>
              <w:t>(6)</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(325,778)</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2020</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40"/>
              <w:spacing w:after="0" w:line="230" w:lineRule="exact"/>
              <w:rPr>
                <w:sz w:val="20"/>
                <w:szCs w:val="20"/>
                <w:color w:val="auto"/>
              </w:rPr>
            </w:pPr>
            <w:r>
              <w:rPr>
                <w:rFonts w:ascii="Arial" w:cs="Arial" w:eastAsia="Arial" w:hAnsi="Arial"/>
                <w:sz w:val="18"/>
                <w:szCs w:val="18"/>
                <w:color w:val="auto"/>
              </w:rPr>
              <w:t xml:space="preserve">(59,437)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(37,778)</w:t>
            </w:r>
          </w:p>
        </w:tc>
        <w:tc>
          <w:tcPr>
            <w:tcW w:w="360" w:type="dxa"/>
            <w:vAlign w:val="bottom"/>
          </w:tcPr>
          <w:p>
            <w:pPr>
              <w:jc w:val="right"/>
              <w:ind w:right="154"/>
              <w:spacing w:after="0"/>
              <w:rPr>
                <w:sz w:val="20"/>
                <w:szCs w:val="20"/>
                <w:color w:val="auto"/>
              </w:rPr>
            </w:pPr>
            <w:r>
              <w:rPr>
                <w:rFonts w:ascii="Arial" w:cs="Arial" w:eastAsia="Arial" w:hAnsi="Arial"/>
                <w:sz w:val="12"/>
                <w:szCs w:val="12"/>
                <w:color w:val="auto"/>
                <w:w w:val="81"/>
              </w:rPr>
              <w:t>(7)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(92,204)</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40"/>
              <w:spacing w:after="0" w:line="230" w:lineRule="exact"/>
              <w:rPr>
                <w:sz w:val="20"/>
                <w:szCs w:val="20"/>
                <w:color w:val="auto"/>
              </w:rPr>
            </w:pPr>
            <w:r>
              <w:rPr>
                <w:rFonts w:ascii="Arial" w:cs="Arial" w:eastAsia="Arial" w:hAnsi="Arial"/>
                <w:sz w:val="18"/>
                <w:szCs w:val="18"/>
                <w:color w:val="auto"/>
              </w:rPr>
              <w:t xml:space="preserve">(51,173)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(23,087)</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2"/>
                <w:szCs w:val="12"/>
                <w:color w:val="auto"/>
                <w:w w:val="81"/>
              </w:rPr>
              <w:t>(8)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(69,008)</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2018</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40"/>
              <w:spacing w:after="0" w:line="230" w:lineRule="exact"/>
              <w:rPr>
                <w:sz w:val="20"/>
                <w:szCs w:val="20"/>
                <w:color w:val="auto"/>
              </w:rPr>
            </w:pPr>
            <w:r>
              <w:rPr>
                <w:rFonts w:ascii="Arial" w:cs="Arial" w:eastAsia="Arial" w:hAnsi="Arial"/>
                <w:sz w:val="18"/>
                <w:szCs w:val="18"/>
                <w:color w:val="auto"/>
              </w:rPr>
              <w:t xml:space="preserve">(15,012) </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(8,220)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40"/>
              <w:spacing w:after="0" w:line="230" w:lineRule="exact"/>
              <w:rPr>
                <w:sz w:val="20"/>
                <w:szCs w:val="20"/>
                <w:color w:val="auto"/>
              </w:rPr>
            </w:pPr>
            <w:r>
              <w:rPr>
                <w:rFonts w:ascii="Arial" w:cs="Arial" w:eastAsia="Arial" w:hAnsi="Arial"/>
                <w:sz w:val="18"/>
                <w:szCs w:val="18"/>
                <w:color w:val="auto"/>
              </w:rPr>
              <w:t xml:space="preserve">(20,023) </w:t>
            </w:r>
            <w:r>
              <w:rPr>
                <w:rFonts w:ascii="Arial" w:cs="Arial" w:eastAsia="Arial" w:hAnsi="Arial"/>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2016</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24,079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23,716</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25,424</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2014</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27,283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40,734</w:t>
            </w:r>
          </w:p>
        </w:tc>
        <w:tc>
          <w:tcPr>
            <w:tcW w:w="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37,452</w:t>
            </w:r>
          </w:p>
        </w:tc>
        <w:tc>
          <w:tcPr>
            <w:tcW w:w="0" w:type="dxa"/>
            <w:vAlign w:val="bottom"/>
          </w:tcPr>
          <w:p>
            <w:pPr>
              <w:spacing w:after="0"/>
              <w:rPr>
                <w:sz w:val="1"/>
                <w:szCs w:val="1"/>
                <w:color w:val="auto"/>
              </w:rPr>
            </w:pPr>
          </w:p>
        </w:tc>
      </w:tr>
      <w:tr>
        <w:trPr>
          <w:trHeight w:val="223"/>
        </w:trPr>
        <w:tc>
          <w:tcPr>
            <w:tcW w:w="4580" w:type="dxa"/>
            <w:vAlign w:val="bottom"/>
            <w:gridSpan w:val="3"/>
          </w:tcPr>
          <w:p>
            <w:pPr>
              <w:ind w:left="20"/>
              <w:spacing w:after="0"/>
              <w:rPr>
                <w:sz w:val="20"/>
                <w:szCs w:val="20"/>
                <w:color w:val="auto"/>
              </w:rPr>
            </w:pPr>
            <w:r>
              <w:rPr>
                <w:rFonts w:ascii="Arial" w:cs="Arial" w:eastAsia="Arial" w:hAnsi="Arial"/>
                <w:sz w:val="18"/>
                <w:szCs w:val="18"/>
                <w:b w:val="1"/>
                <w:bCs w:val="1"/>
                <w:color w:val="auto"/>
              </w:rPr>
              <w:t>Cumulative Development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(218,625)</w:t>
            </w:r>
          </w:p>
        </w:tc>
        <w:tc>
          <w:tcPr>
            <w:tcW w:w="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(251,486)</w:t>
            </w:r>
          </w:p>
        </w:tc>
        <w:tc>
          <w:tcPr>
            <w:tcW w:w="3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(430,300)</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86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-1988185</wp:posOffset>
            </wp:positionV>
            <wp:extent cx="240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-1988185</wp:posOffset>
            </wp:positionV>
            <wp:extent cx="111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5" w:lineRule="exact"/>
        <w:rPr>
          <w:sz w:val="20"/>
          <w:szCs w:val="20"/>
          <w:color w:val="auto"/>
        </w:rPr>
      </w:pPr>
    </w:p>
    <w:p>
      <w:pPr>
        <w:ind w:left="340" w:hanging="332"/>
        <w:spacing w:after="0" w:line="277" w:lineRule="auto"/>
        <w:tabs>
          <w:tab w:leader="none" w:pos="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$200.1 million of adverse development in the commercial auto line of business that was primarily related to the 2019 and prior contract years with Rasier, partially offset by $9.4 million of favorable development from other divisions.</w:t>
      </w:r>
    </w:p>
    <w:p>
      <w:pPr>
        <w:spacing w:after="0" w:line="62" w:lineRule="exact"/>
        <w:rPr>
          <w:rFonts w:ascii="Arial" w:cs="Arial" w:eastAsia="Arial" w:hAnsi="Arial"/>
          <w:sz w:val="18"/>
          <w:szCs w:val="18"/>
          <w:color w:val="auto"/>
        </w:rPr>
      </w:pPr>
    </w:p>
    <w:p>
      <w:pPr>
        <w:ind w:left="340" w:right="100" w:hanging="332"/>
        <w:spacing w:after="0" w:line="277" w:lineRule="auto"/>
        <w:tabs>
          <w:tab w:leader="none" w:pos="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$91.4 million of adverse development in the commercial auto line of business that was primarily related to the 2018 and prior contract years with Rasier, partially offset by $32.0 million of favorable development from other divisions.</w:t>
      </w:r>
    </w:p>
    <w:p>
      <w:pPr>
        <w:spacing w:after="0" w:line="62" w:lineRule="exact"/>
        <w:rPr>
          <w:rFonts w:ascii="Arial" w:cs="Arial" w:eastAsia="Arial" w:hAnsi="Arial"/>
          <w:sz w:val="18"/>
          <w:szCs w:val="18"/>
          <w:color w:val="auto"/>
        </w:rPr>
      </w:pPr>
    </w:p>
    <w:p>
      <w:pPr>
        <w:ind w:left="340" w:right="80" w:hanging="332"/>
        <w:spacing w:after="0" w:line="277" w:lineRule="auto"/>
        <w:tabs>
          <w:tab w:leader="none" w:pos="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$57.4 million of adverse development in the commercial auto line of business that was primarily related to the 2016 and 2017 contract years with Rasier, partially offset by $6.2 million of favorable development from other divisions.</w:t>
      </w:r>
    </w:p>
    <w:p>
      <w:pPr>
        <w:spacing w:after="0" w:line="62" w:lineRule="exact"/>
        <w:rPr>
          <w:rFonts w:ascii="Arial" w:cs="Arial" w:eastAsia="Arial" w:hAnsi="Arial"/>
          <w:sz w:val="18"/>
          <w:szCs w:val="18"/>
          <w:color w:val="auto"/>
        </w:rPr>
      </w:pPr>
    </w:p>
    <w:p>
      <w:pPr>
        <w:ind w:left="340" w:right="500" w:hanging="332"/>
        <w:spacing w:after="0" w:line="277" w:lineRule="auto"/>
        <w:tabs>
          <w:tab w:leader="none" w:pos="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$20.7 million of adverse development in the commercial auto line of business that was primarily related to the 2016 contract year with Rasier, partially offset by $5.7 million of favorable development from other divisions.</w:t>
      </w:r>
    </w:p>
    <w:p>
      <w:pPr>
        <w:spacing w:after="0" w:line="62" w:lineRule="exact"/>
        <w:rPr>
          <w:rFonts w:ascii="Arial" w:cs="Arial" w:eastAsia="Arial" w:hAnsi="Arial"/>
          <w:sz w:val="18"/>
          <w:szCs w:val="18"/>
          <w:color w:val="auto"/>
        </w:rPr>
      </w:pPr>
    </w:p>
    <w:p>
      <w:pPr>
        <w:ind w:left="340" w:right="500" w:hanging="332"/>
        <w:spacing w:after="0" w:line="342" w:lineRule="auto"/>
        <w:tabs>
          <w:tab w:leader="none" w:pos="40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$38.7 million of adverse development in the commercial auto line of business that was primarily related to the 2016 contract year with Rasier, partially offset by $18.6 million of favorable development from other divisions primarily from the 2014 through 2016 accident years.</w:t>
      </w:r>
    </w:p>
    <w:p>
      <w:pPr>
        <w:spacing w:after="0" w:line="15" w:lineRule="exact"/>
        <w:rPr>
          <w:rFonts w:ascii="Arial" w:cs="Arial" w:eastAsia="Arial" w:hAnsi="Arial"/>
          <w:sz w:val="16"/>
          <w:szCs w:val="16"/>
          <w:color w:val="auto"/>
        </w:rPr>
      </w:pPr>
    </w:p>
    <w:p>
      <w:pPr>
        <w:ind w:left="340" w:right="540" w:hanging="332"/>
        <w:spacing w:after="0" w:line="277" w:lineRule="auto"/>
        <w:tabs>
          <w:tab w:leader="none" w:pos="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adverse development primarily related to underwriting years 2014 through 2018. This adverse development was mainly in the general liability and professional liability lines of business.</w:t>
      </w:r>
    </w:p>
    <w:p>
      <w:pPr>
        <w:spacing w:after="0" w:line="62" w:lineRule="exact"/>
        <w:rPr>
          <w:rFonts w:ascii="Arial" w:cs="Arial" w:eastAsia="Arial" w:hAnsi="Arial"/>
          <w:sz w:val="18"/>
          <w:szCs w:val="18"/>
          <w:color w:val="auto"/>
        </w:rPr>
      </w:pPr>
    </w:p>
    <w:p>
      <w:pPr>
        <w:ind w:left="340" w:right="260" w:hanging="332"/>
        <w:spacing w:after="0" w:line="277" w:lineRule="auto"/>
        <w:tabs>
          <w:tab w:leader="none" w:pos="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adverse development primarily related to accident years 2014 through 2018. This adverse development was mainly in the general liability and commercial auto lines of business.</w:t>
      </w:r>
    </w:p>
    <w:p>
      <w:pPr>
        <w:spacing w:after="0" w:line="62" w:lineRule="exact"/>
        <w:rPr>
          <w:rFonts w:ascii="Arial" w:cs="Arial" w:eastAsia="Arial" w:hAnsi="Arial"/>
          <w:sz w:val="18"/>
          <w:szCs w:val="18"/>
          <w:color w:val="auto"/>
        </w:rPr>
      </w:pPr>
    </w:p>
    <w:p>
      <w:pPr>
        <w:ind w:left="340" w:right="280" w:hanging="332"/>
        <w:spacing w:after="0" w:line="277" w:lineRule="auto"/>
        <w:tabs>
          <w:tab w:leader="none" w:pos="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adverse development primarily related to accident years 2011 through 2016. This adverse development was mainly in the general liability and commercial auto lines of business.</w:t>
      </w:r>
    </w:p>
    <w:p>
      <w:pPr>
        <w:spacing w:after="0" w:line="62"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Among the indicators of reserve strength that we monitor closely is the amount of IBNR reserves held on our balance sheet for claims that have been incurred but not yet reported. The table below sets forth our IBNR, total gross reserves and the percentage that IBNR represents of the total gross reserves, in each case by segment and in the aggregate, at December 31, 2022. The percentage that IBNR represents of total gross reserves at December 31, 2022 is 61.5%.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gridSpan w:val="6"/>
          </w:tcPr>
          <w:p>
            <w:pPr>
              <w:ind w:left="840"/>
              <w:spacing w:after="0"/>
              <w:rPr>
                <w:sz w:val="20"/>
                <w:szCs w:val="20"/>
                <w:color w:val="auto"/>
              </w:rPr>
            </w:pPr>
            <w:r>
              <w:rPr>
                <w:rFonts w:ascii="Arial" w:cs="Arial" w:eastAsia="Arial" w:hAnsi="Arial"/>
                <w:sz w:val="14"/>
                <w:szCs w:val="14"/>
                <w:b w:val="1"/>
                <w:bCs w:val="1"/>
                <w:color w:val="auto"/>
                <w:w w:val="90"/>
              </w:rPr>
              <w:t>Gross Reserves at December 31, 2022</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IBNR</w:t>
            </w:r>
          </w:p>
        </w:tc>
        <w:tc>
          <w:tcPr>
            <w:tcW w:w="18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3"/>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top w:val="single" w:sz="8" w:color="auto"/>
            </w:tcBorders>
          </w:tcPr>
          <w:p>
            <w:pPr>
              <w:jc w:val="center"/>
              <w:ind w:right="336"/>
              <w:spacing w:after="0" w:line="133" w:lineRule="exact"/>
              <w:rPr>
                <w:sz w:val="20"/>
                <w:szCs w:val="20"/>
                <w:color w:val="auto"/>
              </w:rPr>
            </w:pPr>
            <w:r>
              <w:rPr>
                <w:rFonts w:ascii="Arial" w:cs="Arial" w:eastAsia="Arial" w:hAnsi="Arial"/>
                <w:sz w:val="14"/>
                <w:szCs w:val="14"/>
                <w:b w:val="1"/>
                <w:bCs w:val="1"/>
                <w:color w:val="auto"/>
              </w:rPr>
              <w:t>IBNR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i w:val="1"/>
                <w:iCs w:val="1"/>
                <w:color w:val="auto"/>
                <w:w w:val="97"/>
              </w:rPr>
              <w:t>(in thousands)</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1,585,860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406,094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755,102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266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428,033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1,701,653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2,768,995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60" w:type="dxa"/>
            <w:vAlign w:val="bottom"/>
            <w:vMerge w:val="restart"/>
          </w:tcPr>
          <w:p>
            <w:pPr>
              <w:jc w:val="right"/>
              <w:ind w:right="6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38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sets forth our IBNR, total net reserves (prior to the $612,000 allowance for credit losses on reinsurance recoverables) and the percentage that IBNR represents of the total net reserves, in each case by segment and in the aggregate, at December 31, 2022. The percentage that IBNR represents of total net reserves at December 31, 2022 is 66.6%.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6"/>
          </w:tcPr>
          <w:p>
            <w:pPr>
              <w:ind w:left="920"/>
              <w:spacing w:after="0"/>
              <w:rPr>
                <w:sz w:val="20"/>
                <w:szCs w:val="20"/>
                <w:color w:val="auto"/>
              </w:rPr>
            </w:pPr>
            <w:r>
              <w:rPr>
                <w:rFonts w:ascii="Arial" w:cs="Arial" w:eastAsia="Arial" w:hAnsi="Arial"/>
                <w:sz w:val="14"/>
                <w:szCs w:val="14"/>
                <w:b w:val="1"/>
                <w:bCs w:val="1"/>
                <w:color w:val="auto"/>
                <w:w w:val="92"/>
              </w:rPr>
              <w:t>Net Reserves at December 31, 2022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IBNR</w:t>
            </w:r>
          </w:p>
        </w:tc>
        <w:tc>
          <w:tcPr>
            <w:tcW w:w="180" w:type="dxa"/>
            <w:vAlign w:val="bottom"/>
          </w:tcPr>
          <w:p>
            <w:pPr>
              <w:spacing w:after="0"/>
              <w:rPr>
                <w:sz w:val="11"/>
                <w:szCs w:val="11"/>
                <w:color w:val="auto"/>
              </w:rPr>
            </w:pPr>
          </w:p>
        </w:tc>
        <w:tc>
          <w:tcPr>
            <w:tcW w:w="17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right"/>
              <w:ind w:right="516"/>
              <w:spacing w:after="0" w:line="133" w:lineRule="exact"/>
              <w:rPr>
                <w:sz w:val="20"/>
                <w:szCs w:val="20"/>
                <w:color w:val="auto"/>
              </w:rPr>
            </w:pPr>
            <w:r>
              <w:rPr>
                <w:rFonts w:ascii="Arial" w:cs="Arial" w:eastAsia="Arial" w:hAnsi="Arial"/>
                <w:sz w:val="14"/>
                <w:szCs w:val="14"/>
                <w:b w:val="1"/>
                <w:bCs w:val="1"/>
                <w:color w:val="auto"/>
              </w:rPr>
              <w:t>IBNR</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180" w:type="dxa"/>
            <w:vAlign w:val="bottom"/>
          </w:tcPr>
          <w:p>
            <w:pPr>
              <w:jc w:val="right"/>
              <w:ind w:right="376"/>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2"/>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i w:val="1"/>
                <w:iCs w:val="1"/>
                <w:color w:val="auto"/>
                <w:w w:val="97"/>
              </w:rPr>
              <w:t>(in thousands)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113,181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58.6 %</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1,248,270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66.6 %</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significant portion of reported claims from prior policy years were closed at December 31, 2022 as shown below:</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Percentage of Claims Closed at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Specialty</w:t>
            </w:r>
          </w:p>
        </w:tc>
        <w:tc>
          <w:tcPr>
            <w:tcW w:w="15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Specialty</w:t>
            </w:r>
          </w:p>
        </w:tc>
        <w:tc>
          <w:tcPr>
            <w:tcW w:w="0" w:type="dxa"/>
            <w:vAlign w:val="bottom"/>
          </w:tcPr>
          <w:p>
            <w:pPr>
              <w:spacing w:after="0"/>
              <w:rPr>
                <w:sz w:val="1"/>
                <w:szCs w:val="1"/>
                <w:color w:val="auto"/>
              </w:rPr>
            </w:pPr>
          </w:p>
        </w:tc>
      </w:tr>
      <w:tr>
        <w:trPr>
          <w:trHeight w:val="139"/>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Admitted</w:t>
            </w:r>
          </w:p>
        </w:tc>
        <w:tc>
          <w:tcPr>
            <w:tcW w:w="15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Admitted</w:t>
            </w:r>
          </w:p>
        </w:tc>
        <w:tc>
          <w:tcPr>
            <w:tcW w:w="0" w:type="dxa"/>
            <w:vAlign w:val="bottom"/>
          </w:tcPr>
          <w:p>
            <w:pPr>
              <w:spacing w:after="0"/>
              <w:rPr>
                <w:sz w:val="1"/>
                <w:szCs w:val="1"/>
                <w:color w:val="auto"/>
              </w:rPr>
            </w:pPr>
          </w:p>
        </w:tc>
      </w:tr>
      <w:tr>
        <w:trPr>
          <w:trHeight w:val="158"/>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5"/>
              </w:rPr>
              <w:t>Excess and</w:t>
            </w:r>
          </w:p>
        </w:tc>
        <w:tc>
          <w:tcPr>
            <w:tcW w:w="16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Excess and</w:t>
            </w:r>
          </w:p>
        </w:tc>
        <w:tc>
          <w:tcPr>
            <w:tcW w:w="1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Insurance</w:t>
            </w: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Insurance</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Surplus Lines</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Surplus Lines</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Segment</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Segment</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Segment Excluding</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Segment</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Individual</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Fronting</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Policy Year</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Commercial</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Commercial</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Risk Workers’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Auto</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Auto</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Comp</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9"/>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96.9 %</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93.5 %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95.5 %</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92.8 %</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79.9 %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93.6 %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88.7 %</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-736600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-736600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21" w:lineRule="exact"/>
        <w:rPr>
          <w:sz w:val="20"/>
          <w:szCs w:val="20"/>
          <w:color w:val="auto"/>
        </w:rPr>
      </w:pPr>
    </w:p>
    <w:p>
      <w:pPr>
        <w:ind w:right="40" w:firstLine="364"/>
        <w:spacing w:after="0" w:line="275" w:lineRule="auto"/>
        <w:rPr>
          <w:sz w:val="20"/>
          <w:szCs w:val="20"/>
          <w:color w:val="auto"/>
        </w:rPr>
      </w:pPr>
      <w:r>
        <w:rPr>
          <w:rFonts w:ascii="Arial" w:cs="Arial" w:eastAsia="Arial" w:hAnsi="Arial"/>
          <w:sz w:val="17"/>
          <w:szCs w:val="17"/>
          <w:color w:val="auto"/>
        </w:rPr>
        <w:t>Our investment strategy seeks to generate stable investment income and contributions to growth in tangible equity, while providing sufficient liquidity to meet our claims and other obligations. We attempt to generate better than market average risk-adjusted returns in our investment portfolio by taking measured risks based upon detailed knowledge of certain niche asset classes. While we are willing to make investments in non-traditional types of investments, we avoid risks that we do not understand well, as well as structures or situations we think could cause substantial loss of capital. The vast majority of our investment portfolio is managed by third party, independent investment managers.</w:t>
      </w:r>
    </w:p>
    <w:p>
      <w:pPr>
        <w:spacing w:after="0" w:line="68" w:lineRule="exact"/>
        <w:rPr>
          <w:sz w:val="20"/>
          <w:szCs w:val="20"/>
          <w:color w:val="auto"/>
        </w:rPr>
      </w:pPr>
    </w:p>
    <w:p>
      <w:pPr>
        <w:ind w:right="100" w:firstLine="364"/>
        <w:spacing w:after="0" w:line="301" w:lineRule="auto"/>
        <w:rPr>
          <w:sz w:val="20"/>
          <w:szCs w:val="20"/>
          <w:color w:val="auto"/>
        </w:rPr>
      </w:pPr>
      <w:r>
        <w:rPr>
          <w:rFonts w:ascii="Arial" w:cs="Arial" w:eastAsia="Arial" w:hAnsi="Arial"/>
          <w:sz w:val="16"/>
          <w:szCs w:val="16"/>
          <w:color w:val="auto"/>
        </w:rPr>
        <w:t>The majority of our investment portfolio is invested in investment grade fixed income securities. This portfolio provides predictable income with low risk of principal loss and strong liquidity. We seek to augment our overall return and income by investing in bank loans and other higher yielding assets, including equity securities and private investments. We designed these strategies to improve our investment return, and we are focused on opportunistic investing in areas where we believe our management has expertise or an appropriate understanding of the risk and return of the investment.</w:t>
      </w:r>
    </w:p>
    <w:p>
      <w:pPr>
        <w:spacing w:after="0" w:line="49" w:lineRule="exact"/>
        <w:rPr>
          <w:sz w:val="20"/>
          <w:szCs w:val="20"/>
          <w:color w:val="auto"/>
        </w:rPr>
      </w:pPr>
    </w:p>
    <w:p>
      <w:pPr>
        <w:ind w:right="200" w:firstLine="364"/>
        <w:spacing w:after="0" w:line="259" w:lineRule="auto"/>
        <w:rPr>
          <w:sz w:val="20"/>
          <w:szCs w:val="20"/>
          <w:color w:val="auto"/>
        </w:rPr>
      </w:pPr>
      <w:r>
        <w:rPr>
          <w:rFonts w:ascii="Arial" w:cs="Arial" w:eastAsia="Arial" w:hAnsi="Arial"/>
          <w:sz w:val="18"/>
          <w:szCs w:val="18"/>
          <w:color w:val="auto"/>
        </w:rPr>
        <w:t>Our strategy is designed to earn higher returns than an investment grade fixed income approach alone while maintaining a high average portfolio credit rating and investing in asset classes and allocations that are consistent with the insurance regulatory and rating agency framework within which we operate. We have generally managed our overall portfolio to a duration of 3 to 5 years. At December 31, 2022, the average duration of our total invested assets and cash, excluding restricted cash, was 4.1 years.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cash and invested assets, excluding restricted cash equivalents, at December 31, 2022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2022</w:t>
            </w: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220" w:type="dxa"/>
            <w:vAlign w:val="bottom"/>
          </w:tcPr>
          <w:p>
            <w:pPr>
              <w:spacing w:after="0"/>
              <w:rPr>
                <w:sz w:val="11"/>
                <w:szCs w:val="11"/>
                <w:color w:val="auto"/>
              </w:rPr>
            </w:pPr>
          </w:p>
        </w:tc>
        <w:tc>
          <w:tcPr>
            <w:tcW w:w="12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Book Value</w:t>
            </w:r>
          </w:p>
        </w:tc>
        <w:tc>
          <w:tcPr>
            <w:tcW w:w="260" w:type="dxa"/>
            <w:vAlign w:val="bottom"/>
          </w:tcPr>
          <w:p>
            <w:pPr>
              <w:spacing w:after="0"/>
              <w:rPr>
                <w:sz w:val="11"/>
                <w:szCs w:val="11"/>
                <w:color w:val="auto"/>
              </w:rPr>
            </w:pPr>
          </w:p>
        </w:tc>
        <w:tc>
          <w:tcPr>
            <w:tcW w:w="13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Market Value</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 Value</w:t>
            </w:r>
          </w:p>
        </w:tc>
        <w:tc>
          <w:tcPr>
            <w:tcW w:w="14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Book Yield</w:t>
            </w:r>
          </w:p>
        </w:tc>
        <w:tc>
          <w:tcPr>
            <w:tcW w:w="1540" w:type="dxa"/>
            <w:vAlign w:val="bottom"/>
          </w:tcPr>
          <w:p>
            <w:pPr>
              <w:jc w:val="right"/>
              <w:ind w:right="234"/>
              <w:spacing w:after="0" w:line="133" w:lineRule="exact"/>
              <w:rPr>
                <w:sz w:val="20"/>
                <w:szCs w:val="20"/>
                <w:color w:val="auto"/>
              </w:rPr>
            </w:pPr>
            <w:r>
              <w:rPr>
                <w:rFonts w:ascii="Arial" w:cs="Arial" w:eastAsia="Arial" w:hAnsi="Arial"/>
                <w:sz w:val="14"/>
                <w:szCs w:val="14"/>
                <w:b w:val="1"/>
                <w:bCs w:val="1"/>
                <w:color w:val="auto"/>
              </w:rPr>
              <w:t>% of Carrying</w:t>
            </w:r>
          </w:p>
        </w:tc>
        <w:tc>
          <w:tcPr>
            <w:tcW w:w="0" w:type="dxa"/>
            <w:vAlign w:val="bottom"/>
          </w:tcPr>
          <w:p>
            <w:pPr>
              <w:spacing w:after="0"/>
              <w:rPr>
                <w:sz w:val="1"/>
                <w:szCs w:val="1"/>
                <w:color w:val="auto"/>
              </w:rPr>
            </w:pPr>
          </w:p>
        </w:tc>
      </w:tr>
      <w:tr>
        <w:trPr>
          <w:trHeight w:val="192"/>
        </w:trPr>
        <w:tc>
          <w:tcPr>
            <w:tcW w:w="3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540" w:type="dxa"/>
            <w:vAlign w:val="bottom"/>
          </w:tcPr>
          <w:p>
            <w:pPr>
              <w:jc w:val="right"/>
              <w:ind w:right="5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3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i w:val="1"/>
                <w:iCs w:val="1"/>
                <w:color w:val="auto"/>
                <w:w w:val="88"/>
              </w:rPr>
              <w:t>($ in thousands)</w:t>
            </w:r>
          </w:p>
        </w:tc>
        <w:tc>
          <w:tcPr>
            <w:tcW w:w="1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and preferred stock</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2,038,521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1,854,248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1,854,248</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78.4 %</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22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171,320</w:t>
            </w:r>
          </w:p>
        </w:tc>
        <w:tc>
          <w:tcPr>
            <w:tcW w:w="26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154,991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154,991</w:t>
            </w:r>
          </w:p>
        </w:tc>
        <w:tc>
          <w:tcPr>
            <w:tcW w:w="26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5.8 %</w:t>
            </w:r>
          </w:p>
        </w:tc>
        <w:tc>
          <w:tcPr>
            <w:tcW w:w="154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48,431</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47,796</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47,796</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107,812</w:t>
            </w:r>
          </w:p>
        </w:tc>
        <w:tc>
          <w:tcPr>
            <w:tcW w:w="26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107,812</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107,812</w:t>
            </w:r>
          </w:p>
        </w:tc>
        <w:tc>
          <w:tcPr>
            <w:tcW w:w="26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4.3 %</w:t>
            </w:r>
          </w:p>
        </w:tc>
        <w:tc>
          <w:tcPr>
            <w:tcW w:w="15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invested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27,447</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27,447</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invested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2,192,294</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92.7 %</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173,164</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invested assets and cash</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2,365,458</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Fixed maturity and preferred stock investments primarily consist of investment grade fixed income and preferred stock securities, which make up 78.4% of total invested assets and cash. Common stock investments primarily consist of dividend yield focused equity holdings and are 2.0% of total invested assets and cash. Our objective with fixed maturity, preferred stock and common stock investments is to earn attractive risk-adjusted returns with a low risk of loss of principal, while earning attractive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117" w:lineRule="exact"/>
        <w:rPr>
          <w:sz w:val="20"/>
          <w:szCs w:val="20"/>
          <w:color w:val="auto"/>
        </w:rPr>
      </w:pPr>
    </w:p>
    <w:p>
      <w:pPr>
        <w:ind w:firstLine="364"/>
        <w:spacing w:after="0" w:line="254" w:lineRule="auto"/>
        <w:rPr>
          <w:sz w:val="20"/>
          <w:szCs w:val="20"/>
          <w:color w:val="auto"/>
        </w:rPr>
      </w:pPr>
      <w:r>
        <w:rPr>
          <w:rFonts w:ascii="Arial" w:cs="Arial" w:eastAsia="Arial" w:hAnsi="Arial"/>
          <w:sz w:val="18"/>
          <w:szCs w:val="18"/>
          <w:color w:val="auto"/>
        </w:rPr>
        <w:t>The Bank Loan portfolio primarily consists of investments in participations in syndicated bank loans, but may also include a small allocation of bonds. Bank loans in our portfolio are generally senior secured loans with an average credit quality of “B” as of December 31, 2022 and floating interest rates based on spreads over LIBOR or SOFR. We believe bank loans are an attractive asset class because (1) floating-rate loans help to reduce our risk of loss in the event of rising interest rates, (2) the loans are generally senior secured, (3) the asset class has a history of relatively high recovery rates in the event of default, (4) the portfolio provides an attractive yield and (5) the maturities of the loans are relatively short (average of approximately 5 years). We invest in this asset class by owning individual loan participations that are carried at fair market value. As of December 31, 2022, bank loans totaled 6.6% of total invested assets and cash.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We make selective investments in private debt or equity securities in areas where we see opportunity or attractive risk and return characteristics. We focus on investments where we believe we have an understanding of the risk and opportunity and have the ability to monitor them closely. At December 31, 2022, we held 10 private investments with a total carrying value of $27.4 million. Our portfolio consists of investments in wind and solar energy, banking, small cap equities, loans of middle market private equity sponsored companies, asset management firms and other investments. We are opportunistic in our private investment strategy and our portfolio may grow or shrink based on the opportunities available to us. Our other invested asset strategy has significant risk and not all investments are successful. As a result, we intentionally keep this portfolio as a small portion of the overall investment portfolio. As of December 31, 2022, other invested assets totaled 1.2% of total invested assets and cash.</w:t>
      </w:r>
    </w:p>
    <w:p>
      <w:pPr>
        <w:spacing w:after="0" w:line="45" w:lineRule="exact"/>
        <w:rPr>
          <w:sz w:val="20"/>
          <w:szCs w:val="20"/>
          <w:color w:val="auto"/>
        </w:rPr>
      </w:pPr>
    </w:p>
    <w:p>
      <w:pPr>
        <w:ind w:right="40" w:firstLine="324"/>
        <w:spacing w:after="0" w:line="255" w:lineRule="auto"/>
        <w:rPr>
          <w:sz w:val="20"/>
          <w:szCs w:val="20"/>
          <w:color w:val="auto"/>
        </w:rPr>
      </w:pPr>
      <w:r>
        <w:rPr>
          <w:rFonts w:ascii="Arial" w:cs="Arial" w:eastAsia="Arial" w:hAnsi="Arial"/>
          <w:sz w:val="17"/>
          <w:szCs w:val="17"/>
          <w:color w:val="auto"/>
        </w:rPr>
        <w:t>Our total invested assets and cash totaled $2,365.5 million as of December 31, 2022. The weighted average credit rating of our portfolio of fixed maturity securities, bank loans and preferred stocks as of December 31, 2022 was “A”. We have intentionally maintained a cautious interest rate risk position by having an average duration for our total invested assets and cash, excluding restricted cash, of 4.1 years at December 31, 2022. This compares to an average duration at December 31, 2021 of 4.0 years. Based on the current duration of 4.1 years, a 1.0% increase in interest rates would result in a pre-tax decline in the market value of our portfolio, excluding other invested assets and cash, of approximately $88.8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Cycle Management and Growth</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insurance and reinsurance business is cyclical in nature, with “hard” and “soft” cycles. Hard markets occur when insurance underwriters limit their exposure in a line of business or across their entire portfolio. When underwriters exercise restraint, insurance buyers are forced to pay more to induce underwriters to cover their risks. A hard market can also be created by economic expansions when capital committed to backing insurance policies does not grow as fast as the demand for insurance. There is generally a correlation between interest rates and the willingness of insurance companies to commit their capital to writing insurance. When fixed income yields are low, insurance companies may need to raise insurance prices to improve underwriting results in order to offset loss of investment income.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are currently in a growth phase for our U.S. primary operations. In both our Excess and Surplus Lines and Specialty Admitted Insurance segments, we are experiencing growth in premiums driven by favorable rates as well as increases in policy count and exposures. In 2020, the growth in the Excess and Surplus Lines segment was impacted by the termination of our insurance contracts with Rasier effective December 31, 2019. The Rasier account generated $374.2 million of gross written premium in 2019, but none in 2020 through 2022. Excluding Rasier, E&amp;S gross written premium increased</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27.5% in 2020, from $548.2 million in 2019 to $699.1 million in 2020. The table below shows the changes in gross written premiums we have experienced in our operating segments from 2020 through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right"/>
              <w:ind w:right="1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right"/>
              <w:ind w:right="115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2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Written Premiums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2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ind w:left="60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833,657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490,208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491,561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408,691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85,208</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182,081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1,496,580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1,507,299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1,257,000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-762635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-762635</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years prior to those presented, the business written at our U.S. primary operations has, at times, been subject to “soft” market conditions, reflected both in price decreases and reduced underlying exposures. Our Excess and Surplus Lines segment is the most sensitive to hard and soft markets. We have, therefore, sought to diversify this business by geography, line of business and revenue stream. While we have been growing this business and achieving increasing or stable rates for several periods through December 31, 2022, there will likely be periods in the future where our growth moderates, stagnates or turns negative. The market for most lines of commercial insurance, other than workers' compensation, are currently in a hardening phase.</w:t>
      </w:r>
    </w:p>
    <w:p>
      <w:pPr>
        <w:spacing w:after="0" w:line="5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Excess and Surplus Lines segment has historically been able to make an underwriting profit regardless of the state of the underwriting cycle. This segment's cumulative combined ratio for 2013 through 2022 is 94.1%.</w:t>
      </w:r>
    </w:p>
    <w:p>
      <w:pPr>
        <w:spacing w:after="0" w:line="62"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Traditionally, admitted insurance lines have been very susceptible to market cycles. We believe this trend is continuing. We seek to isolate ourselves from these trends in our Specialty Admitted Insurance segment by writing lines of business we believe are slightly less competitive, by prudently purchasing reinsurance and by being willing to dramatically reduce our writings when market conditions warrant.</w:t>
      </w:r>
    </w:p>
    <w:p>
      <w:pPr>
        <w:spacing w:after="0" w:line="76"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A material portion of the profitability we seek to achieve from our fronting business will come from fee income that is generated via policies that are issued by our insurance companies and then mostly or wholly reinsured to third parties. Because we earn substantial fees from underwriting business on which we retain little or no insurance risk, this business can be profitable to us even in soft market conditions. We have $437.2 million of gross written premiums for fronting and program business for 2022 ($60.6 million on a net basis), and we expect our fee income will continue to grow in future periods and provide us with a steady revenue stream that will be relatively insulated from conditions in the admitted insurance market.</w:t>
      </w:r>
    </w:p>
    <w:p>
      <w:pPr>
        <w:spacing w:after="0" w:line="53"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the Casualty Reinsurance segment, we have the ability to manage the cycle by growing or shrinking our business according to market conditions and the corresponding prices and terms being offered for the assumption of specific risks. We have a small team of seven people in Bermuda who underwrite and administer the business written by JRG Re in Bermuda.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compete in a variety of markets against a variety of competitors depending on the nature of the risk and coverage being underwritten. The competition for any one account may range from large international firms to smaller regional companies or group captives in the domiciles in which we operate. To remain competitive, our strategy includes, among other measures: (1) focusing on rate adequacy and underwriting discipline, (2) leveraging our distribution network, (3) controlling expenses, (4) maintaining financial strength and issuer credit ratings and (5) providing quality services to agents and policyholders.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and Surplus Lines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Competition within the E&amp;S lines marketplace comes from a wide range of carriers. In addition to mature E&amp;S companies that operate nationwide, there is competition from carriers formed in recent years. The Excess and Surplus Lines segment may also compete with national and regional carriers from the standard market willing to underwrite selected accounts on an admitted basis. Competitors in this segment include ACE Westchester Specialty Group (Chubb), AmRisc Insurance Company (Truist), Apollo Syndicate, Alleghany Corporation (Berkshire Hathaway), Arrowhead General Insurance Agency, Inc., Ategrity Specialty Insurance Company, Axis Insurance Company (Axis Capital Holdings Limited), Beazley Group (Lloyd’s), Brit Insurance (Lloyd’s), Colony Specialty Insurance Company (Argo Group International Holdings, Ltd.), Fairfax Financial Holdings, Ltd., Hiscox Insurance Company (Lloyd’s), Houston Casualty Company (a subsidiary of Tokio Marine HCC), Kinsale Capital Group, Inc., Lexington Insurance Company (American International Group, Inc.), Markel Corporation,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Navigators Insurance Company (Hartford), OneBeacon (Intact Financial Corporation), QBE Insurance Group Ltd., RLI Corp., E&amp;S/Specialty (Nationwide Mutual Group), Starr Insurance Company (C.V. Starr &amp; Company), Swiss Re Ltd, United Specialty Insurance Company, W.R. Berkley, and other large national and multi-national insurance carriers.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Admitted Insurance</w:t>
      </w:r>
    </w:p>
    <w:p>
      <w:pPr>
        <w:spacing w:after="0" w:line="11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Due to the diverse nature of the products offered by the Specialty Admitted Insurance segment, competition comes from various sources. National carriers tend to compete for fronting and program accounts along all product lines. Competition for our fronting business includes but is not limited to State National (now part of Markel), Argo Group, Clear Blue, Spinnaker, Trisura, Red Point, Equity Insurance Company, Worth Insurance, and Amtrust. The majority of the competition for our workers’ compensation business comes from regional companies or regional subsidiaries of national carriers in the domiciles in which they operate. Competitors in our workers’ compensation business include Builders Mutual Insurance Company, Accident Fund Insurance Company of America, W. R. Berkley Corporation, American Interstate Insurance Company (AMERISAFE, Inc.), and Amtrust Group.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Reinsurance</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reinsurance industry is highly competitive. We expect to compete with major reinsurers, most of which are well-established, have a significant operating history and strong financial strength ratings and have developed long-standing client relationships. Competitors in this segment include AXA XL, Axis Re, MS Amlin, QBE Re, Renaissance Re, Sompo International Re, Swiss Re, Transatlantic Re, various Lloyd's syndicates, and other carriers that underwrite U.S. casualty reinsurance.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11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Insurance Act 1978 and related rules and regulations (the “Insurance Act”), which regulates the insurance business of JRG Re, provides that no person shall carry on insurance business in or from within Bermuda unless registered as an insurer under the Insurance Act by the Bermuda Monetary Authority (the “BMA”). The BMA, in deciding whether to grant registration,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The registration of an applicant as an insurer is subject to its complying with the terms of its registration and such other conditions as the BMA may impose at any time.</w:t>
      </w:r>
    </w:p>
    <w:p>
      <w:pPr>
        <w:spacing w:after="0" w:line="7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It is not necessary that the insurance company be incorporated in Bermuda. A foreign corporation may obtain a permit under the Companies Act 1981 of Bermuda (the “Companies Act”) to carry on business in Bermuda and then be registered as an insurer in Bermuda under the Insurance Act.</w:t>
      </w:r>
    </w:p>
    <w:p>
      <w:pPr>
        <w:spacing w:after="0" w:line="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Insurance Act does not distinguish between insurers and reinsurers; companies are registered (licensed) under the Insurance Act as “insurers” (although in certain circumstances a condition to registration may be imposed to the effect that the company may carry on only reinsurance business). The Insurance Act uses the defined term “insurance business” to include reinsurance business.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Insurance Act also grants to the BMA powers to supervise, investigate and intervene in the affairs of insurance companies.</w:t>
      </w:r>
    </w:p>
    <w:p>
      <w:pPr>
        <w:spacing w:after="0" w:line="11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An Insurance Advisory Committee appointed by the Bermuda Minister of Finance advises the BMA on matters connected with the discharge of the BMA’s functions and subcommittees thereof supervise, investigate and review the law and practice of insurance in Bermuda, including reviews of accounting and administrative procedures.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Insurance Act imposes solvency and liquidity standards on Bermuda insurance companies, as well as auditing and reporting requirements.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significant aspects of the Bermuda insurance regulatory framework applicable to Class 3B insurers are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Insurers</w:t>
      </w:r>
    </w:p>
    <w:p>
      <w:pPr>
        <w:spacing w:after="0" w:line="117"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Insurance Act distinguishes between insurers carrying on long-term business, insurers carrying on general business and insurers carrying on special purpose business. There are several classifications of insurers carrying on general business, ranging from Class 1 insurers (pure captives) to Class 4 insurers (large commercial underwriters). JRG Re is licensed as a Class 3B insurer and is regulated as such under the Insurance Act.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Paid-Up Share Capital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Class 3B insurer is required to maintain fully paid up share capital of at least $120,000.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Representative and Principal Office</w:t>
      </w:r>
    </w:p>
    <w:p>
      <w:pPr>
        <w:spacing w:after="0" w:line="117"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color w:val="auto"/>
        </w:rPr>
        <w:t>A Class 3B insurer is required to maintain a principal office and to appoint and maintain a principal representative in Bermuda. For the purposes of the Insurance Act, the principal office of JRG Re is located at Wellesley House, 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Floor, 90 Pitts Bay Road, Pembroke, HM 08, Bermuda.</w:t>
      </w:r>
    </w:p>
    <w:p>
      <w:pPr>
        <w:ind w:right="100" w:firstLine="324"/>
        <w:spacing w:after="0" w:line="277" w:lineRule="auto"/>
        <w:rPr>
          <w:sz w:val="20"/>
          <w:szCs w:val="20"/>
          <w:color w:val="auto"/>
        </w:rPr>
      </w:pPr>
      <w:r>
        <w:rPr>
          <w:rFonts w:ascii="Arial" w:cs="Arial" w:eastAsia="Arial" w:hAnsi="Arial"/>
          <w:sz w:val="18"/>
          <w:szCs w:val="18"/>
          <w:color w:val="auto"/>
        </w:rPr>
        <w:t>Without a reason acceptable to the BMA, an insurer may not terminate the appointment of its principal representative, and the principal representative may not cease to act as such, unless 30 days’ prior notice in writing to the BMA is given of the intention to do so.</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It is the duty of the principal representative to forthwith notify the BMA where the principal representative reaches the view that there is a likelihood of the insurer (for which the principal representative acts) becoming insolvent, or on it coming to the knowledge of the principal representative, or the principal representative having reason to believe, that a reportable “event” has occurred. Examples of a reportable “event” include a failure by the insurer to comply substantially with a condition imposed upon it by the BMA relating to a solvency margin or a liquidity or other ratio, a significant loss reasonably likely to cause the insurer to fail to comply with its enhanced capital requirement (discussed below) and the occurrence of a material change (as such term is defined under the Insurance Act) in its business operations.</w:t>
      </w:r>
    </w:p>
    <w:p>
      <w:pPr>
        <w:spacing w:after="0" w:line="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Within 14 days of such notification to the BMA, the principal representative must furnish the BMA with a written report setting out all the particulars of the case that are available to the principal representative.</w:t>
      </w:r>
    </w:p>
    <w:p>
      <w:pPr>
        <w:spacing w:after="0" w:line="6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Where there has been a significant loss which is reasonably likely to cause the insurer to fail to comply with its enhanced capital requirement, the principal representative must also furnish the BMA with a capital and solvency return reflecting an enhanced capital requirement prepared using post-loss data. The principal representative must provide this within 45 days of notifying the BMA regarding the loss.</w:t>
      </w:r>
    </w:p>
    <w:p>
      <w:pPr>
        <w:spacing w:after="0" w:line="5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Furthermore, where a notification has been made to the BMA regarding a material change, the principal representative has 30 days from the date of such notification to furnish the BMA with unaudited interim statutory financial statements in relation to such period as the BMA may require, together with a general business solvency certificate in respect of those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 Office</w:t>
      </w:r>
    </w:p>
    <w:p>
      <w:pPr>
        <w:spacing w:after="0" w:line="11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A Class 3B insurer shall maintain its head office in Bermuda. In determining whether the insurer satisfies this requirement, the BMA shall consider, </w:t>
      </w:r>
      <w:r>
        <w:rPr>
          <w:rFonts w:ascii="Arial" w:cs="Arial" w:eastAsia="Arial" w:hAnsi="Arial"/>
          <w:sz w:val="16"/>
          <w:szCs w:val="16"/>
          <w:i w:val="1"/>
          <w:iCs w:val="1"/>
          <w:color w:val="auto"/>
        </w:rPr>
        <w:t>inter alia</w:t>
      </w:r>
      <w:r>
        <w:rPr>
          <w:rFonts w:ascii="Arial" w:cs="Arial" w:eastAsia="Arial" w:hAnsi="Arial"/>
          <w:sz w:val="16"/>
          <w:szCs w:val="16"/>
          <w:color w:val="auto"/>
        </w:rPr>
        <w:t>, the following factors: (i) where the underwriting, risk management and operational decision making of the insurer occurs; (ii)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presence of senior executives who are responsible for, and involved in, the decision making related to the insurance business of the insurer are located in Bermuda; and (iii) where meetings of the board of directors of the insurer occur. In making its determination, the BMA may also have regard to (a) the location where management of the insurer meets to effect policy decisions of the insurer; (b) the residence of the officers, insurance managers or employees of the insurer; and (c) the residence of one or more directors of the insurer in Bermuda. This provision does not apply to an insurer that has a permit to conduct business in Bermuda under the Companies Act or the Non-Resident Insurance Undertakings Act 1967.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Reserve Specialist</w:t>
      </w:r>
    </w:p>
    <w:p>
      <w:pPr>
        <w:spacing w:after="0" w:line="117"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 Class 3B insurer is required to appoint an individual approved by the BMA to be its loss reserve specialist. In order to qualify as an approved loss reserve specialist, the applicant must be an individual qualified to provide an opinion in accordance with the requirements of the Insurance Act and the BMA must be satisfied that the individual is fit and proper to hold such an appointment.</w:t>
      </w:r>
    </w:p>
    <w:p>
      <w:pPr>
        <w:spacing w:after="0" w:line="7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Class 3B insurer is required to submit annually an opinion of its approved loss reserve specialist with its capital and solvency return in respect of its total general business insurance technical provisions (i.e. the aggregate of its net premium provisions, net loss and loss expense provisions and risk margin, as each is reported in the insurer’s statutory economic balance sheet). The loss reserve specialist’s opinion must state, among other things, whether or not the aggregate amount of technical provisions shown in the statutory economic balance sheet as at the end of the relevant financial year (i) meets the requirements of the Insurance Act and (ii) makes reasonable provision for the total technical provisions of the insurer under the terms of its insurance contracts and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Financial Statements</w:t>
      </w:r>
    </w:p>
    <w:p>
      <w:pPr>
        <w:spacing w:after="0" w:line="11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A Class 3B insurer is required to prepare and submit to the BMA, on an annual basis, audited financial statements which have been prepared under generally accepted accounting principles or international financial reporting standards (“GAAP financial statements”) and audited statutory financial statements.</w:t>
      </w:r>
    </w:p>
    <w:p>
      <w:pPr>
        <w:spacing w:after="0" w:line="7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Insurance Act prescribes rules for the preparation and substance of statutory financial statements (which include, in statutory form, a balance sheet, an income statement, a statement of capital and surplus and notes thereto). The statutory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include detailed information and analysis regarding premiums, claims, reinsurance and investments of the insurer.</w:t>
      </w:r>
    </w:p>
    <w:p>
      <w:pPr>
        <w:spacing w:after="0" w:line="117"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insurer’s annual GAAP financial statements, and the auditor’s report thereon, and the statutory financial statements are required to be filed with the BMA within four months from the end of the relevant financial year (unless specifically extended with the approval of the BMA). The statutory financial statements do not form a part of the public records maintained by the BMA but the GAAP financial statements are available for public inspection.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Compliance</w:t>
      </w:r>
    </w:p>
    <w:p>
      <w:pPr>
        <w:spacing w:after="0" w:line="117"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At the time of filing its statutory financial statements, a Class 3B insurer is also required to deliver to the BMA a declaration of compliance, in such form and with such content as may be prescribed by the BMA, declaring whether or not the insurer has, with respect to the preceding financial year</w:t>
      </w: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complied with all requirements of the minimum criteria applicable to it, (ii) complied with the minimum margin of solvency as at its financial year end,</w:t>
      </w:r>
    </w:p>
    <w:p>
      <w:pPr>
        <w:spacing w:after="0" w:line="32" w:lineRule="exact"/>
        <w:rPr>
          <w:rFonts w:ascii="Arial" w:cs="Arial" w:eastAsia="Arial" w:hAnsi="Arial"/>
          <w:sz w:val="16"/>
          <w:szCs w:val="16"/>
          <w:color w:val="auto"/>
        </w:rPr>
      </w:pPr>
    </w:p>
    <w:p>
      <w:pPr>
        <w:ind w:right="160" w:firstLine="8"/>
        <w:spacing w:after="0" w:line="270"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complied with the applicable enhanced capital requirements as at its financial year end, (iv) complied with applicable conditions, directions and restrictions imposed on, or approvals granted to, the insurer and (v) complied with the minimum liquidity ratio for general business as at its financial year end. The declaration of compliance is required to be signed by two directors of the insurer, and if the insurer has failed to comply with any of the requirements referenced in (i) through (v) above or observe any limitations, restrictions or conditions imposed upon the issuance of its license, if applicable, the insurer will be required to provide the BMA with particulars of such failure in writing. A Class 3B insurer shall be liable to a civil penalty by way of a fine for failure to comply with a duty imposed on it in connection with the delivery of the declaration of compliance.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Statutory Financial Return and Annual Capital and Solvency Return</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Class 3B insurer is required to file with the BMA a statutory financial return no later than four months after its financial year end (unless specifically extended with the approval of the BMA).</w:t>
      </w:r>
    </w:p>
    <w:p>
      <w:pPr>
        <w:spacing w:after="0" w:line="6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statutory financial return of an insurer shall consist of (i) an insurer information sheet, (ii) an auditor’s report, (iii) the statutory financial statements, (iv) notes to the statutory financial statements and (v) declaration of compliance.</w:t>
      </w:r>
    </w:p>
    <w:p>
      <w:pPr>
        <w:spacing w:after="0" w:line="6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insurer information sheet shall state, among other matters, (i) whether the general purpose financial statements of the insurer for the relevant year have been audited and an unqualified opinion issued, (ii) the minimum margin of solvency applying to the insurer and whether such margin was met,</w:t>
      </w:r>
    </w:p>
    <w:p>
      <w:pPr>
        <w:jc w:val="both"/>
        <w:ind w:right="140" w:firstLine="8"/>
        <w:spacing w:after="0" w:line="253"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the minimum liquidity ratio applying to the insurer for the relevant year was met and (iv) whether or not the insurer has complied with every condition attached to its certificate of registration. The insurer information sheet shall state if any of the questions identified in items (ii), (iii) or (iv) above is answered in the negative, whether or not the insurer has taken corrective action in any case and, where the insurer has taken such action, describe the action in an attached statement.</w:t>
      </w:r>
    </w:p>
    <w:p>
      <w:pPr>
        <w:spacing w:after="0" w:line="8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directors are required to certify whether the minimum solvency margin has been met, and the independent approved auditor is required to state whether in its opinion it was reasonable for the directors to make this certification.</w:t>
      </w:r>
    </w:p>
    <w:p>
      <w:pPr>
        <w:spacing w:after="0" w:line="6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Where an insurer’s accounts have been audited for any purpose other than compliance with the Insurance Act, a statement to that effect must be filed with the statutory financial return.</w:t>
      </w:r>
    </w:p>
    <w:p>
      <w:pPr>
        <w:spacing w:after="0" w:line="62"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In addition, each year the insurer is required to file with the BMA a capital and solvency return along with its annual statutory financial return. The prescribed form of capital and solvency return comprises the insurer’s Bermuda Solvency Capital Requirement (“BSCR”) model or an approved internal capital model in lieu thereof, together with such schedules as prescribed by the Insurance (Prudential Standards) (Class 4 and 3B Solvency Requirement) Rules 2008 for Class 3B insurers, as amended from time to time.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Neither the statutory financial return nor the capital and solvency return is available for public inspection.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Financial Return</w:t>
      </w:r>
    </w:p>
    <w:p>
      <w:pPr>
        <w:spacing w:after="0" w:line="11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Class 3B insurer, not otherwise subject to group supervision, is required to prepare and file quarterly financial returns with the BMA on or before the last day of the months of May, August and November of each year. The quarterly financial returns consist of (i) quarterly unaudited financial statements for each financial quarter (which must minimally include a balance sheet and income statement and must also be recent and not reflect a financial position that exceeds two months), (ii) a list and details of material intra-group transactions that the Class 3B insurer is a party to and the Class 3B insurer’s risk concentrations that have materialized since the most recent quarterly or annual financial returns, details surrounding all intra-group reinsurance and retrocession arrangements and other intra-group risk transfer insurance business arrangements that have materialized since the most recent quarterly or annual financial returns, (iii) details of the ten largest exposures to unaffiliated counterparties and any other unaffiliated counterparty exposures exceeding 10% of the Class 3B insurer’s statutory capital and surplus, (iv) enhanced capital requirement ratio, (v) commercial insurers solvency self-assessment, (vi) total quoted bonds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60"/>
        <w:spacing w:after="0" w:line="375" w:lineRule="auto"/>
        <w:rPr>
          <w:sz w:val="20"/>
          <w:szCs w:val="20"/>
          <w:color w:val="auto"/>
        </w:rPr>
      </w:pPr>
      <w:r>
        <w:rPr>
          <w:rFonts w:ascii="Arial" w:cs="Arial" w:eastAsia="Arial" w:hAnsi="Arial"/>
          <w:sz w:val="18"/>
          <w:szCs w:val="18"/>
          <w:color w:val="auto"/>
        </w:rPr>
        <w:t xml:space="preserve">unquoted bonds by BSCR rating and (vii) details of the catastrophe event that occurred during the reporting period (if applicable). </w:t>
      </w:r>
      <w:r>
        <w:rPr>
          <w:rFonts w:ascii="Arial" w:cs="Arial" w:eastAsia="Arial" w:hAnsi="Arial"/>
          <w:sz w:val="18"/>
          <w:szCs w:val="18"/>
          <w:b w:val="1"/>
          <w:bCs w:val="1"/>
          <w:i w:val="1"/>
          <w:iCs w:val="1"/>
          <w:color w:val="auto"/>
        </w:rPr>
        <w:t>Public Disclosures</w:t>
      </w:r>
    </w:p>
    <w:p>
      <w:pPr>
        <w:spacing w:after="0" w:line="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All commercial insurers and insurance groups are required under the Insurance Act to prepare and file with the BMA, and also publish on their web site, a financial condition report. The BMA has discretion to approve modifications and exemptions to the public disclosure rules on application by the insurer if, among other things, the BMA is satisfied that the disclosure of certain information will result in a competitive disadvantage or compromise confidentiality obligations of the insurer.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Approved Auditor</w:t>
      </w:r>
    </w:p>
    <w:p>
      <w:pPr>
        <w:spacing w:after="0" w:line="117"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 Class 3B insurer must appoint an independent auditor who will audit and report on the insurer’s GAAP financial statements and statutory financial statements,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Business</w:t>
      </w:r>
    </w:p>
    <w:p>
      <w:pPr>
        <w:spacing w:after="0" w:line="11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No Class 3B insurer may engage in non-insurance business unless that non-insurance business is ancillary to its insurance business. Non-insurance business means any business other than insurance business and includes carrying on investment business, managing an investment fund as operator, carrying on business as a fund administrator, carrying on banking business, underwriting debt or securities or otherwise engaging in investment banking, engaging in commercial or industrial activities and carrying on the business of management, sales or leasing of real property.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Liquidity Ratio</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Insurance Act provides a minimum liquidity ratio for general business insurers. A Class 3B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reinsurance balances receivable, funds held by ceding reinsurers and any other assets which the BMA, on application in any particular case made to it with reasons, accepts in that case.</w:t>
      </w:r>
    </w:p>
    <w:p>
      <w:pPr>
        <w:spacing w:after="0" w:line="8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taxes and letters of credit, guarantees and other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Solvency Margin and Enhanced Capital Requirements</w:t>
      </w:r>
    </w:p>
    <w:p>
      <w:pPr>
        <w:spacing w:after="0" w:line="11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Insurance Act provides that the value of the statutory assets of an insurer must exceed the value of its statutory liabilities by an amount greater than its prescribed minimum solvency margin (“MSM”).</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MSM that must be maintained by a Class 3B insurer with respect to its general business is the greater of (i) $1,000,000, (ii) 20% of the first $6,000,000 of net premiums written (but if the net premiums written are in excess of $6,000,000, the figure is $1,200,000 plus 15% of net premiums written in excess of $6,000,000) or (iii) 15% of the aggregate of net loss and loss expense provisions and other insurance general business reserves or (iv) 25% of the ECR (as defined below) as reported at the end of the relevant year.</w:t>
      </w:r>
    </w:p>
    <w:p>
      <w:pPr>
        <w:spacing w:after="0" w:line="7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Class 3B insurers are also required to maintain available statutory economic capital and surplus at a level equal to or in excess of its enhanced capital requirement (“ECR”) which is established by reference to either the BSCR model or an approved internal capital model.</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BSCR model is a risk-based capital model which provides a method for determining an insurer’s capital requirements (statutory economic capital and surplus) by taking into account the risk characteristics of different aspects of the insurer’s business. The BSCR formula establishes capital requirements for ten categories of risk: fixed income investment risk, equity investment risk, interest rate/liquidity risk, currency risk, concentration risk, premium risk, reserve risk, credit risk, catastrophe risk and operational risk. For each category, the capital requirement is determined by applying factors to asset, premium, reserve, creditor, probable maximum loss and operation items, with higher factors applied to items with greater underlying risk and lower factors for less risky items.</w:t>
      </w:r>
    </w:p>
    <w:p>
      <w:pPr>
        <w:spacing w:after="0" w:line="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While not specifically referred to in the Insurance Act (or required thereunder), the BMA has also established a target capital level (“TCL”) for each Class 3B insurer equal to 120% of its ECR. The TCL serves as an early warning tool for the BMA, and failure to maintain statutory capital at least equal to the TCL will likely result in increased regulatory oversight.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Any insurer which at any time fails to meet its MSM requirements must, upon becoming aware of such failure, immediately notify the BMA and, within 14 days thereafter, file a written report with the BMA containing particulars of the circumstances that gave rise to the failure and setting out its plan detailing specific actions to be taken and the expected timeframe in which the insurer intends to rectify the failure.</w:t>
      </w:r>
    </w:p>
    <w:p>
      <w:pPr>
        <w:spacing w:after="0" w:line="7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Any insurer which at any time fails to meet its applicable ECR shall, upon becoming aware of that failure or of having reason to believe that such a failure has occurred, immediately notify the BMA in writing and within 14 days of such notification file with the BMA a written report containing particulars of the circumstances leading to the failure, and a plan detailing the manner, specific actions to be taken and time within which the insurer intends to rectify the failure, and within 45 days of becoming aware of that failure or of having reason to believe that such a failure has occurred, furnish the BMA with (i) unaudited statutory economic balance sheets and unaudited interim statutory financial statements prepared in accordance with GAAP covering such period as the BMA may require; (ii) the opinion of a loss reserve specialist in relation to the total general business insurance technical provisions as set out in the economic balance sheet, where applicable; (iii) a general business solvency certificate in respect of the financial statements; and (iv) a capital and solvency return reflecting an enhanced capital requirement prepared using post failure data where applicable.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Eligible Capital</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To enable the BMA to better assess the quality of an insurer’s capital resources, a Class 3B insurer is required to disclose the makeup of its capital in accordance with a “3-tiered eligible capital system”. Under this system, all of the insurer’s capital instruments will be classified as either basic or ancillary capital which in turn will be classified into one of three tiers based on their “loss absorbency” characteristics. Highest quality capital will be classified as Tier 1 Capital, and lesser quality capital will be classified as either Tier 2 Capital or Tier 3 Capital. Under this regime, up to certain specified percentages of Tier 1, Tier 2 and Tier 3 Capital may be used to support the insurer’s MSM, ECR and TCL.</w:t>
      </w:r>
    </w:p>
    <w:p>
      <w:pPr>
        <w:spacing w:after="0" w:line="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characteristics of the capital instruments that must be satisfied to qualify as Tier 1, Tier 2 and Tier 3 Capital are set out in the Insurance (Eligible Capital) Rules 2012, and amendments thereto. Under these rules, Tier 1, Tier 2 and Tier 3 Capital may, until January 1, 2026, include capital instruments that do not satisfy the requirement that the instrument be non-redeemable or settled only with the issuance of an instrument of equal or higher quality upon a breach, or if it would cause a breach, of the ECR.</w:t>
      </w:r>
    </w:p>
    <w:p>
      <w:pPr>
        <w:spacing w:after="0" w:line="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Where the BMA has previously approved the use of certain instruments for capital purposes, the BMA’s consent will need to be obtained if such instruments are to remain eligible for use in satisfying the MSM and the ECR.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Insurance Code of Conduct (the “Insurance Code”) prescribes the duties, standards, procedures and sound business principles with which all insurers registered under the Insurance Act must comply. The BMA will assess an insurer’s compliance with the Insurance Code in a proportional manner relative to the nature, scale and complexity of its business. Failure to comply with the requirements of the Insurance Code will be taken into account by the BMA in determining whether an insurer is conducting its business in a sound and prudent manner as prescribed by the Insurance Act, may result in the BMA exercising its powers of intervention and investigation (see below) and will be a factor in calculating the operational risk charge under the insurer’s BSCR or approved internal model.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Risk Code of Conduct</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BMA has recognized that cyber incidents can cause significant financial losses and/or reputational impacts across the insurance industry and has implemented the Insurance Sector Operational Cyber Risk Management Code of Conduct (the “Cyber Risk Code”) to ensure that those operating in the Bermuda insurance sector can mitigate such risks. The Cyber Risk Code prescribes the duties, requirements, standards, procedures and principles which all insurers, insurance managers and insurance intermediaries (agents, brokers and insurance market place providers) registered under the Insurance Act must comply. The Cyber Risk Code is designed to promote the stable and secure management of information technology systems of regulated entities and requires that all registrants implement their own technology risk programmes, determine what their top risks are and develop an appropriate risk response. This requires all registrants to develop a cyber risk policy which is to be delivered pursuant to an operational cyber risk management programme and appoint an appropriately qualified member of staff or outsourced resource to the role of Chief Information Security Officer. The role of the Chief Information Security Officer is to deliver the operational cyber risk management programme.</w:t>
      </w:r>
    </w:p>
    <w:p>
      <w:pPr>
        <w:spacing w:after="0" w:line="7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It is expected that the cyber risk policy will be approved by the registrant’s board of directors at least annually. The BMA will assess a registrant’s compliance with the Cyber Risk Code in a proportionate manner relative to the nature, scale and complexity of its business. While it is acknowledged that some registrants will use a third party to provide technology services and that they may outsource their IT resources (for example, to an insurance manager where applicable), when so outsourced, the overall responsibility for the outsourced functions will remain with the registrant’s board of directors. Failure to comply with the requirements of the Cyber Risk Code will be taken into account by the BMA in determining whether a registrant 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conducting its business in a sound and prudent manner as prescribed by the Insurance Act and may result in the BMA exercising its powers of intervention and investigation (see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Dividends and Distributions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 Class 3B insurer is prohibited from declaring or paying a dividend if it is in breach of its MSM, ECR or minimum liquidity ratio or if the declaration or payment of such dividend would cause such a breach. Where an insurer fails to meet its MSM or minimum liquidity ratio on the last day of any financial year, it will be prohibited from declaring or paying any dividends during the next financial year without the approval of the BMA.</w:t>
      </w:r>
    </w:p>
    <w:p>
      <w:pPr>
        <w:spacing w:after="0" w:line="5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of Capital</w:t>
      </w:r>
    </w:p>
    <w:p>
      <w:pPr>
        <w:spacing w:after="0" w:line="117"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No Class 3B insurer may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 (such as letters of credit).</w:t>
      </w:r>
    </w:p>
    <w:p>
      <w:pPr>
        <w:spacing w:after="0" w:line="5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 Class 3B insurer seeking to reduce its statutory capital by 15% or more, as set out in its previous year’s financial statements, is also required to submit an affidavit signed by at least two directors (one of whom must be a Bermuda-resident director if any of the insurer’s directors are resident in Bermuda) and the principal representative stating that the proposed reduction will not cause it to fail its relevant margins and such other information as the BMA may require. Where such an affidavit is filed, it shall be available for public inspection at the offices of the BMA.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Priority</w:t>
      </w:r>
    </w:p>
    <w:p>
      <w:pPr>
        <w:spacing w:after="0" w:line="11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the event of the liquidation or winding up of an insurer, policyholders’ liabilities receive prior payment ahead of general unsecured creditors. Subject to the prior payment of preferential debts under the Employment Act 2000 and the Companies Act, the insurance debts of an insurer must be paid in priority to all other unsecured debts of the insurer. Insurance debt is defined as a debt to which an insurer is or may become liable pursuant to an insurance contract, excluding debts owed to an insurer under an insurance contract where the insurer is the person insured. Insurance contract is defined as any contract of insurance, capital redemption contract or a contract that has been recorded as insurance business in the financial statements of the insurer pursuant to the Insurance Accounts Regulations 1980 or the Insurance Account Rules 2016, as applicable.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Fit and Proper Controller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BMA maintains supervision over the controllers of all registered insurers in Bermuda.</w:t>
      </w:r>
    </w:p>
    <w:p>
      <w:pPr>
        <w:spacing w:after="0" w:line="117"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 controller includes (i) the managing director of the registered insurer or its parent company, (ii) the chief executive of the registered insurer or of its parent company, (iii) a shareholder controller, and (iv) any person in accordance with whose directions or instructions the directors of the registered insurer or of its parent company are accustomed to act.</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definition of shareholder controller is set out in the Insurance Act, but generally refers to (i) a person who holds 10% or more of the shares carrying rights to vote at a shareholders’ meeting of the registered insurer or its parent company, (ii) a person who is entitled to exercise 10% or more of the voting power at any shareholders’ meeting of such registered insurer or its parent company, or (iii) a person who is able to exercise significant influence over the management of the registered insurer or its parent company by virtue of its shareholding or its entitlement to exercise, or control the exercise of, the voting power at any shareholders’ meeting.</w:t>
      </w:r>
    </w:p>
    <w:p>
      <w:pPr>
        <w:spacing w:after="0" w:line="8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 shareholder controller that owns 10% or more, but less than 20% of the shares as described above is defined as a 10% shareholder controller. A shareholder controller that owns 20% or more, but less than 33% of the shares as described above is defined as a 20% shareholder controller. A shareholder controller that owns 33% or more but less than 50% of the shares as described above is defined as a 33% shareholder controller. A shareholder controller that owns 50% or more of the shares as described above is defined as a 50% shareholder controller.</w:t>
      </w:r>
    </w:p>
    <w:p>
      <w:pPr>
        <w:spacing w:after="0" w:line="6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the shares of JRG Re’s parent company are traded on a recognized stock exchange, a person who becomes a 10%, 20%, 33% or 50% shareholder controller of the insurer, shall, within 45 days, notify the BMA in writing that he or she has become such a controller. In addition, a person who is a shareholder controller of JRG Re must serve on the BMA a notice in writing that he or she has reduced or disposed of his or her holding in the insurer where the proportion of voting rights in the insurer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held by him or her will have reached or has fallen below 10%, 20%, 33% or 50% as the case may be, not later than 45 days after such disposal.</w:t>
      </w:r>
    </w:p>
    <w:p>
      <w:pPr>
        <w:spacing w:after="0" w:line="1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Any person who contravenes the Insurance Act by failing to give notice or knowingly becomes a controller of any description before the required 45 days has elapsed is guilty of an offence and liable to a fine of $25,000 on summary conviction.</w:t>
      </w:r>
    </w:p>
    <w:p>
      <w:pPr>
        <w:spacing w:after="0" w:line="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BMA may file a notice of objection to any person who has become a controller of any description where it appears that such person is not or is no longer, a fit and proper person to be a controller of the registered insurer. 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 Any person who continues to be a controller of any description after having received a notice of objection shall be guilty of an offense and shall be liable on summary conviction to a fine of $25,000 (and a continuing fine of $500 per day for each day that the offense is continuing) or, if convicted on indictment, to a fine of $100,000 and/or two years in prison.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by Registered Person of Change of Controllers and Officers</w:t>
      </w:r>
    </w:p>
    <w:p>
      <w:pPr>
        <w:spacing w:after="0" w:line="11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All registered insurers are required to give written notice to the BMA of the fact that a person has become, or ceased to be, a controller or officer of the insurer within 45 days of becoming aware of such fact. An officer in relation to a registered insurer means a director, chief executive or senior executive performing duties of underwriting, actuarial, risk management, compliance, internal audit, finance or investment matters.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of Material Changes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All registered insurers are required to give notice to the BMA of their intention to effect a material change within the meaning of the Insurance Act. For the purposes of the Insurance Act, the following changes are material: (i) the transfer or acquisition of insurance business being part of a scheme falling under Section 25 of the Insurance Act or Section 99 of the Companies Act, (ii) the amalgamation with or acquisition of another firm, (iii) engaging in unrelated business that is retail business, (iv) the acquisition of a controlling interest in an undertaking that is engaged in non-insurance business which offers services and products to persons who are not affiliates of the insurer, (v) outsourcing all or substantially all of the company’s actuarial, risk management compliance or internal audit functions, (vi) outsourcing all or a material part of an insurer’s underwriting activity, (vii) the transfer other than by way of reinsurance of all or substantially all of a line of business, (viii) expansion into a material new line of business, (ix) the sale of an insurer, and (x) outsourcing of an officer role.</w:t>
      </w:r>
    </w:p>
    <w:p>
      <w:pPr>
        <w:spacing w:after="0" w:line="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No registered insurer shall take any steps to give effect to a material change unless it has first served notice on the BMA that it intends to effect such material change, and before the end of 30 days, either the BMA has notified such company in writing that it has no objection to such change or that period has lapsed without the BMA having issued a notice of objection.</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of Cyber Reporting Events</w:t>
      </w:r>
    </w:p>
    <w:p>
      <w:pPr>
        <w:spacing w:after="0" w:line="11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Every insurer is required to notify the BMA on it coming to the knowledge of the insurer, or where the insurer has reason to believe that a Cyber Reporting Event has occurred. Within fourteen days of such notification, the insurer must also furnish the BMA with a written report setting out all the particulars of the Cyber Reporting Event that are available to it. A Cyber Reporting Event includes any act that results in the unauthorized access to, disruption, or misuse of electronic systems or information stored on such systems of an insurer, including breach of security leading to the loss or unlawful destruction or unauthorized disclosure of or access to such systems or information where there is a likelihood of an adverse impact to policyholders, clients or the insurer's insurance business, or an event that has occurred for which notice is required to be provided to a regulatory body or government agency.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of Other Events</w:t>
      </w:r>
    </w:p>
    <w:p>
      <w:pPr>
        <w:spacing w:after="0" w:line="117"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Every insurer is required to forthwith notify the BMA on it coming to the knowledge of the insurer, or where insurer has reason to believe that the insurer has failed to comply with a condition imposed upon it by the BMA or that the insurer, or a shareholder controller or officer of the insurer is involved in any criminal proceedings whether in Bermuda or abroad.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Supervision, Investigation, Intervention and Disclosure</w:t>
      </w:r>
    </w:p>
    <w:p>
      <w:pPr>
        <w:spacing w:after="0" w:line="11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BMA may, by notice in writing served on a registered person or a designated insurer, require the registered person or designated insurer to provide such information and/or documentation as the BMA may reasonably require with respect to matters that are likely to be material to the performance of its supervisory functions under the Insurance Act. In addition, it may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require such person’s auditor, underwriter, accountant or any other person with relevant professional skill of such registered person or designated insurer to prepare a report on any aspect pertaining thereto. In the case of a report, the person so appointed shall immediately give the BMA written notice of any fact or matter of which he becomes aware or which indicates to him that any condition attaching to his registration under the Insurance Act is not or has not, or may not be or may not have, been fulfilled and that such matters are likely to be material to the performance of its functions under the Insurance Act. If it appears to the BMA to be desirable in the interests of the clients of a registered person or relevant insurance group, the BMA may also exercise these powers in relation to subsidiaries, parent companies and other affiliates of the registered person or designated insurer.</w:t>
      </w:r>
    </w:p>
    <w:p>
      <w:pPr>
        <w:spacing w:after="0" w:line="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If the BMA deems it necessary to protect the interests of the policyholders or potential policyholders of an insurer or insurance group, it may appoint one or more competent persons to investigate and report on the nature, conduct or state of the insurer’s or the insurance group’s business, or any aspect thereof, or the ownership or control of the insurer or insurance group. If the person so appointed thinks it necessary for the purposes of the investigation, such person may also investigate the business of any person who is or has been, at any relevant time, a member of the insurance group or of a partnership of which the person being investigated is a member. In this regard, it shall be the duty of every person who is or was a controller, officer, employee, agent, banker, auditor, accountant, barrister and attorney or insurance manager to produce to the person appointed such documentation as the appointed person may reasonably require for purposes of the investigation, and to attend and answer questions relevant to the investigation and to otherwise provide such assistance as may be necessary in connection therewith.</w:t>
      </w:r>
    </w:p>
    <w:p>
      <w:pPr>
        <w:spacing w:after="0" w:line="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Where the BMA suspects that a person has failed to properly register under the Insurance Act or that a registered person or designated insurer has failed to comply with a requirement of the Insurance Act or that a person is not, or is no longer, a fit and proper person to perform functions in relation to a regulated activity, it may, by notice in writing, carry out an investigation into such person (or any other person connected thereto). In connection therewith, the BMA may require every person who is or was a controller, officer, employee, agent, banker, auditor, accountant, barrister and attorney or insurance manager to make a report and produce such documents in his care, custody and control and to attend before the BMA to answer questions relevant to the BMA’s investigation and to take such actions as the BMA may direct. The BMA may also enter any premises for the purposes of carrying out its investigation and may petition the court for a warrant if it believes a person has failed to comply with a notice served on him, there are reasonable grounds for suspecting the completeness of any information or documentation produced in response to such notice, or that its directions will not be complied with or that any relevant documents would be removed, tampered with or destroyed.</w:t>
      </w:r>
    </w:p>
    <w:p>
      <w:pPr>
        <w:spacing w:after="0" w:line="73" w:lineRule="exact"/>
        <w:rPr>
          <w:sz w:val="20"/>
          <w:szCs w:val="20"/>
          <w:color w:val="auto"/>
        </w:rPr>
      </w:pPr>
    </w:p>
    <w:p>
      <w:pPr>
        <w:ind w:right="20" w:firstLine="202"/>
        <w:spacing w:after="0" w:line="268" w:lineRule="auto"/>
        <w:rPr>
          <w:sz w:val="20"/>
          <w:szCs w:val="20"/>
          <w:color w:val="auto"/>
        </w:rPr>
      </w:pPr>
      <w:r>
        <w:rPr>
          <w:rFonts w:ascii="Arial" w:cs="Arial" w:eastAsia="Arial" w:hAnsi="Arial"/>
          <w:sz w:val="17"/>
          <w:szCs w:val="17"/>
          <w:color w:val="auto"/>
        </w:rPr>
        <w:t>If it appears to the BMA that the business of the registered insurer is being conducted in a way that there is a significant risk of the insurer becoming insolvent or being unable to meet its obligations to policyholders, or that the insurer is in breach of the Insurance Act or any conditions imposed upon its registration, or the minimum criteria stipulated in the Insurance Act is not or has not been fulfilled in respect of a registered insurer, or that a person has become a controller without providing the BMA with the appropriate notice or in contravention of a notice of objection, or the registered insurer is in breach of its ECR, or that a designated insurer is in breach of any provision of the Insurance Act or the regulations or rules applicable to it, the BMA may issue such directions as it deems desirable for safeguarding the interests of policyholders or potential policyholders of the insurer or the insurance group. The BMA may, among other things, direct an insurer, for itself and in its capacity as designated insurer of the insurance group of which it is a member, (i) not to take on any new insurance business, (ii) not to vary any insurance contract if the effect would be to increase the insurer’s liabilities, (iii) not to make certain investments, (iv) to realize certain investments, (v) to maintain in or transfer to the custody of a specified bank, certain assets, (vi) not to declare or pay any dividends or other distributions or to restrict the making of such payments, (vii) to limit its premium income, (viii) not to enter into specified transactions with any specified person or persons of a specified class, (ix) to provide such written particulars relating to the financial circumstances of the insurer as the BMA thinks fit, (x) as an individual insurer only, and not in its capacity as designated insurer, to obtain the opinion of a loss reserve specialist and submit it to the BMA, and/or (xi) to remove a controller or officer.</w:t>
      </w:r>
    </w:p>
    <w:p>
      <w:pPr>
        <w:spacing w:after="0" w:line="7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BMA has the power to assist other regulatory authorities, including foreign insurance regulatory authorities, with their investigations involving insurance and reinsurance companies in Bermuda if it is satisfied that the assistance being requested is in connection with the discharge of regulatory responsibilities and that such cooperation is in the public interest. The grounds for disclosure by the BMA to a foreign regulatory authority without consent of the insurer are limited and the Insurance Act provides for sanctions for breach of the statutory duty of confidentiality.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 of Insurer’s Registration</w:t>
      </w:r>
    </w:p>
    <w:p>
      <w:pPr>
        <w:spacing w:after="0" w:line="11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An insurer’s registration may be cancelled by the BMA at the request of the insurer or on certain grounds specified in the Insurance Act. Failure by the insurer to comply with its obligations under the Insurance Act, or if the BMA believes that the insurer has not been carrying on business in accordance with sound insurance principles, would be examples of such grounds.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Bermuda Law Considerations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Bermuda Law Considerations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Although James River Group Holdings, Ltd. is incorporated in Bermuda, it is designated as a non-resident for Bermuda exchange control purposes by the BMA. Pursuant to its non-resident status, James River Group Holdings, Ltd. may engage in transactions in currencies other than the Bermuda dollar, and there are no restrictions on its ability to transfer funds (other than funds denominated in Bermuda dollars) in and out of Bermuda or to pay dividends to non-residents who are holders of its common shares in currencies other than the Bermuda dollar.</w:t>
      </w:r>
    </w:p>
    <w:p>
      <w:pPr>
        <w:spacing w:after="0" w:line="6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accordance with Bermuda law, share certificates are issued only in the names of companies, partnerships or individuals. In the case of an applicant acting in a special capacity (for example, as an executor or trustee), certificates may, at the request of the applicant, record the capacity in which the applicant is acting. Notwithstanding the recording of any such special capacity, we are not bound to investigate or see to the execution of any such trust. We will take no notice of any trust applicable to any of our common shares whether or not we have notice of such trust.</w:t>
      </w:r>
    </w:p>
    <w:p>
      <w:pPr>
        <w:spacing w:after="0" w:line="6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Each of James River Group Holdings, Ltd., Carolina Re and JRG Re is incorporated in Bermuda as an “exempted company.” Under Bermuda law, exempted companies are companies formed for the purpose of conducting business outside Bermuda from a principal place of business in Bermuda. As a result, they are exempt from Bermuda laws restricting the percentage of share capital that may be held by non-Bermudians. However, exempted companies may not participate in certain business transactions, including: (i) the acquisition or holding of land in Bermuda except that required for their business and held by way of lease or tenancy for a term not exceeding 50 years or, with the consent of the Minister of Finance granted in his discretion by way of lease or tenancy for a term not exceeding 21 years in order to provide accommodation or recreational facilities for its officers and employees, (ii) the taking of mortgages on land in Bermuda to secure an amount in excess of B.D.$50,000 without the consent of the Minister of Finance, (iii) the acquisition of any bonds or debentures secured by any land in Bermuda, other than certain types of Bermuda government securities or securities issued by Bermuda public authorities, or (iv) the carrying on of business of any kind in Bermuda, except in furtherance of business carried on outside Bermuda or under license granted by the Minister of Finance. Generally, it is not permitted without a special license granted by the Minister of Finance to insure Bermuda domestic risks or risks of persons of, in or based in Bermuda. JRG Re is a licensed insurer in Bermuda, and so it may carry on activities from Bermuda that are related to and in support of its insurance business.</w:t>
      </w:r>
    </w:p>
    <w:p>
      <w:pPr>
        <w:spacing w:after="0" w:line="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Each of James River Group Holdings, Ltd., Carolina Re and JRG Re must comply with the provisions of the Companies Act regulating the payment of dividends and making distributions from contributed surplus. A company may not declare or pay a dividend, or make a distribution out of contributed surplus, if there are reasonable grounds for believing that (i) it is, or would after the payment be, unable to pay its liabilities as they become due, or (ii) the realizable value of the assets would thereby be less than its liabilities. In addition, certain provisions of the Insurance Act will limit our ability to pay dividends.</w:t>
      </w:r>
    </w:p>
    <w:p>
      <w:pPr>
        <w:spacing w:after="0" w:line="8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Under the Companies Act, where a Bermuda company issues shares at a premium (that is, for a price above the par value), whether for cash or otherwise, a sum equal to the aggregate amount or value of the premium on those shares must be transferred to an account called “the share premium account.” The provisions of the Companies Act relating to the reduction of the share capital of a company apply as if the share premium account were paid up share capital of that company, except for certain matters such as: (i) paying up unissued shares to be issued to members as fully paid bonus shares, (ii) writing off the preliminary expenses of the company or the expenses of, or the commission paid or discount allowed on any issue of shares or debentures of the company, or (iii) providing for the premiums payable on redemption of shares or of any debentures of the company. The paid up share capital may not be reduced if, on the date the reduction is to be effected, there are reasonable grounds for believing that the company is, or after the reduction would be, unable to pay its liabilities as they become due. See “Restrictions on Dividends and Distributions”.</w:t>
      </w:r>
    </w:p>
    <w:p>
      <w:pPr>
        <w:spacing w:after="0" w:line="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Securities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in cases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the company (which would include our common shares) are listed on an “Appointed Stock Exchange” (which would include the NASDAQ Stock Market). In granting the general permission, the BMA accepts no responsibility for our financial soundness or the correctness of any of the statements made or opinions expressed herein.</w:t>
      </w:r>
    </w:p>
    <w:p>
      <w:pPr>
        <w:spacing w:after="0" w:line="5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We have received consent from the BMA to issue, grant, create, sell and transfer freely any of our shares, stock, bonds, notes (other than promissory notes), debentures, debenture stock, units under a unit trust scheme, shares in an oil royalty, options, warrants, coupons, rights and depository receipts to and among persons who are either resident or non-resident of Bermuda for exchange control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Substance</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Under the Economic Substance Act 2018 and related regulations (collectively, the “ESA”), each entity resident in Bermuda that carries on a “relevant activity” is required to comply with the economic substance requirements under the ESA, unless resident for tax purposes in a jurisdiction outside Bermuda that is not on the EU list of non-cooperative jurisdictions for tax purposes. Relevant activities include, </w:t>
      </w:r>
      <w:r>
        <w:rPr>
          <w:rFonts w:ascii="Arial" w:cs="Arial" w:eastAsia="Arial" w:hAnsi="Arial"/>
          <w:sz w:val="18"/>
          <w:szCs w:val="18"/>
          <w:i w:val="1"/>
          <w:iCs w:val="1"/>
          <w:color w:val="auto"/>
        </w:rPr>
        <w:t>inter alia</w:t>
      </w:r>
      <w:r>
        <w:rPr>
          <w:rFonts w:ascii="Arial" w:cs="Arial" w:eastAsia="Arial" w:hAnsi="Arial"/>
          <w:sz w:val="18"/>
          <w:szCs w:val="18"/>
          <w:color w:val="auto"/>
        </w:rPr>
        <w:t>, insurance and holding entity activities, as each is defined in the ESA.</w:t>
      </w:r>
    </w:p>
    <w:p>
      <w:pPr>
        <w:spacing w:after="0" w:line="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Compliance requires that the entity is managed and directed in Bermuda, core income generating activities (which in relation to insurance includes predicting and calculating risk, insuring or re-insuring against risk, providing client services and preparing regulatory reports) are undertaken in Bermuda with respect to the relevant activity, the entity maintains adequate physical presence in Bermuda, there are adequate full time employees in Bermuda with suitable qualifications and there is adequate operating expenditure incurred in Bermuda in relation to the relevant activity. Entities in scope will also need to file an annual declaration form in respect of its relevant activity or activities.</w:t>
      </w:r>
    </w:p>
    <w:p>
      <w:pPr>
        <w:spacing w:after="0" w:line="8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relation to carrying on the relevant activity of insurance, compliance with the ESA also requires compliance with requirements in the Companies Act relating to corporate governance and the requirements of the Insurance Act and other instruments (including the Insurance Code) made thereunder. The Bermuda Registrar of Companies (the “Registrar”) will have regard to an insurer’s compliance with the Insurance Act and the Companies Act in his assessment of compliance with economic substance requirements and on the basis that an insurer complies with such requirements, the insurer will generally be considered to operate in Bermuda with adequate substance. An insurer will be required to complete and file a declaration form, and the Registrar will also have regard to the information provided in the declaration form in making his assessment of compliance with economic substance requirements.</w:t>
      </w:r>
    </w:p>
    <w:p>
      <w:pPr>
        <w:spacing w:after="0" w:line="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Holding entities are subject to minimum economic substance requirements comprising (in the case of an exempted company), compliance with the corporate governance requirements set forth in the Companies Act and the filing of a declaration form. The ESA also requires such a holding entity to have adequate people for holding and managing equity participations and have adequate premises in Bermuda.</w:t>
      </w:r>
    </w:p>
    <w:p>
      <w:pPr>
        <w:spacing w:after="0" w:line="57"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Any entity that must satisfy economic substance requirements but fails to do so could face automatic disclosure to competent authorities in the EU of the information filed by the entity with the Registrar in connection with the economic substance requirements and may also face financial penalties, restriction or regulation of its business activities and/or may be struck off as a registered entity in Bermuda.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Work Permit Considerations</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Under Bermuda law, non-Bermudians (other than spouses of Bermudians and individuals holding permanent resident’s certificates) may not engage in any gainful occupation in Bermuda without an appropriate government work permit.</w:t>
      </w:r>
    </w:p>
    <w:p>
      <w:pPr>
        <w:spacing w:after="0" w:line="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Standard work permits can be obtained for a one-, two-, three-, four- or five-year period. Where a standard work permit is being applied for, it is a requirement that the job must be advertised for three days (within an eight-day period) in the local newspaper and advertised for eight consecutive days on the Bermuda Government Job Board. Should no Bermudian (or spouse of a Bermudian or holder of a permanent resident’s certificate) meet the minimum standards as stipulated in the advertisements, the employer may then apply for a standard work permit for the non-Bermudian. Where such persons apply, employers must complete a Recruitment Disclosure Form, within the Standard Work Permit Application Form, and provide a summary of all applicants that are Bermudian, the spouse of the Bermudian or the holder of a permanent resident's certificate, including their qualifications. The Department of Immigration will compare the qualifications and experience of any Bermudian applicants (or spouse of a Bermudian or holder of a permanent resident’s certificate) to that stipulated in the advertisements and to the non-Bermudian to be satisfied that the role could not have been filled by a Bermudian (or spouse of a Bermudian or holder of a permanent resident’s certificate). In addition to the advertising, there are other documents that are required prior to the Department of Immigration making its decision.</w:t>
      </w:r>
    </w:p>
    <w:p>
      <w:pPr>
        <w:spacing w:after="0" w:line="7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If the position for which the standard work permit is being applied is that of a Chief Executive Officer or other chief officer post, the Minister of Economy and Labour allows an automatic waiver from the requirement to advertise the position and on occasion may waive the requirement to advertise for other senior executive positions upon request.</w:t>
      </w:r>
    </w:p>
    <w:p>
      <w:pPr>
        <w:spacing w:after="0" w:line="76"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an employer wishes to change an employee’s job title, provided that the job description, duties, remuneration and benefits remain unchanged, the employer does not need to advertise or obtain the permission of the Minister of Economy and Labour to do this, but it must inform the Department of Immigration and pay the necessary fee after the change has occurred.</w:t>
      </w:r>
    </w:p>
    <w:p>
      <w:pPr>
        <w:spacing w:after="0" w:line="7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an employer wishes to promote an employee currently on a work permit from his current job to another within the same business, the permission of the Minister of Economy and Labour must first be obtained. The employer will need to advertise internally and provide evidence of the internal recruitment efforts and consideration of internal Bermudian/spouse of Bermudian candidates.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temporary work permit can take up to 10 working days to process and a standard work permit takes four weeks to process.</w:t>
      </w:r>
    </w:p>
    <w:p>
      <w:pPr>
        <w:spacing w:after="0" w:line="117"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Employers have the right to appeal to the Minister following any decision made by the Board or the Minister. Appeals should be submitted on letter form to the Department for the attention of the Chief Immigration Officer, made within seven (7) working days of the date of the refusal letter.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Insurance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w:t>
      </w:r>
    </w:p>
    <w:p>
      <w:pPr>
        <w:spacing w:after="0" w:line="11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U.S. insurance subsidiaries are subject to extensive regulation and supervision by their state of domicile, as well as those states in which they do business. The purpose of such regulation and supervision is primarily to provide safeguards for policyholders, rather than to protect the interests of shareholders. The insurance laws of the various states establish regulatory agencies with broad administrative powers, including the power to grant or revoke operating licenses and regulate trade practices, investments, premium rates, deposits of securities, the form and content of financial statements and insurance policies, dividend limitations, cancellation and non-renewal of policies, accounting practices and the maintenance of specified reserves and capital for the protection of policyholders.</w:t>
      </w:r>
    </w:p>
    <w:p>
      <w:pPr>
        <w:spacing w:after="0" w:line="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 month period without advance regulatory approval. In Ohio, the domiciliary state of James River Insurance and Falls Lake National Insurance Company (“Falls Lake National”), the limitation is the greater of statutory net income for the preceding calendar year or 10% of the statutory surplus at the end of the preceding calendar year, provided that such dividends may only be paid out of the earned surplus of each of the companies without obtaining regulatory approvals.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Company, this limitation is the greater of statutory net income excluding realized capital gains of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w:t>
      </w:r>
    </w:p>
    <w:p>
      <w:pPr>
        <w:spacing w:after="0" w:line="7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Premium rate regulation varies greatly among jurisdictions and lines of insurance. In most states in which our subsidiaries write insurance, premium rates for the various lines of insurance are subject to either prior approval or limited review upon implementation. States require rates for property-casualty insurance that are adequate, not excessive, and not unfairly discriminatory.</w:t>
      </w:r>
    </w:p>
    <w:p>
      <w:pPr>
        <w:spacing w:after="0" w:line="7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insurance subsidiaries are required to file quarterly and annual reports with the appropriate regulatory agency in its state of domicile and with The National Association of Insurance Commissioners (“NAIC”) based on applicable statutory regulations, which differ from U.S. generally accepted accounting principles. Their business and accounts are subject to examination by such agencies at any time.</w:t>
      </w:r>
    </w:p>
    <w:p>
      <w:pPr>
        <w:spacing w:after="0" w:line="7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Many jurisdictions have laws and regulations that limit an insurer’s ability to withdraw from a particular market. For example, states may limit an insurer’s ability to cancel or non-renew policies. Furthermore, certain states prohibit an insurer from withdrawing one or more lines of business from the states, except pursuant to a plan approved by the state insurance department. Laws and regulations that limit cancellation and non-renewal and that subject program withdrawals to prior approval requirements may restrict our ability to exit unprofitable marketplaces in a timely manner.</w:t>
      </w:r>
    </w:p>
    <w:p>
      <w:pPr>
        <w:spacing w:after="0" w:line="6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State laws governing insurance holding companies and insurance companies require an insurance holding company and their insurance subsidiaries to register with the insurance department authority, to file certain reports disclosing information, including but not limited to capital structure, ownership, management, and financial condition. Such holding company laws also impose standards and filing requirements on certain transactions between related companies, which include, among other requirements, that all transactions be fair and reasonable, that an insurer’s surplus as regards policyholders be reasonable and adequate in relation to its liabilities and that expenses and payments be allocated to the appropriate party in accordance with customary accounting practices. These transactions between related companies include transfers of assets, loans, reinsurance agreements, service agreements, certain dividend payments by the insurance companies and certain other material transactions and modifications to such transactions. In 2012, the NAIC adopted significant changes to the insurance holding company act and regulations (the “NAIC Amendments”). The NAIC Amendments, when adopted by the various states, are designed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its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In addition, in 2012, the NAIC adopted the Risk Management and Own Risk and Solvency Assessment Model Act (the “ORSA Model Act”). The ORSA Model Act, when adopted by the various states, requires an insurance holding company system’s Chief Risk Officer to submit at least annually to its lead state insurance regulator an Own Risk and Solvency Assessment Summary Report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5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insurance holding company laws and regulations of the states in which our insurance companies are domiciled also generally require that before a person can acquire direct or indirect control of an insurer domiciled in the state, and in some cases prior to divesting its control, prior written approval must be obtained from the insurer’s domiciliary state insurance regulator. These laws discourage potential acquisition proposals and may delay, deter or prevent an investment in or a change of control involving us, or one or more of our regulated subsidiaries, including transactions that our management and some or all of our shareholders might consider desirable. Pursuant to applicable laws and regulations, “control” over an insurer is generally presumed to exist if any person, directly or indirectly, owns, controls, holds the power to vote or holds proxies representing, 10 percent or more of the voting securities of that insurer. Indirect ownership includes ownership of the Company’s common shares.</w:t>
      </w:r>
    </w:p>
    <w:p>
      <w:pPr>
        <w:spacing w:after="0" w:line="6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Under state insurance guaranty fund laws, insurance companies doing business in a state can be assessed for certain obligations of insolvent insurance companies to such insolvent companies’ policyholders and claimants. Maximum assessments allowed in any one year generally vary between one percent and two percent of annual premiums written in that state, but it is possible that caps on such assessments could be raised if there are numerous or large insolvencies. In most states, guaranty fund assessments are recoverable either through future policy surcharges or offsets to state premium tax liabilities.</w:t>
      </w:r>
    </w:p>
    <w:p>
      <w:pPr>
        <w:spacing w:after="0" w:line="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state insurance regulators utilize a risk-based capital model to help assess the capital and surplus adequacy of insurance companies in relation to investment and insurance risks and identify insurers that are in, or are perceived as approaching, financial difficulty. This model establishes minimum capital needs based on the risks applicable to the operations of the individual insurer. The risk-based capital requirements for property-casualty insurance companies measure three major areas of risk: asset risk, credit risk and underwriting risk. Under risk-based capital requirements, regulatory compliance is determined by the ratio of a company’s total adjusted capital, as defined by the NAIC, to its company action level risk-based capital. Companies having less statutory surplus than required by the risk-based capital requirements are subject to varying degrees of regulatory scrutiny and intervention, depending on the severity of the inadequacy. At December 31, 2022, the Company’s U.S.-based insurance subsidiaries had total adjusted statutory capital of $493.3 million, which is in excess of the minimum risk-based capital requirement.</w:t>
      </w:r>
    </w:p>
    <w:p>
      <w:pPr>
        <w:spacing w:after="0" w:line="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response to the growing threat of cyber-attacks in the insurance industry, certain jurisdictions have begun to consider new cybersecurity measures, including the adoption of cybersecurity laws and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The following states have either adopted the NAIC Insurance Data Security Model Law or similar laws that govern the cybersecurity and data protection practices of insurers, insurance agents, and other licensed entities registered under state insurance laws: Alabama, Alaska, California, Connecticut, Delaware, Hawaii, Indiana, Iowa, Kentucky, Louisiana, Maine, Maryland, Michigan, Minnesota, Mississippi, New Hampshire, New York,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North Dakota, Ohio, South Carolina, Tennessee, Vermont, Virginia and Wisconsin. We continue to monitor whether the other states in which we conduct business adopt the NAIC’s Insurance Data Security Model Law.</w:t>
      </w:r>
    </w:p>
    <w:p>
      <w:pPr>
        <w:spacing w:after="0" w:line="62"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From time to time, states consider and/or enact laws that may alter or increase state authority to regulate insurance companies and insurance holding companies. States also consider and/or enact laws that impact the competitive environment and marketplace for property-casualty insurance. Changes in legislation or regulations and actions by regulators, including changes in administrative and enforcement policies, could require operational modifications from time to time. We cannot predict the effect that such changes or actions would have on our business, financial condition or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w:t>
      </w:r>
    </w:p>
    <w:p>
      <w:pPr>
        <w:spacing w:after="0" w:line="11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impact the insurance industry, including tort reform, corporate governance and the taxation of reinsurance companies. The Dodd-Frank Wall Street Reform and Consumer Protection Act (the “Dodd-Frank Act”) established the Federal Insurance Office which is authorized to study, monitor and report to Congress on the insurance industry and to recommend that the Financial Stability Oversight Council (“FSOC”)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Additionally, the Dodd-Frank Act streamlined E&amp;S placements, the payment of E&amp;S taxes, the regulation of credit for reinsurance, and simplified the process for insurers to become an eligible E&amp;S insurer in the United States.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Changes to federal legislation and administrative policies in several areas, including changes in federal taxation, can also significantly impact the insurance industry and us.</w:t>
      </w:r>
    </w:p>
    <w:p>
      <w:pPr>
        <w:spacing w:after="0" w:line="6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December 20, 2019, the Terrorism Risk Insurance Act of 2002 and its successors, the Terrorism Risk Insurance Extension Act of 2005, the Terrorism Risk Insurance Program Reauthorization Act of 2007, and the Terrorism Risk Insurance Program Reauthorization Act of 2015 (collectively, the “Terrorism Acts”), were extended through December 31, 2027. Under the Terrorism Acts, commercial property and casualty insurers, in exchange for making terrorism insurance available, may be entitled to be reimbursed by the federal government for a portion of their aggregate losses. As required by the Terrorism Acts, we offer policyholders in specific lines of commercial insurance the option to elect terrorism coverage.</w:t>
      </w:r>
    </w:p>
    <w:p>
      <w:pPr>
        <w:spacing w:after="0" w:line="6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order for a loss to be covered under the Terrorism Acts, the loss must meet the aggregate industry loss minimum and must be the result of an act of terrorism as certified by the Secretary of the Treasury. Insurers participating in the Terrorism Acts are required to provide information regarding insurance coverage for terrorism losses, including: (i) lines of business with exposure to such losses, (ii) premiums earned on such coverage, (iii) geographical location of exposures, (iv) pricing of such coverage, (v) the take-up rate for such coverage, and (vi) the amount of private reinsurance for acts of terrorism purchased.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each of the years ended December 31, 2022, 2021 and 2020, 100% of our gross written premiums and net earned premiums were generated from policies issued to U.S.-based insureds.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believe that by understanding and leveraging the different dimensions of diversity in our workforce, we drive empowerment, collaboration and innovation needed to be a leader in our industry. As of December 31, 2022, we had 639 employees located in the United States and Bermuda, all classified as full-time. Of that population, 56% were female and 44% were male. Among the 98% of our employees who chose to disclose their race and ethnicity, approximately 12% identified as Black or African American, 4% as Hispanic or Latino, 6% as Asian, 2% as two or more races, less than 1% as Native Hawaiian or other Pacific Islander, and less than 1% as American Indian or Alaska Native.</w:t>
      </w:r>
    </w:p>
    <w:p>
      <w:pPr>
        <w:spacing w:after="0" w:line="6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Over the last year, our Diversity, Equity and Inclusion (DEI) committee has made significant progress in bringing additional awareness and focus to DEI topics throughout the company and in the locations where we operate. The committee is both diverse and made up of employees from all segments, levels and office locations. The primary objectives of the committee are to increase awareness of diversity and inclusion, provide education opportunities to all employees, improve understanding of how diversity and inclusion affect our corporate objectives, and identify and address potential roadblocks to diversity and equity in hiring, promotion, physical environment and professional development.</w:t>
      </w:r>
    </w:p>
    <w:p>
      <w:pPr>
        <w:spacing w:after="0" w:line="6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recognize the mutual benefits for our company and our employees to further their formal education and professional development. Our Employee Development and Education Assistance program provides financial assistance for courses,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development programs and professional affiliations. Additionally, employees have access to an online learning management system that hosts courses and modules across a wide range of topics.</w:t>
      </w:r>
    </w:p>
    <w:p>
      <w:pPr>
        <w:spacing w:after="0" w:line="6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offer a competitive benefits package that is designed to support the well-being of our employees. Our benefits include medical, dental and vision insurance, a comprehensive employee assistance program to support the mental health of our employees and their families, employer-paid life and disability plans, contributions to employee retirement accounts through a company match with immediate vesting as well as paid parental leave and adoption assistance.</w:t>
      </w:r>
    </w:p>
    <w:p>
      <w:pPr>
        <w:spacing w:after="0" w:line="79"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We continue to encourage a hybrid work model, one that offers our employees a flexible work environment that fosters in-person connection and collaboration and best supports our success as a company. The health and safety of our employees continues to be our highest priority, and therefore we monitor and adjust our in-office safety policies and procedures, as needed, to mitigate the risk of exposure to the COVID-19 virus.</w:t>
      </w:r>
    </w:p>
    <w:p>
      <w:pPr>
        <w:spacing w:after="0" w:line="5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value the opinions and diverse perspectives of our employees and utilize the feedback that we receive throughout the year to help develop many of our company programs, policies, and benefits. We conduct an annual engagement survey followed by voluntary focus group sessions to better assess how motivated and engaged our employees are to perform their best each day. New hire feedback is collected following an employee’s first 30 days of employment, which allows us to reflect upon and improve aspects of our recruitment and onboarding processes. In addition to the formal surveys and feedback meetings, we collect valuable input through our Employee Suggestion Program where employees may express their feedback regarding any aspect of their employment with our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hold U.S. federal service mark registration of our corporate logo and several other company trademark registrations with the U.S. Patent and Trademark Office. Such registrations protect our intellectual property from confusingly similar use. We monitor our trademarks and service marks and protect them from unauthorized use.</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use licensed and proprietary systems and technologies in our underwriting. The licenses have terms that expire at various times. We believe that we can utilize other available systems and technologies in the event that the licenses are not renewed upon their expiration.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https://jrvrgroup.com, as soon as reasonably practicable after they are filed electronically with the SEC. Copies are also available, without charge, by writing to us at James River Group Holdings, Ltd., Wellesley House,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 90 Pitts Bay Road, Pembroke, HM 08, Bermuda. The information on our web site is not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You should carefully consider the following risks, together with the cautionary statement under the caption “Special Note Regarding Forward-Looking Statements” above and the other information included in this Annual Report. The risks described below are not the only ones we face. Additional risks that are currently unknown to us or that we currently consider immaterial may also impair our business or materially adversely affect our financial condition or results of operations. If any of the following risks actually occurs, our business, financial condition or results of operation could be materially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7" w:lineRule="exact"/>
        <w:rPr>
          <w:sz w:val="20"/>
          <w:szCs w:val="20"/>
          <w:color w:val="auto"/>
        </w:rPr>
      </w:pPr>
    </w:p>
    <w:p>
      <w:pPr>
        <w:ind w:left="660" w:right="2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Reserving for losses is an inherently uncertain process, and our actual incurred losses may be greater than our loss and loss adjustment expense reserves, which could have a material adverse effect on our financial condition and results of operations.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risk management is based on estimates and judgments that are subject to significant uncertainties.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our financial strength rating may result in a reduction of new or renewal business.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retain key management and employees or recruit other qualified personnel, and as a result we may not be able to grow our business and may also be materially adversely affected.</w:t>
      </w:r>
    </w:p>
    <w:p>
      <w:pPr>
        <w:ind w:left="660" w:right="2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economic factors could result in the sale of fewer policies than expected or an increase in frequency or severity of claims and premium defaults or both, which, in turn, could affect our growth and profitability.</w:t>
      </w:r>
    </w:p>
    <w:p>
      <w:pPr>
        <w:ind w:left="660" w:right="2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distribute products through a select group of brokers and agents, several of which account for a significant portion of our business, and such relationships may not continue, or if they do continue, the relationship may not be on favorable terms to us.</w:t>
      </w:r>
    </w:p>
    <w:p>
      <w:pPr>
        <w:ind w:left="660" w:right="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Brokers or agents that produce our business may not forward premiums to us that they collect from our policyholders, and as a result, we may not receive compensation for coverage set forth in the underlying policy.</w:t>
      </w:r>
    </w:p>
    <w:p>
      <w:pPr>
        <w:ind w:left="660" w:right="4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a select group of customers for a significant portion of our business, and the loss or termination of our relationship with any such customers, or a material reduction in their business, could materially adversely affect our rate of growth, results of operations and financial condition.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obtain reinsurance coverage at reasonable prices or on terms that provide us adequate protection.</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primary liability on our insurance policies for losses, even if reinsurance counterparties or insurance companies with which we have a fronting arrangement fail to make any contractually obligated payments with respect to such loss, or if we do not receive indemnification payments pursuant to an arrangement we have with a former customer.</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underwrite risks accurately and charge and collect competitive yet profitable rates to our policyholders, our business, financial condition and results of operations will be materially adversely affected.</w:t>
      </w:r>
    </w:p>
    <w:p>
      <w:pPr>
        <w:ind w:left="660" w:right="5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any of the loss limitations or exclusions we employ, or changes in other claims or coverage issues, could result in higher than anticipated losses.</w:t>
      </w:r>
    </w:p>
    <w:p>
      <w:pPr>
        <w:ind w:left="660" w:hanging="328"/>
        <w:spacing w:after="0" w:line="28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exposure to losses arising from unpredictable natural disasters, terrorist acts, and other catastrophic events, the occurrence of which could result in an increase in the number or value of claims and could exceed the amount of reinsurance we purchased to protect us from such claims.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global coronavirus outbreak could harm business and results of operations of the Company.</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emerging claim and coverage issues on our business is uncertain and may result in coverage of risks that we did not factor in our policy prices.</w:t>
      </w:r>
    </w:p>
    <w:p>
      <w:pPr>
        <w:ind w:left="660" w:right="7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investment portfolio is subject to significant market and credit risks, which could result in a material adverse impact on our financial condition or results of operations.</w:t>
      </w:r>
    </w:p>
    <w:p>
      <w:pPr>
        <w:jc w:val="both"/>
        <w:ind w:left="660" w:right="1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extensive regulation, and the cost of compliance with such regulation or new regulation, or the results of non-compliance, may materially adversely affect our ability to achieve our business objectives and additionally may materially adversely affect our financial condition and results of operations.</w:t>
      </w:r>
    </w:p>
    <w:p>
      <w:pPr>
        <w:spacing w:after="0" w:line="1"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agents we have appointed, may act based on inaccurate or incomplete information regarding the accounts we underwrite, the result of which may be to cause us to misprice our policies.</w:t>
      </w:r>
    </w:p>
    <w:p>
      <w:pPr>
        <w:ind w:left="660" w:right="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Agents may exceed their authority or commit fraud when binding policies on our behalf, causing us to make underwriting decisions on inadequate or inaccurate information.</w:t>
      </w:r>
    </w:p>
    <w:p>
      <w:pPr>
        <w:ind w:left="660" w:right="3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reinsurance business is subject to loss settlements made by ceding companies and fronting carriers over which we have no control that are binding upon us, which could materially adversely affect our performance.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forced to sell investments to meet our liquidity requirements, causing us to incur losses on the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require additional capital in the future, which may not be available or available only on unfavorable terms.</w:t>
      </w:r>
    </w:p>
    <w:p>
      <w:pPr>
        <w:spacing w:after="0" w:line="9" w:lineRule="exact"/>
        <w:rPr>
          <w:rFonts w:ascii="Arial" w:cs="Arial" w:eastAsia="Arial" w:hAnsi="Arial"/>
          <w:sz w:val="18"/>
          <w:szCs w:val="18"/>
          <w:color w:val="auto"/>
        </w:rPr>
      </w:pPr>
    </w:p>
    <w:p>
      <w:pPr>
        <w:ind w:left="660" w:right="12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credit agreements contain a number of financial and other covenants, the breach of which could result in acceleration of payment of amounts due under our credit facilities.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unable to keep pace with the technological advancements in the insurance industry, our ability to compete effectively could be impaired.</w:t>
      </w:r>
    </w:p>
    <w:p>
      <w:pPr>
        <w:spacing w:after="0" w:line="46" w:lineRule="exact"/>
        <w:rPr>
          <w:rFonts w:ascii="Arial" w:cs="Arial" w:eastAsia="Arial" w:hAnsi="Arial"/>
          <w:sz w:val="16"/>
          <w:szCs w:val="16"/>
          <w:color w:val="auto"/>
        </w:rPr>
      </w:pPr>
    </w:p>
    <w:p>
      <w:pPr>
        <w:ind w:left="660" w:right="3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actual renewals of our existing contracts do not meet expectations, our premiums written in future years and our future results of operations could be materially adversely affected.</w:t>
      </w:r>
    </w:p>
    <w:p>
      <w:pPr>
        <w:ind w:left="660" w:right="2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California, North Carolina, Ohio or Virginia significantly increase the assessments our insurance companies are required to pay, our financial condition and results of operations will suffer.</w:t>
      </w:r>
    </w:p>
    <w:p>
      <w:pPr>
        <w:ind w:left="660" w:right="30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use of third-party claims administrators in certain lines of business may achieve less desirable results which could cause us to incur higher losses and loss adjustment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27" w:lineRule="exact"/>
        <w:rPr>
          <w:sz w:val="20"/>
          <w:szCs w:val="20"/>
          <w:color w:val="auto"/>
        </w:rPr>
      </w:pPr>
    </w:p>
    <w:p>
      <w:pPr>
        <w:ind w:left="660" w:right="6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U.S. tax laws and the interpretation of certain provisions of the 2017 Tax Act (including associated regulations), which may be retroactive, could have a significant impact on the Company and persons who own our shares.</w:t>
      </w: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JRG Re and James River Group Holdings UK Limited may be subject to U.S. federal income taxation and our non-U.K. companies may be subject to U.K. taxation, which may have a material adverse effect on our operating results.</w:t>
      </w:r>
    </w:p>
    <w:p>
      <w:pPr>
        <w:ind w:left="660" w:right="180" w:hanging="328"/>
        <w:spacing w:after="0" w:line="30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Persons who own our shares may be subject to U.S. federal income taxation on our undistributed earnings and may recognize ordinary income upon disposition of shares; non-corporate persons who own our shares may not qualify for the reduced tax rate for qualified dividend income on the dividends paid by us in the future, and tax-exempt organizations who own our shares may recognize unrelated business taxable income.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16" w:lineRule="exact"/>
        <w:rPr>
          <w:sz w:val="20"/>
          <w:szCs w:val="20"/>
          <w:color w:val="auto"/>
        </w:rPr>
      </w:pPr>
    </w:p>
    <w:p>
      <w:pPr>
        <w:ind w:left="660" w:right="360" w:hanging="328"/>
        <w:spacing w:after="0" w:line="24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dividends that we may pay to our common shareholders is subject to restriction pursuant to the terms of the Series A Preferred Shares, and we cannot assure you that we will declare or pay dividends on our common shares in the future.</w:t>
      </w:r>
    </w:p>
    <w:p>
      <w:pPr>
        <w:ind w:left="660" w:right="38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of the Series A Preferred Shares into common shares would dilute the ownership of common shareholders and may adversely affect the market price of our common shares.</w:t>
      </w:r>
    </w:p>
    <w:p>
      <w:pPr>
        <w:ind w:left="660" w:right="2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paid by our U.S. subsidiaries to James River UK may not be eligible for benefits under the U.S.-U.K. income tax treaty, reducing the amount of funds that would be available for the payment of dividends.</w:t>
      </w:r>
    </w:p>
    <w:p>
      <w:pPr>
        <w:ind w:left="660" w:right="8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bye-laws and provisions of Bermuda law may impede or discourage a change of control transaction, which could deprive our investors of the opportunity to receive a premium for their shares.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Bermuda law differs from the laws in effect in the United States and may afford less protection to holders of our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regulatory limitations on the ownership and transfer of our common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 w:lineRule="exact"/>
        <w:rPr>
          <w:sz w:val="20"/>
          <w:szCs w:val="20"/>
          <w:color w:val="auto"/>
        </w:rPr>
      </w:pPr>
    </w:p>
    <w:p>
      <w:pPr>
        <w:ind w:left="660" w:right="2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results have in the past varied from quarter to quarter and may not be indicative of our long-term prospects.</w:t>
      </w:r>
    </w:p>
    <w:p>
      <w:pPr>
        <w:spacing w:after="0" w:line="9" w:lineRule="exact"/>
        <w:rPr>
          <w:rFonts w:ascii="Arial" w:cs="Arial" w:eastAsia="Arial" w:hAnsi="Arial"/>
          <w:sz w:val="18"/>
          <w:szCs w:val="18"/>
          <w:color w:val="auto"/>
        </w:rPr>
      </w:pPr>
    </w:p>
    <w:p>
      <w:pPr>
        <w:ind w:left="660" w:right="3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and legal proceedings against us or our subsidiaries could have a material adverse effect on our business, financial condition and/or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Reserving for losses is an inherently uncertain process, and our actual incurred losses may be greater than our loss and loss adjustment expense reserves, which could have a material adverse effect on our financial condition and results of operations.</w:t>
      </w:r>
    </w:p>
    <w:p>
      <w:pPr>
        <w:spacing w:after="0" w:line="3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spacing w:after="0" w:line="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the insurance and reinsurance industry, there is always the risk that reserves may prove inadequate, and actual results always differ from our reserve estimates. It is possible for insurance and reinsurance companies to underestimate the cost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9" w:name="page40"/>
    <w:bookmarkEnd w:id="3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claims. Our estimates could prove to be low, and this underestimation could have a material adverse effect on our financial strength. For example, in our Casualty Reinsurance segment, we experienced adverse development on the reserves for losses and loss adjustment expenses of: $13.4 million for the calendar year ended December 31, 2022; $137.6 million for the calendar year ended December 31, 2021 primarily in underwriting years 2014 through 2018; and $37.8 million in 2020 primarily in accident years 2014 through 2018. In addition, for the commercial auto business in our Excess and Surplus Lines segment, we experienced adverse development on the reserves for losses and loss adjustment expenses of: $8.9 million for the calendar year ended December 31, 2022 principally relating to the 2020 and prior accident years; $200.1 million for the calendar year ended December 31, 2021 principally relating to the 2019 and prior accident years for Rasier and its affiliates; and $91.4 million in 2020 principally relating to the 2018 and prior accident years for Rasier and its affiliates. We cannot assure you that we will not have further adverse development in our business.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uncertainties we encounter in establishing our reserves for losses and related expenses in connection with our insurance businesses include:</w:t>
      </w:r>
    </w:p>
    <w:p>
      <w:pPr>
        <w:spacing w:after="0" w:line="140" w:lineRule="exact"/>
        <w:rPr>
          <w:sz w:val="20"/>
          <w:szCs w:val="20"/>
          <w:color w:val="auto"/>
        </w:rPr>
      </w:pPr>
    </w:p>
    <w:p>
      <w:pPr>
        <w:ind w:left="660" w:right="300" w:hanging="328"/>
        <w:spacing w:after="0" w:line="259" w:lineRule="auto"/>
        <w:tabs>
          <w:tab w:leader="none" w:pos="5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94% of our Excess and Surplus Lines net casualty loss reserves are associated with “occurrence form” policies at December 31, 2022.</w:t>
      </w:r>
    </w:p>
    <w:p>
      <w:pPr>
        <w:spacing w:after="0" w:line="78" w:lineRule="exact"/>
        <w:rPr>
          <w:rFonts w:ascii="Arial" w:cs="Arial" w:eastAsia="Arial" w:hAnsi="Arial"/>
          <w:sz w:val="18"/>
          <w:szCs w:val="18"/>
          <w:color w:val="auto"/>
        </w:rPr>
      </w:pPr>
    </w:p>
    <w:p>
      <w:pPr>
        <w:ind w:left="660" w:right="100" w:hanging="328"/>
        <w:spacing w:after="0" w:line="263"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75" w:lineRule="exact"/>
        <w:rPr>
          <w:rFonts w:ascii="Arial" w:cs="Arial" w:eastAsia="Arial" w:hAnsi="Arial"/>
          <w:sz w:val="18"/>
          <w:szCs w:val="18"/>
          <w:color w:val="auto"/>
        </w:rPr>
      </w:pPr>
    </w:p>
    <w:p>
      <w:pPr>
        <w:ind w:left="660" w:right="120" w:hanging="328"/>
        <w:spacing w:after="0" w:line="277"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theories of liability are enforced retroactively from time to time by courts. See also “</w:t>
      </w:r>
      <w:r>
        <w:rPr>
          <w:rFonts w:ascii="Arial" w:cs="Arial" w:eastAsia="Arial" w:hAnsi="Arial"/>
          <w:sz w:val="18"/>
          <w:szCs w:val="18"/>
          <w:i w:val="1"/>
          <w:iCs w:val="1"/>
          <w:color w:val="auto"/>
        </w:rPr>
        <w:t>The effect of emerging claim and coverage issues on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is uncertain</w:t>
      </w:r>
      <w:r>
        <w:rPr>
          <w:rFonts w:ascii="Arial" w:cs="Arial" w:eastAsia="Arial" w:hAnsi="Arial"/>
          <w:sz w:val="18"/>
          <w:szCs w:val="18"/>
          <w:color w:val="auto"/>
        </w:rPr>
        <w:t>” risk factor herein.</w:t>
      </w:r>
    </w:p>
    <w:p>
      <w:pPr>
        <w:spacing w:after="0" w:line="62" w:lineRule="exact"/>
        <w:rPr>
          <w:rFonts w:ascii="Arial" w:cs="Arial" w:eastAsia="Arial" w:hAnsi="Arial"/>
          <w:sz w:val="18"/>
          <w:szCs w:val="18"/>
          <w:color w:val="auto"/>
        </w:rPr>
      </w:pPr>
    </w:p>
    <w:p>
      <w:pPr>
        <w:ind w:left="660" w:right="120" w:hanging="328"/>
        <w:spacing w:after="0" w:line="308" w:lineRule="auto"/>
        <w:tabs>
          <w:tab w:leader="none" w:pos="5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38" w:lineRule="exact"/>
        <w:rPr>
          <w:rFonts w:ascii="Arial" w:cs="Arial" w:eastAsia="Arial" w:hAnsi="Arial"/>
          <w:sz w:val="17"/>
          <w:szCs w:val="17"/>
          <w:color w:val="auto"/>
        </w:rPr>
      </w:pPr>
    </w:p>
    <w:p>
      <w:pPr>
        <w:ind w:left="660" w:right="80" w:hanging="328"/>
        <w:spacing w:after="0" w:line="263"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5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occasionally enter new lines of insurance, and as a consequence, we sometimes have to make estimates of future losses for risk classes with which we do not have a great deal of loss experience. This lack of loss experience may contribute to making errors of judgment when establishing reserves.</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spacing w:after="0" w:line="79"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increased lapse of time from the occurrence of an event to the reporting of the claim and the ultimate resolution or settlement of the claim.</w:t>
      </w:r>
    </w:p>
    <w:p>
      <w:pPr>
        <w:spacing w:after="0" w:line="140" w:lineRule="exact"/>
        <w:rPr>
          <w:rFonts w:ascii="Arial" w:cs="Arial" w:eastAsia="Arial" w:hAnsi="Arial"/>
          <w:sz w:val="16"/>
          <w:szCs w:val="16"/>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diversity of development patterns among different types of reinsurance treaties.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necessary reliance on the ceding company for information regarding claims.</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any of our insurance or reinsurance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is based on estimates and judgments that are subject to significant uncertainties.</w:t>
      </w:r>
    </w:p>
    <w:p>
      <w:pPr>
        <w:spacing w:after="0" w:line="11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approach to risk management relies on subjective variables that entail significant uncertainties. For example, we rely heavily on estimates of probable maximum losses for certain events that are generated by computer-run models. In addition, we rely on historical data and scenarios in managing credit and interest rate risks in our investment portfolio. These estimates, models, data and scenarios may not produce accurate predictions and consequently, we could incur losses both in the risks we underwrite and to the value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Small changes in assumptions, which depend heavily on our judgment and foresight, can have a significant impact on the modeled outputs. Although we believe that these probabilistic measures provide a meaningful indicator of the relative risk of certain events and changes to our business over time, these measures do not predict our actual exposure to, nor guarantee our successful management of, future losses that could have a material adverse effect on our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our financial strength rating may result in a reduction of new or renewal business.</w:t>
      </w:r>
    </w:p>
    <w:p>
      <w:pPr>
        <w:spacing w:after="0" w:line="11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Companies, insurers and reinsurance brokers use ratings from independent ratings agencies as an important means of assessing the financial strength and quality of reinsurers. A.M. Best has assigned a financial strength rating of “A-” (Excellent), which is the fourth highest of 13 ratings that A.M. Best issues, to each of James River Insurance, James River Casualty, Falls Lake Fire and Casualty, Falls Lake National, Stonewood Insurance, and JRG Re. 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or revoke it at its sole discretion based primarily on its analysis of our balance sheet strength (including capital adequacy and loss and loss adjustment expense reserve adequacy), operating performance and business profile. Factors that could affect such an analysis include but are not limited to:</w:t>
      </w:r>
    </w:p>
    <w:p>
      <w:pPr>
        <w:spacing w:after="0" w:line="58" w:lineRule="exact"/>
        <w:rPr>
          <w:sz w:val="20"/>
          <w:szCs w:val="20"/>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change our business practices from our organizational business plan in a manner that no longer supports our A.M. Best’s rating;</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unfavorable financial, regulatory or market trends affect us, including excess market capacity;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losses exceed our loss reserves;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have unresolved issues with government regulators;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retain our senior management or other key personnel;</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investment portfolio incurs significant losses;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A.M. Best alters its capital adequacy assessment methodology in a manner that would adversely affect our rating; or</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A.M. Best reduces its assessment of our enterprise risk management</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These and other factors could result in a downgrade of our rating. A downgrade of our rating could cause our current and future brokers and agents, retail brokers and insureds to choose other, more highly-rated competitors. A downgrade of this rating could also increase the cost or reduce the availability of reinsurance to us, increase collateral required for our assumed reinsurance business, trigger termination of assumed and/or ceded reinsurance contracts, trigger termination rights in certain of our agreements with MGAs in our Specialty Admitted segment, or result in a default under our credit facilities. See the Risk Factor </w:t>
      </w:r>
      <w:r>
        <w:rPr>
          <w:rFonts w:ascii="Arial" w:cs="Arial" w:eastAsia="Arial" w:hAnsi="Arial"/>
          <w:sz w:val="18"/>
          <w:szCs w:val="18"/>
          <w:i w:val="1"/>
          <w:iCs w:val="1"/>
          <w:color w:val="auto"/>
        </w:rPr>
        <w:t>“Our credit agreements contain a number of financial and other covenants, the breach of any of which could result in acceleration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of amounts due under our credit facilities.”</w:t>
      </w:r>
    </w:p>
    <w:p>
      <w:pPr>
        <w:spacing w:after="0" w:line="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and may increase the capital and other requirements employed in the rating organizations’ models for maintenance of certain ratings levels. It is possible that such reviews of us may result in adverse ratings consequences, which could have a material adverse effect on our financial condition and results of operations. A downgrade below “A-” or withdrawal of any rating could severely limit or prevent us from writing new and renewal insurance or reinsurance contracts. See also “Item 7. Management’s Discussion and Analysis of Financial Condition and Results of Operations—Ratings.”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retain key management and employees or recruit other qualified personnel, we may be materially adversely affected.</w:t>
      </w:r>
    </w:p>
    <w:p>
      <w:pPr>
        <w:spacing w:after="0" w:line="12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believe that our future success depends, in large part, on our ability to retain our experienced management team and key employees and on our ability to recruit additional qualified employees to support our growth. For instance, our specialty insurance operations require the services of a number of highly experienced employees, including underwriters, to source quality business and analyze and manage our risk exposure. There can be no assurance that we can attract and retain the necessary employees to conduct our business activities on a timely basis or at all. Our competitors may offer more favorable compensation and/or permanent remote work arrangements to our key management or employees to incentivize them to leave our Company, or alternatively, to make it more difficult for us to recruit and hire new employees. Additionally, the transition to remote work by employees has allowed competitors that are located in different states or parts of the country to solicit our employees without requiring their relocation. Although we have employment agreements with the members of our senior management team, which include certain post-employment restrictions on engaging in businesses competitive with the Company, we do not have employment agreements with our senior underwriters or claims personnel. Our inability to attract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1" w:name="page42"/>
    <w:bookmarkEnd w:id="4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retain qualified personnel and the loss of services of key personnel could have a material adverse effect on our financial condition and results of operations.</w:t>
      </w:r>
    </w:p>
    <w:p>
      <w:pPr>
        <w:spacing w:after="0" w:line="140"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Additionally, if members of management or a significant number of our employees should become unavailable due to an outbreak of COVID-19 or other illness among them, whether due to work in an office environment or otherwise, our operations could be disrupted, which may have a detrimental impact on our business.</w:t>
      </w:r>
    </w:p>
    <w:p>
      <w:pPr>
        <w:spacing w:after="0" w:line="7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7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Factors such as business revenue, economic conditions, the volatility and strength of the capital markets, inflation and pandemics can all affect the business and economic environment. These same factors affect our ability to generate revenue and profits. In an economic downturn that is characterized by higher unemployment, declining spending and reduced corporate revenues, the demand for insurance products is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self-insure their risks, or not renew with us. Existing policyholders may exaggerate or even falsify claims to obtain higher claims payments, or not pay premiums on our policies when due. These outcomes would reduce our underwriting profit to the extent these factors are not reflected in the rates we charge.</w:t>
      </w:r>
    </w:p>
    <w:p>
      <w:pPr>
        <w:spacing w:after="0" w:line="8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underwrite a significant portion of our insurance in (i) the Excess and Surplus Lines segment in Florida, California, Texas and New York, (ii) the fronting and program business of the Specialty Admitted Insurance segment in California, Michigan, New York, Texas, and Georgia, and (iii) individual risk workers’ compensation business of the Specialty Admitted Insurance segment in North Carolina, Georgia, Missouri, and Virginia. Any economic downturn or reduced business activities in any such state, or other states where we conduct business, could have a material adverse effect on our financial condition and results of operations.</w:t>
      </w:r>
    </w:p>
    <w:p>
      <w:pPr>
        <w:spacing w:after="0" w:line="8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If the current high inflationary environment persists over an extended period of time, it could adversely affect the adequacy of our reserves by increasing average loss costs over time, negatively impact the values of our investments and our investment returns, and may increase our compensation expenses.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distribute products through a select group of brokers and agents, several of which account for a significant portion of our business, and such relationships may not continue, or if they do continue, the relationship may not be on favorable terms to us. In addition, reliance on brokers and agents subjects us to their credit risk.</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distribute our products through a select group of brokers and agents. In 2022:</w:t>
      </w:r>
    </w:p>
    <w:p>
      <w:pPr>
        <w:spacing w:after="0" w:line="117" w:lineRule="exact"/>
        <w:rPr>
          <w:sz w:val="20"/>
          <w:szCs w:val="20"/>
          <w:color w:val="auto"/>
        </w:rPr>
      </w:pPr>
    </w:p>
    <w:p>
      <w:pPr>
        <w:ind w:left="660" w:right="640" w:hanging="328"/>
        <w:spacing w:after="0" w:line="277"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Excess and Surplus Lines segment conducted business with three brokers that produced an aggregate of $643.3 million in gross written premiums, or 69.8% of that segment’s gross written premiums for the year;</w:t>
      </w:r>
    </w:p>
    <w:p>
      <w:pPr>
        <w:spacing w:after="0" w:line="62" w:lineRule="exact"/>
        <w:rPr>
          <w:rFonts w:ascii="Arial" w:cs="Arial" w:eastAsia="Arial" w:hAnsi="Arial"/>
          <w:sz w:val="18"/>
          <w:szCs w:val="18"/>
          <w:color w:val="auto"/>
        </w:rPr>
      </w:pPr>
    </w:p>
    <w:p>
      <w:pPr>
        <w:ind w:left="660" w:right="700" w:hanging="328"/>
        <w:spacing w:after="0" w:line="277"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Specialty Admitted Insurance segment conducted business with two agencies that produced $231.8 million in gross written premiums, representing 47.3% of that segment’s gross written premiums for the year; and</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Casualty Reinsurance segment conducted business with three brokers that generated $62.5 million of gross written premiums, or 73.4% of that segment’s gross written premiums for the year.</w:t>
      </w:r>
    </w:p>
    <w:p>
      <w:pPr>
        <w:spacing w:after="0" w:line="6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relationship with any of these brokers or agents may not continue. Even if the relationships do continue, they may not be on terms that are profitable for us. The termination of a relationship with one or more significant brokers or agents could result in lower direct written premiums and could have a material adverse effect on our results of operations or business prospects.</w:t>
      </w:r>
    </w:p>
    <w:p>
      <w:pPr>
        <w:spacing w:after="0" w:line="76"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There is a continuing trend toward consolidation among retail and wholesale brokers and agents. As brokers and agents consolidate and competition among them declines, they may seek and receive higher commissions. Increases in commission expense could reduce our underwriting profit.</w:t>
      </w:r>
    </w:p>
    <w:p>
      <w:pPr>
        <w:spacing w:after="0" w:line="1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Certain premiums from policyholders, where the business is produced by brokers or agents, are collected directly by the brokers or agents and forwarded to our insurance subsidiaries. In certain jurisdictions, when the insured pays its policy premium to brokers or agents for payment on behalf of our insurance subsidiaries, the premiums might be considered to have been paid under applicable insurance laws and regulations. Accordingly, the insured would no longer be liable to us for those amounts, whether or not we have actually received the premiums from that broker or agent. Consequently, we assume a degree of credit risk associated with brokers and agents. Where necessary, we review the financial condition of potential new brokers and agents before we agree to transact business with them. Although failures by brokers and agents to remit premiums have not been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material to date, there may be instances where brokers and agents collect premiums but do not remit them to us and we may be required under applicable law to provide the coverage set forth in the policy despite the absence of premiums.</w:t>
      </w:r>
    </w:p>
    <w:p>
      <w:pPr>
        <w:spacing w:after="0" w:line="6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Because the possibility of these events depends in large part upon the financial condition and internal operations of our brokers and agents (which in most cases is not public information), we are not able to quantify the exposure presented by this risk. If we are unable to collect premiums from brokers and agents in the future, underwriting profits may decline and our financial condition and results of operations could be materially adversely affected.</w:t>
      </w:r>
    </w:p>
    <w:p>
      <w:pPr>
        <w:spacing w:after="0" w:line="4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rely on a select group of customers for a significant portion of our business, and the loss or termination of our relationship with any of these customers, or a material reduction in business with any of these customers, could materially adversely affect our rate of growth, results of operations and financial condition.</w:t>
      </w:r>
    </w:p>
    <w:p>
      <w:pPr>
        <w:spacing w:after="0" w:line="7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two largest customers accounted for approximately $120.9 million (8.1%) and $110.9 million (7.4%) of our consolidated gross written premium in 2022. No insured generated 10.0% or more of consolidated gross written premiums for 2022.</w:t>
      </w:r>
    </w:p>
    <w:p>
      <w:pPr>
        <w:spacing w:after="0" w:line="6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largest customer in 2021 accounted for approximately $124.1 million of our gross written premium, representing 8.2% of our gross written premiums in 2021. No insured generated 10.0% or more of consolidated gross written premiums for 2021.</w:t>
      </w:r>
    </w:p>
    <w:p>
      <w:pPr>
        <w:spacing w:after="0" w:line="6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loss or termination of our relationship with these customers, or another significant customer, or a material reduction in business with any such party, could materially adversely affect our rate of growth,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reinsurance coverage at reasonable prices or on terms that provide us adequate protection.</w:t>
      </w:r>
    </w:p>
    <w:p>
      <w:pPr>
        <w:spacing w:after="0" w:line="11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purchase reinsurance in many of our lines of business to help manage our exposure to insurance and reinsurance risks that we underwrite and to reduce volatility in our results. In addition, JRG Re has managed its risk through retrocession arrangements with third-party reinsurers. A retrocession is a practice whereby a reinsurer cedes risk to one or more other reinsurers.</w:t>
      </w:r>
    </w:p>
    <w:p>
      <w:pPr>
        <w:spacing w:after="0" w:line="7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In addition, the ability to obtain reinsurance is critical to our objective to grow our fee-based fronting business. As a result, our ability to manage volatility and avoid significant losses, expand into new markets, grow by offering insurance to new kinds of enterprises, or grow our fronting business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 Reinsurance capacity has become more restricted making reinsurance placements more challenging during 2021 and 2022 than in prior years.</w:t>
      </w:r>
    </w:p>
    <w:p>
      <w:pPr>
        <w:spacing w:after="0" w:line="5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Many reinsurance companies have begun to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and more exclusions, limiting the protection provided under the reinsurance contract.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 See also “Item 1. Business — Business Segments—Purchase of Reinsurance.”</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credit risk with regard to our reinsurance counterparties, insurance companies with which we have a fronting arrangement and an indemnification arrangement we have with a former customer.</w:t>
      </w:r>
    </w:p>
    <w:p>
      <w:pPr>
        <w:spacing w:after="0" w:line="6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Although reinsurance makes the assuming reinsurer liable to us to the extent of the risk ceded, we are not relieved of our primary liability to our insureds as the direct insurer. At December 31, 2022, reinsurance recoverables on unpaid losses from our three largest reinsurers was $717.1 million in the aggregate and represented 47.2% of the total balance. Additionally, prepaid reinsurance premiums ceded to three reinsurers at December 31, 2022 was $119.7 million in the aggregate, or 43.7% of the total balance of prepaid reinsurance premiums. In addition to reinsurance purchased to manage our ongoing business, we have entered into two retroactive reinsurance transactions on legacy books of business: the first, a loss portfolio transfer reinsurance transaction on our legacy commercial auto lines business in our Excess &amp; Surplus Lines segment (the “Commercial Auto LPT”), and the second, the Casualty Re LPT. At December 31, 2022, reinsurance recoverables on the Commercial Auto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LPT were $145.2 million (including $132.0 million of unpaid recoverables and $13.2 million of paid recoverables), and reinsurance recoverables on the Casualty Re LPT were $244.7 million.</w:t>
      </w:r>
    </w:p>
    <w:p>
      <w:pPr>
        <w:spacing w:after="0" w:line="6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At December 31, 2022, all of our material reinsurance recoverable amounts are from companies with A.M. Best ratings of “A-” (Excellent) or better, are collateralized by the reinsurer for our benefit through letters of credit or funds held in trust accounts, or represent recoverables from a state residual market for automobile insurance, but we cannot be sure that our reinsurers will pay all reinsurance claims on a timely basis or at all. Similarly, in our fronting business, which we conduct through our Specialty Admitted Insurance segment, we are primarily liable to the insureds because we have issued the policies. While we customarily require a collateral trust arrangement to secure the obligations of the insurance entity for which we are fronting, we do not obtain collateral in every instance. See also “Item 1. Business — Business Segments — Specialty Admitted Insurance Segment — Fronting &amp; Program Business.” Reinsurers or fronting partners may default in their financial obligations to us as the result of insolvency, lack of liquidity, operational failure, fraud, asserted defenses based on agreement wordings or the principle of utmost good faith, asserted deficiencies in the documentation of agreements or for other reasons. The failure of a reinsurer or fronting partner to pay us does not lessen our contractual obligations to insureds. If a reinsurer or fronting partner fails to pay the expected portion of a claim or claims, our net losses might increase substantially and materially adversely affect our financial condition. Any disputes regarding reinsurance contracts, indemnification arrangements and related agreements could be time-consuming, costly and uncertain of success.</w:t>
      </w:r>
    </w:p>
    <w:p>
      <w:pPr>
        <w:spacing w:after="0" w:line="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Downgrades to the credit ratings of our reinsurance counterparties may result in the reduction of rating agency capital credit provided by those reinsurance contracts and could, therefore, result in a downgrade of our own credit ratings. In addition, under the reinsurance regulations, in many states where our U.S. insurance subsidiaries are domiciled, certain reinsurers are required to collateralize their obligations to us and to the extent they do not do so, our ability for regulators to recognize this reinsurance will be impaired. We evaluate each reinsurance claim based on the facts of the case, historical experience with the reinsurer on similar claims and existing case law and include any amounts deemed uncollectible from the reinsurer in our allowance for credit losses on reinsurance balances. See also “Item 1. Business — Business Segments — Purchase of Reinsurance.”</w:t>
      </w:r>
    </w:p>
    <w:p>
      <w:pPr>
        <w:spacing w:after="0" w:line="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exposed to credit risk relating to a set of insurance contracts previously issued to Rasier, under which the Company pays losses and loss adjustment expenses on the contracts. Rasier is contractually obligated to reimburse us for the losses and loss adjustment expenses paid on their behalf pursuant to indemnification agreements with it. This reimbursement obligation is supported by collateral posted for our benefit in a trust account from time to time. If Rasier fails to reimburse us, and the collateral posted for our benefit to support their reimbursement obligations is insufficient, our financial condition and results of operations could be materially adversely affected. See also “Item 1. Business — Business Segments — Purchase of Reinsurance — Amounts Recoverable from an Indemnifying Party.”</w:t>
      </w:r>
    </w:p>
    <w:p>
      <w:pPr>
        <w:spacing w:after="0" w:line="84"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situations where we manage our credit exposure to reinsurers or fronting partners with a collateral arrangement, which includes our Commercial Auto LPT and indemnification arrangements on the Rasier policies, it is possible that the collateral could be insufficient to cover all claims, either as a result of a decline in the value of the collateral, an increase in the obligations being collateralized, a failure of management to monitor the adequacy of the collateral held, or the refusal of the counterparty to post additional collateral. In that event, we would be contractually entitled to recovery from our reinsurer or the entity for which we are fronting, but, for a variety of reasons, the other party could default in its obligations.</w:t>
      </w:r>
    </w:p>
    <w:p>
      <w:pPr>
        <w:spacing w:after="0" w:line="5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underwrite risks accurately and charge and collect competitive yet profitable rates to our policyholders, our business, financial condition and results of operations will be materially adversely affected</w:t>
      </w:r>
      <w:r>
        <w:rPr>
          <w:rFonts w:ascii="Arial" w:cs="Arial" w:eastAsia="Arial" w:hAnsi="Arial"/>
          <w:sz w:val="18"/>
          <w:szCs w:val="18"/>
          <w:b w:val="1"/>
          <w:bCs w:val="1"/>
          <w:color w:val="auto"/>
        </w:rPr>
        <w:t>.</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general, the premiums for our insurance policies are established at the time a policy is issued and, therefore, before all of our underlying costs are known. Like other insurance companies, we rely on estimates and assumptions in setting our premium rates. Establishing adequate premium rates is necessary, together with investment income, to generate sufficient revenue to offset losses, loss adjustment expenses and other underwriting costs and to earn a profit. If we do not accurately assess the risks that we assume, we may not charge adequate premiums to cover our losses and expenses, which would materially adversely affect our results of operations and our profitability. Alternatively, we could set our premiums too high, which could reduce our competitiveness and lead to lower revenues.</w:t>
      </w:r>
    </w:p>
    <w:p>
      <w:pPr>
        <w:spacing w:after="0" w:line="84"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w:t>
      </w:r>
    </w:p>
    <w:p>
      <w:pPr>
        <w:spacing w:after="0" w:line="16" w:lineRule="exact"/>
        <w:rPr>
          <w:sz w:val="20"/>
          <w:szCs w:val="20"/>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collect and properly analyze a substantial volume of data from our insureds;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test and apply appropriate actuarial projections and rating formulas;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closely monitor and timely recognize changes in trends;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project both frequency and severity of our insureds’ losses with reasonable accuracy.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4" w:name="page45"/>
    <w:bookmarkEnd w:id="4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seek to implement our pricing accurately in accordance with our assumptions. Our ability to undertake these efforts successfully and, as a result, accurately price our policies, is subject to a number of risks and uncertainties, including:</w:t>
      </w:r>
    </w:p>
    <w:p>
      <w:pPr>
        <w:spacing w:after="0" w:line="62" w:lineRule="exact"/>
        <w:rPr>
          <w:sz w:val="20"/>
          <w:szCs w:val="20"/>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or unreliable data;</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uncertainties generally inherent in estimates and assumptions;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failure to implement appropriate actuarial projections and rating formulas or other pricing methodologies;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constraints on rate increases;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failure to accurately estimate investment yields and the duration of our liability for loss and loss adjustment expenses;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court decisions, legislation or regulatory action.</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charging profitable rates on the insurance policies we issue, we also must be able to collect the premiums, deductibles, and self-insured retentions that our insureds agreed to pay at the inception of their policies. The inability or refusal of our insureds to pay the amounts owed by them pursuant to their policies undermines our goal of underwriting risk accurately and charging competitive yet profitable rates, and could adversely affect our results of operations and our profitability.</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failure of any of the loss limitations or exclusions we employ, or changes in other claims or coverage issues, could have a material adverse effect on our financial condition or results of operations.</w:t>
      </w:r>
    </w:p>
    <w:p>
      <w:pPr>
        <w:spacing w:after="0" w:line="6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Although we seek to mitigate our loss exposure through a variety of methods, the future is inherently unpredictable. It is difficult to predict the timing, frequency and severity of losses with statistical certainty. It is not possible to completely eliminate our exposure to unforecasted or unpredictable events and, to the extent that losses from such risks occur, our financial condition and results of operations could be materially adversely affected.</w:t>
      </w:r>
    </w:p>
    <w:p>
      <w:pPr>
        <w:spacing w:after="0" w:line="4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For instance, various provisions of our policies, such as limitations or exclusions from coverage or choice of forum, which have been negotiated to limit our risks, may not be enforceable in the manner we intend. At the present time, we employ a variety of endorsements to our policies that limit exposure to known risks.</w:t>
      </w:r>
    </w:p>
    <w:p>
      <w:pPr>
        <w:spacing w:after="0" w:line="76"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In addition, we design our Excess and Surplus Lines segment’s policy terms to manage our exposure to expanding theories of legal liability like those which have given rise to claims for lead paint, asbestos, mold, construction defects and environmental matters. Many of the policies we issue also include conditions requiring the prompt reporting of claims to us and entitle us to decline coverage in the event of a violation of that condition. Also, many of our policies limit the period during which a policyholder may bring a claim under the policy, which in many cases is shorter than the statutory period under which such claims can be brought against our policyholders. While these exclusions and limitations help us assess and reduce our loss exposure and help eliminate known exposures to certain risks, it is possible that a court or regulatory authority could nullify or void an exclusion or legislation could be enacted modifying or barring the use of such endorsements and limitations. For example, in response to the COVID-19 pandemic, there have been proposals by federal and state lawmakers to retroactively amend business interruption insurance policies to cover claims related to COVID-19 when such insurance policies otherwise would exclude such risks. Further, a number of states have instituted, and other states are considering instituting, changes designed to effectively expand workers’ compensation coverage by creating presumptions of compensability of claims for certain types of workers. These types of governmental actions could result in higher than anticipated losses and loss adjustment expenses, which could have a material adverse effect on our financial condition or results of operations. In some instances, these changes may not become apparent until sometime after we have issued insurance policies that are affected by the changes. As a result, the full extent of liability under our insurance contracts may not be known for many years after a contract is issued.</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exposure to losses arising from unpredictable natural disasters, terrorist acts, and other catastrophic events. Claims from these events could reduce our earnings and cause volatility in our results of operations.</w:t>
      </w:r>
    </w:p>
    <w:p>
      <w:pPr>
        <w:spacing w:after="0" w:line="6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exposure to losses arising from unpredictable natural disasters, terrorist acts, and other catastrophic events. These events can cause losses in a variety of our property-casualty lines and generally result in an increase in the number of claims filed as well as the amount of compensation sought by claimants.</w:t>
      </w:r>
    </w:p>
    <w:p>
      <w:pPr>
        <w:spacing w:after="0" w:line="76"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incidence and severity of natural disasters, terrorist acts, and other catastrophic events are inherently unpredictable. The extent of losses from catastrophes is a function of the frequency of loss events, the total amount of insured exposure in the area affected by each event and the severity of the events. Claims from catastrophic events could exceed our amount of reinsurance purchased to protect us from such events, cause us to pay reinstatement premiums, reduce our earnings and cash flows, cause volatility in our results of operations and cash flows for any fiscal period or materially impact our financial condition. For example, for the third quarter ending September 30, 2022, we incurred $5.0 million in net catastrophe losses related to Hurricane Ian.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5" w:name="page46"/>
    <w:bookmarkEnd w:id="4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 large-scale pandemic, the continued threat or occurrence of terrorism, within the United States and abroad, or military and other actions, and heightened security measures in response to these types of threats may cause significant volatility and losses in our investment portfolio from declines in the equity markets and from interest rate changes in the United States, Europe and elsewhere, and result in loss of life, property damage, disruptions to commerce and reduced economic activity. Some of our assets in our investment portfolio may be adversely affected by declines in the equity markets and reduced economic activity caused by a large-scale pandemic or the continued threat of terrorism. Additionally, a large-scale pandemic or terrorist act could have a material effect on sales, profitability, competitiveness, marketability of product offerings, liquidity and operating results. See “</w:t>
      </w:r>
      <w:r>
        <w:rPr>
          <w:rFonts w:ascii="Arial" w:cs="Arial" w:eastAsia="Arial" w:hAnsi="Arial"/>
          <w:sz w:val="17"/>
          <w:szCs w:val="17"/>
          <w:i w:val="1"/>
          <w:iCs w:val="1"/>
          <w:color w:val="auto"/>
        </w:rPr>
        <w:t>The global</w:t>
      </w:r>
      <w:r>
        <w:rPr>
          <w:rFonts w:ascii="Arial" w:cs="Arial" w:eastAsia="Arial" w:hAnsi="Arial"/>
          <w:sz w:val="17"/>
          <w:szCs w:val="17"/>
          <w:color w:val="auto"/>
        </w:rPr>
        <w:t xml:space="preserve"> </w:t>
      </w:r>
      <w:r>
        <w:rPr>
          <w:rFonts w:ascii="Arial" w:cs="Arial" w:eastAsia="Arial" w:hAnsi="Arial"/>
          <w:sz w:val="17"/>
          <w:szCs w:val="17"/>
          <w:i w:val="1"/>
          <w:iCs w:val="1"/>
          <w:color w:val="auto"/>
        </w:rPr>
        <w:t>coronavirus outbreak could harm business and results of operations of the Company</w:t>
      </w:r>
      <w:r>
        <w:rPr>
          <w:rFonts w:ascii="Arial" w:cs="Arial" w:eastAsia="Arial" w:hAnsi="Arial"/>
          <w:sz w:val="17"/>
          <w:szCs w:val="17"/>
          <w:color w:val="auto"/>
        </w:rPr>
        <w:t>” risk factor herein.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coronavirus outbreak could harm business and results of operations of the Company.</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December 2019, a coronavirus (COVID-19) outbreak was reported in China, and, in March 2020, the World Health Organization declared it a pandemic. COVID-19 variants continue to spread throughout the United States and Bermuda, the countries in which the Company operates. In response, many governments, including Bermuda, the state and local governments of the States of Virginia and North Carolina, and governments in many other states in which our policyholders are located, instituted emergency restrictions that substantially limited the operation of non-essential businesses and the activities of individuals. Many jurisdictions imposed, eased, and reinstated emergency restrictions at various points during the pandemic in response to the spread of COVID-19 variants. These restrictions may have resulted in significant adverse effects on our policyholders and many different types of small and mid-sized businesses within the Company’s client base, particularly those in the retail, hospitality and food and beverage industries, among many others. Our workers' compensation line of business includes claimants experiencing "long-COVID", the ultimate cost of which is difficult to predict. In addition, we have observed indirect impacts of COVID-19 in our workers' compensation line of business, such as greater frequency and severity of workplace injuries resulting from inexperienced workers or distracted driving. The ultimate effect and severity of COVID-19 on the economy, our policyholders and our claimants is not known.</w:t>
      </w:r>
    </w:p>
    <w:p>
      <w:pPr>
        <w:spacing w:after="0" w:line="7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effect of COVID-19 and related events, including those described above and those not yet known, could have a negative effect on the stock price, business prospects, financial condition and results of operations of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 deterioration in the credit quality of reinsurers or insurance entities with which we have a fronting arrangement or the inability of reinsurers or the insurance entities for which we are fronting to pay their obligations to the Company. The impact of the pandemic may also exacerbate the other risks described in this “Risk Factors” section. The occurrence of any of the events described in these risk factors could have a material adverse effect on the Company’s financial condition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emerging claim and coverage issues on our business is uncertain.</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industry practices and legal, judicial, social and other environmental conditions change, unexpected and unintended issues related to claims and coverage may emerge. These issues may materially adversely affect our business by either broadening coverage beyond our underwriting intent or by increasing the number or size of claims. In some instances, these changes may not become apparent until sometime after we have issued insurance or reinsurance contracts that are affected by the changes. As a result, the full extent of liability under our insurance or reinsurance contracts may not be known for many years after a contract is issued.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Four examples of unanticipated risks that affected the insurance industry are:</w:t>
      </w:r>
    </w:p>
    <w:p>
      <w:pPr>
        <w:spacing w:after="0" w:line="117" w:lineRule="exact"/>
        <w:rPr>
          <w:sz w:val="20"/>
          <w:szCs w:val="20"/>
          <w:color w:val="auto"/>
        </w:rPr>
      </w:pPr>
    </w:p>
    <w:p>
      <w:pPr>
        <w:ind w:left="560" w:hanging="228"/>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Asbestos liability applied to manufacturers of products and contractors who installed those products;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5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Apportionment of liability for settlement assigned to subcontractors who may have been involved in mundane tasks (such as installing sheetrock in a home);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5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Court decisions, such as the 1995 </w:t>
      </w:r>
      <w:r>
        <w:rPr>
          <w:rFonts w:ascii="Arial" w:cs="Arial" w:eastAsia="Arial" w:hAnsi="Arial"/>
          <w:sz w:val="18"/>
          <w:szCs w:val="18"/>
          <w:u w:val="single" w:color="auto"/>
          <w:color w:val="auto"/>
        </w:rPr>
        <w:t>Montrose</w:t>
      </w:r>
      <w:r>
        <w:rPr>
          <w:rFonts w:ascii="Arial" w:cs="Arial" w:eastAsia="Arial" w:hAnsi="Arial"/>
          <w:sz w:val="18"/>
          <w:szCs w:val="18"/>
          <w:color w:val="auto"/>
        </w:rPr>
        <w:t xml:space="preserve"> decision in California, that read policy exclusions narrowly so as to expand coverage, thereby requiring insurers to create and write new exclusions; and</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Social inflation trends, including higher and more frequent claims, more favorable judgments and legislated increases.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investment portfolio is subject to significant market and credit risks, which could result in a material adverse impact on our financial condition or results of operations.</w:t>
      </w:r>
    </w:p>
    <w:p>
      <w:pPr>
        <w:spacing w:after="0" w:line="62"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periodically reviewed by our Investment Committee. However, our investments are subject to general economic conditions and market risks as well as risks inherent to particular securities.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6" w:name="page47"/>
    <w:bookmarkEnd w:id="4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Our primary market risk exposures are to changes in interest rates and equity prices. See “Item 7A. Quantitative and Qualitative Disclosures About Market Risk.” Prior to 2022, interest rates had been at or near historic lows, limiting yields on fixed income investments and negatively impacting investment income. Increases in interest rates during 2022, while generating higher investment yields, led to declines in the fair values of our fixed income securities, influenced by the duration of our fixed income investments and the extent of interest rate increases. For example, for the year ended December</w:t>
      </w:r>
    </w:p>
    <w:p>
      <w:pPr>
        <w:spacing w:after="0" w:line="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31, 2022, we experienced unrealized losses on fixed maturity investments of $193.0 million, which were recognized in other comprehensive loss. Some fixed income securities have call or prepayment options, which represent possible reinvestment risk in declining rate environments. Other fixed income securities such as mortgage-backed and asset-backed securities carry prepayment risk or, in a rising interest rate environment, may not pre-pay as quickly as expected. In addition, individual securities in our fixed income securities portfolio are subject to credit risk and default. Downgrades in the credit ratings of fixed maturities can have a significant negative effect on the market valuation of such securities.</w:t>
      </w:r>
    </w:p>
    <w:p>
      <w:pPr>
        <w:spacing w:after="0" w:line="68"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In the event of a financial crisis or severe downturn in public debt and equity markets, we could incur substantial realized and unrealized investment losses in future periods, which could have a material adverse impact on our financial condition, results of operations, debt and financial strength ratings, insurance subsidiaries’ capital liquidity and ability to access capital markets.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value of our investment portfolio is subject to the risk that certain investments may default or become impaired due to deterioration in the financial condition of one or more issuers of the securities held, or due to deterioration in the financial condition of an insurer that guarantees an issuer’s payments of such investments. Such defaults and impairments could reduce our net investment income and result in realized investment losses.</w:t>
      </w:r>
    </w:p>
    <w:p>
      <w:pPr>
        <w:spacing w:after="0" w:line="4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hold investments in bank loans (6.6% of the carrying value of our cash and invested assets (excluding restricted cash equivalents) as of December 31, 2022. Most of these loans are issued to sub-investment grade borrowers. While this class of investment has been profitable for us, a severe downturn in the markets could materially adversely affect the value of these investments, including the possibility that we would suffer substantial losses on this portfolio. As of December 31, 2022, the fair value of our investments in bank loans was $155.0 million.</w:t>
      </w:r>
    </w:p>
    <w:p>
      <w:pPr>
        <w:spacing w:after="0" w:line="6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As of December 31, 2022, we held equity investments of $9.2 million in non-public limited liability companies that have invested in renewable energy investments. These investments were sponsored and are managed by an entity for which two former directors serve as officers. We invested in the equity of these projects because we anticipate earning attractive risk-adjusted returns from these investments. However, our investments in these projects are illiquid and the ultimate results from these investments may be unknown for some time.</w:t>
      </w:r>
    </w:p>
    <w:p>
      <w:pPr>
        <w:spacing w:after="0" w:line="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also invest in marketable equity securities. These securities are carried on the balance sheet at fair market value and are subject to potential losses and declines in market value. Our invested assets also include interests in limited partnerships and privately held debt investments totaling $18.3 million at December 31, 2022. These investments were designed to provide diversification of risk and enhance the return on the overall portfolio. However, these investments entail substantial risks and are generally illiquid. Our investment portfolio is subject to increased valuation uncertainties when investment markets are illiquid. The valuation of investments is more subjective when markets are illiquid, thereby increasing the risk that the estimated fair value (</w:t>
      </w:r>
      <w:r>
        <w:rPr>
          <w:rFonts w:ascii="Arial" w:cs="Arial" w:eastAsia="Arial" w:hAnsi="Arial"/>
          <w:sz w:val="17"/>
          <w:szCs w:val="17"/>
          <w:i w:val="1"/>
          <w:iCs w:val="1"/>
          <w:color w:val="auto"/>
        </w:rPr>
        <w:t>i.e.</w:t>
      </w:r>
      <w:r>
        <w:rPr>
          <w:rFonts w:ascii="Arial" w:cs="Arial" w:eastAsia="Arial" w:hAnsi="Arial"/>
          <w:sz w:val="17"/>
          <w:szCs w:val="17"/>
          <w:color w:val="auto"/>
        </w:rPr>
        <w:t>, the carrying amount) does not reflect prices at which actual transactions would occur.</w:t>
      </w:r>
    </w:p>
    <w:p>
      <w:pPr>
        <w:spacing w:after="0" w:line="7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Risks for all types of securities are managed through application of our investment policy, which establishes investment parameters that include (but are not limited to) maximum percentages of investment in certain types of securities and minimum levels of credit quality, which we believe are within guidelines established by the NAIC, BMA and various state insurance departments, as applicable.</w:t>
      </w:r>
    </w:p>
    <w:p>
      <w:pPr>
        <w:spacing w:after="0" w:line="7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additional government or market regulation which may have a material adverse impact on our business.</w:t>
      </w:r>
    </w:p>
    <w:p>
      <w:pPr>
        <w:spacing w:after="0" w:line="1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Market disruptions like those experienced during the credit-driven financial market collapse in 2008, as well as the dramatic increase in the capital allocated to alternative asset management during recent years, have led to increased governmental as well as self-regulatory scrutiny of the insurance industry in general. In addition, certain legislation proposing greater regulation of the industry is periodically considered by governing bodies of some jurisdictions as well as the U.S. federal government. The credit-driven equity market collapse in 2008 or other significant market disruptions may increase the likelihood that some increased regulation of the industry is mandated.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Because we are a Bermuda company, we are subject to changes in Bermuda law and regulation that may have a material adverse impact on our operations, including through the imposition of tax liability or increased regulatory supervision. In addition, we will be exposed to any changes in the political environment in Bermuda.</w:t>
      </w:r>
    </w:p>
    <w:p>
      <w:pPr>
        <w:spacing w:after="0" w:line="7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business could be materially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affect the insurance industry, including tort reform, corporate governance and the taxation of reinsurance companies. The Dodd-Frank Act also established the Federal Insurance Office, which is authorized to study, monitor and report to Congress on the insurance industry and to recommend that the FSOC designate an insurer as an entity posing risks to U.S. financial stability in the event of the insurer’s material financial distress or failure. In December 2013, the Federal Insurance Office issued a report on alternatives to modernize and improve the system of insurance regulation in the United States, including increasing national uniformity through either a federal charter or effective action by the states. Any additional regulations established as a result of the Dodd-Frank Act or actions in response to the Federal Insurance Office Report could increase our costs of compliance or lead to disciplinary action.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We are unable to predict whether any legislation will be enacted or any regulations will be adopted, or the effect that any such developments could have on our business, financial condition or results of operations.</w:t>
      </w:r>
    </w:p>
    <w:p>
      <w:pPr>
        <w:spacing w:after="0" w:line="6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Bermuda insurance and reinsurance regulatory framework has become subject to increased scrutiny in many jurisdictions. The BMA sought “regulatory equivalency” which enables Bermuda’s commercial insurers to transact business with the European Union on a “level playing field”. In connection with its initial efforts to achieve equivalency under Solvency II, the BMA implemented and imposed additional requirements on the companies it regulates, such as JRG Re. On November 26, 2015, via delegated act, the European Commission granted Bermuda’s commercial insurers full equivalence in all areas of Solvency II for an indefinite period of time. The European Commission’s act was reviewed and approved by the European Parliament and Council. On March 4, 2016, the delegated act was published in the official journal of the European Union. The grant of full equivalence came into force on March 24, 2016 and applies from January 1, 2016.</w:t>
      </w:r>
    </w:p>
    <w:p>
      <w:pPr>
        <w:spacing w:after="0" w:line="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Additionally, the regulatory environment surrounding information security and privacy is increasingly demanding. We are subject to numerous U.S. federal and state laws governing the protection of personal and confidential information of our clients and employees, and new privacy laws have been adopted or are being considered at the state and federal level that may be applicable to us. The NAIC adopted an Insurance Data Security Model Law on October 24, 2017, which requires licensed insurance entities to comply with detailed information security requirements. To date, the following states have either adopted the NAIC Insurance Data Security Model Law or similar laws that govern the cybersecurity and data protection practices of insurers, insurance agents, and other licensed entities registered under state insurance laws: Alabama, California, Connecticut, Delaware, Indiana, Iowa, Louisiana, Maine, Michigan, Minnesota, Mississippi, New Hampshire, New York, North Dakota, Ohio, South Carolina, Tennessee, Virginia and Wisconsin. It is not yet known whether, and to what extent, other state legislatures or insurance regulators where we operate will enact the NAIC Insurance Data Security Model Law in whole or in part, or in a modified form. Such enactments, especially if inconsistent between states or with existing laws and regulations, could raise compliance costs or increase the risk of noncompliance, with the attendant risk of being subject to regulatory enforcement actions and penalties, as well as reputational harm. Further, several states have enacted privacy laws requiring specific disclosures regarding privacy practices and granting certain rights to consumers with respect to the use by companies of their personally identifiable information. There has also been proposed privacy legislation at the federal level. These new privacy laws may impose compliance costs, and ambiguities surrounding their applicability and interpretation may increase the risk of noncompliance, with the attendant risk of being subject to regulatory enforcement actions and penalties, as well as class action litigation. Any such events could potentially have an adverse impact on our business, financial condition or results of operations.</w:t>
      </w:r>
    </w:p>
    <w:p>
      <w:pPr>
        <w:spacing w:after="0" w:line="59"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It is impossible to predict what, if any, changes in the regulations applicable to us, the markets in which we operate, trade and invest or the counterparties with which we do business may be instituted in the future. Any such regulation could have a material adverse impact on our business.</w:t>
      </w:r>
    </w:p>
    <w:p>
      <w:pPr>
        <w:spacing w:after="0" w:line="1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7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admitted insurance and reinsurance subsidiaries are subject to extensive regulation, primarily by California (the domiciliary state for Falls Lake Fire and Casualty Company), Ohio (the domiciliary state for James River Insurance and Falls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Lake National), North Carolina (the domiciliary state for Stonewood Insurance), Virginia (the domiciliary state for James River Casualty), Bermuda (the domicile of JRG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in the case of JRG Re, the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 Failure by any of our insurance subsidiaries to comply with applicable regulations could result in a requirement for that subsidiary to cease writing business.</w:t>
      </w:r>
    </w:p>
    <w:p>
      <w:pPr>
        <w:spacing w:after="0" w:line="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For additional information, see “Item 1. Business — Regulation — U.S. Insurance Regulation — State Regulation.”</w:t>
      </w:r>
    </w:p>
    <w:p>
      <w:pPr>
        <w:spacing w:after="0" w:line="87"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addition, the various state insurance regulators have increased their focus on risks within an insurer’s holding company system that may pose enterprise risk to the insurer. In 2012, the NAIC adopted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w:t>
      </w:r>
    </w:p>
    <w:p>
      <w:pPr>
        <w:spacing w:after="0" w:line="4" w:lineRule="exact"/>
        <w:rPr>
          <w:sz w:val="20"/>
          <w:szCs w:val="20"/>
          <w:color w:val="auto"/>
        </w:rPr>
      </w:pPr>
    </w:p>
    <w:p>
      <w:pPr>
        <w:ind w:right="120" w:firstLine="8"/>
        <w:spacing w:after="0" w:line="271" w:lineRule="auto"/>
        <w:tabs>
          <w:tab w:leader="none" w:pos="2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adopted the NAIC Amendments, including the enterprise risk report requirement.</w:t>
      </w:r>
    </w:p>
    <w:p>
      <w:pPr>
        <w:spacing w:after="0" w:line="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2012, the NAIC also adopted the ORSA Model Act. The ORSA Model Act, when adopted by the various states, requires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California, North Carolina, Ohio and Virginia, the states in which our U.S. insurance subsidiaries are domiciled, adopted the ORSA Model Act and require an ORSA filing.</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Changing climate conditions may increase the frequency and severity of catastrophic events and thereby adversely affect our financial condition and results of operations.</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Over the past several years, changing weather patterns and climatic conditions, such as global warming, appear to have contributed to the unpredictability, frequency and severity of natural disasters and created additional uncertainty as to future trends and exposures. There is a growing scientific consensus that global warming and other climate changes are increasing the frequency and severity of catastrophic weather and other events, such as hurricanes, fires, tornadoes, windstorms, floods and other natural disasters. Such changes make it more difficult for us to predict and model catastrophic events, reducing our ability to accurately price our exposure to such events and mitigate our risks. Any increase in the frequency or severity of natural disasters may adversely affect our financial condition and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losses from terrorism for which we are required by law to provide coverage.</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U.S. insurers are required by state and federal law to offer coverage for terrorism in certain commercial lines, including workers’ compensation. As discussed under “Item 1. Business — Regulation — U.S. Insurance Regulation — Federal Regulation,” the Terrorism Acts require commercial property and casualty insurance companies to offer coverage for acts of terrorism, whether foreign or domestic, and established a federal assistance program through the end of 2027 to help cover claims related to future terrorism-related losses. The impact of any terrorist act is unpredictable, and the ultimate impact on us would depend upon the nature, extent, location and timing of such an act.</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or agents we have appointed, may act based on inaccurate or incomplete information regarding the accounts we underwrite, or such agents may exceed their authority or commit fraud when binding policies on our behalf.</w:t>
      </w:r>
    </w:p>
    <w:p>
      <w:pPr>
        <w:spacing w:after="0" w:line="6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and our MGAs and other agents who have the ability to bind our policies, rely on information provided by insureds or their representatives when underwriting insurance policies. While we may make inquiries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63"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addition, in the Specialty Admitted Insurance segment, MGAs and other agents have the authority to bind policies on our behalf within prescribed underwriting guidelines, and third party administrators manage and pay claims on our behalf and advise us with respect to case reserves. If any such agents exceed their authority, breach their obligations to us, fail to maintain proper licenses, have weak internal controls, or engage in fraudulent activities, our reputation could suffer, we may experience regulatory intervention, or our financial condition and results of operations could be materially adversely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affected. Although we are continually monitoring these agents and administrators, our monitoring efforts may not be adequate.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insurance and reinsurance business is historically cyclical, and we may experience periods with excess underwriting capacity and unfavorable premium rates, which could materially adversely affect our business.</w:t>
      </w:r>
    </w:p>
    <w:p>
      <w:pPr>
        <w:spacing w:after="0" w:line="62"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Historically, insurers and reinsurers have experienced significant fluctuations in operating results due to competition, frequency and severity of catastrophic events, levels of capacity, adverse trends in litigation, regulatory constraints, general economic conditions and other factors. We have experienced these types of fluctuations since the Company’s inception. The supply of insurance and reinsurance is related to prevailing prices, the level of insured losses and the level of capital available to the industry that, in turn, may fluctuate in response to changes in rates of return on investments being earned in the insurance and reinsurance industry. As a result, the insurance and reinsurance business historically has been a cyclical industry characterized by periods of intense price competition due to excessive underwriting capacity as well as periods when shortages of capacity increased premium levels. Demand for insurance and reinsurance depends on numerous factors, including the frequency and severity of catastrophic events, levels of capacity, the introduction of new capital providers, general economic conditions and underwriting results of primary insurers. All of these factors fluctuate and may contribute to price declines generally in the insurance and reinsurance industry.</w:t>
      </w:r>
    </w:p>
    <w:p>
      <w:pPr>
        <w:spacing w:after="0" w:line="73"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cannot predict with certainty whether market conditions will improve, remain constant or deteriorate. Negative market conditions may impair our ability to underwrite insurance and reinsurance at rates we consider appropriate and commensurate relative to the risk assumed. If we cannot underwrite insurance or reinsurance at appropriate rates, our ability to transact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0" w:name="page51"/>
    <w:bookmarkEnd w:id="5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business will be materially adversely affected. Any of these factors could lead to a material adverse effect on our business, financial condition and results of operations.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reinsurance business is subject to loss settlements made by ceding companies and fronting carriers over which we have no control, which could materially adversely affect our performance.</w:t>
      </w:r>
    </w:p>
    <w:p>
      <w:pPr>
        <w:spacing w:after="0" w:line="62"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Where JRG Re enters into assumed reinsurance contracts with third parties, all loss settlements made by the ceding company will be unconditionally binding upon us, provided they are within the terms of the underlying policies and within the terms of the relevant contract. While we believe the ceding companies will settle such claims in good faith, we are bound to accept the claims settlements agreed to by the ceding companies. Under the underlying policies, each ceding company typically bears the burden of proving that a contractual exclusion applies to a loss, and there may be circumstances where the facts of a loss are insufficient to support the application of an exclusion. In such circumstances, we assume such losses under the reinsured policies, which could materially adversely affect our performance.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forced to sell investments to meet our liquidity requirements.</w:t>
      </w:r>
    </w:p>
    <w:p>
      <w:pPr>
        <w:spacing w:after="0" w:line="11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invest the premiums we receive from our insureds and ceding companies until they are needed to pay policyholder claims or until they are recognized as profits. Consequently, we seek to manage the duration of our investment portfolio based on the duration of our loss and loss adjustment expense reserves to ensure sufficient liquidity and avoid having to liquidate securities to fund claims. Risks such as inadequate loss and loss adjustment expense reserves or unfavorable trends in litigation could potentially result in the need to sell investments to fund these liabilities. Such sales could result in significant realized losses depending on the conditions of the general market, interest rates and credit issues with individual securities.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could take excessive risks, which could negatively affect our financial condition and business.</w:t>
      </w:r>
    </w:p>
    <w:p>
      <w:pPr>
        <w:spacing w:after="0" w:line="11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an insurance enterprise, we are in the business of binding certain risks. The employees who conduct our business, including executive officers and other members of management, underwriters, claims professionals, and other employees, do so in part by making decisions and choices that involve exposing us to risk. These include decisions such as setting underwriting guidelines and standards, product design and pricing, determining which business opportunities to pursue, claims management decisions, and other decisions. Although we employ controls and procedures designed to monitor employees’ business decisions and prevent us from taking excessive risks, these controls and procedures may not be effective. If our employees take excessive risks, the impact of those risks could have a material adverse effect on our financial condition and business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in the future, which may not be available or available only on unfavorable terms.</w:t>
      </w:r>
    </w:p>
    <w:p>
      <w:pPr>
        <w:spacing w:after="0" w:line="11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future capital requirements depend on many factors, including our ability to write new and renewal business successfully and to establish premium rates and reserves at levels sufficient to cover losses. Our ability to underwrite depends largely upon the expected quality of our claims paying process and our perceived financial strength as estimated by potential insureds, brokers, other intermediaries, independent rating agencies, and our regulators. To the extent that our existing capital is insufficient to fund our future operating requirements, cover claim losses, satisfy ratings agencies in order to maintain a satisfactory rating, or meet the capital requirements of our regulators in order to maintain our insurance licenses, we may need to raise additional capital in the future through offerings of debt, hybrid or equity securities or through suspension or reduction of dividends, or otherwise to:</w:t>
      </w:r>
    </w:p>
    <w:p>
      <w:pPr>
        <w:spacing w:after="0" w:line="56"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 liquidity needs caused by underwriting or investment losses;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replace capital lost in the event of significant reinsurance losses or adverse reserve developments;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satisfy letters of credit or guarantee bond requirements that may be imposed by our clients or by regulators;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meet rating agency or regulatory capital requirements; or</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equity or debt financing, if available at all, may be on terms that are unfavorable to us. Further, any additional capital raised through the sale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equity could dilute shareholders’ ownership interest in the Company and would likely cause the value of our shares to decline. For example, in May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raised $192.1 million in equity capital (the “May Equity Offering”) to protect our balance sheet after experiencing $170.0 million of adverse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development on our commercial auto business in the first quarter of 2021 almost entirely related to a previously canceled account that has been in run-off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2019. In the May Equity Offering, we announced the offering of 6,497,500 shares at $31.00 per share the day after our shares had a closing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equal to $46.50. Additionally, on March 1, 2022 we issued 150,000 Series A Perpetual Cumulative Convertible Preferred Shares, par value $0.00125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 share (the "Series A Preferred Shares"), for an aggregate purchase price of $150 million, primarily to protect our balance sheet after experiencing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$115.0 million of adverse reserve development in the Casualty Reinsurance segment in the fourth quarter of 2021, primarily related to underwriting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through 2018. The Series A Preferred Shares, among other things, have the right to receive a payment on account of the distribution of assets on 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voluntary or involuntary liquidation, dissolution or winding up of the affairs of the Company before any payment may be made to holders of any other class or series of capital shares, pay dividends to the security holders at the initial rate of 7% of their liquidation preference of $1,000 per share per annum, include restrictions that may limit our ability to pay dividends to common shareholders and may not be redeemed at our election. See also "</w:t>
      </w:r>
      <w:r>
        <w:rPr>
          <w:rFonts w:ascii="Arial" w:cs="Arial" w:eastAsia="Arial" w:hAnsi="Arial"/>
          <w:sz w:val="18"/>
          <w:szCs w:val="18"/>
          <w:i w:val="1"/>
          <w:iCs w:val="1"/>
          <w:color w:val="auto"/>
        </w:rPr>
        <w:t>The Series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Preferred Shares have rights, preferences and privileges that are not held by, and are preferential to the rights of, our common shareholders, which could adversely affect our liquidity and financial condition" </w:t>
      </w:r>
      <w:r>
        <w:rPr>
          <w:rFonts w:ascii="Arial" w:cs="Arial" w:eastAsia="Arial" w:hAnsi="Arial"/>
          <w:sz w:val="18"/>
          <w:szCs w:val="18"/>
          <w:color w:val="auto"/>
        </w:rPr>
        <w:t>and "</w:t>
      </w:r>
      <w:r>
        <w:rPr>
          <w:rFonts w:ascii="Arial" w:cs="Arial" w:eastAsia="Arial" w:hAnsi="Arial"/>
          <w:sz w:val="18"/>
          <w:szCs w:val="18"/>
          <w:i w:val="1"/>
          <w:iCs w:val="1"/>
          <w:color w:val="auto"/>
        </w:rPr>
        <w:t>The amount of dividends that we may pay to our common shareholders is subject to restrictions pursuant to the terms of the Series A Preferred Shares, and we cannot assure you that we will declare or pay dividends on our common shares in the future."</w:t>
      </w:r>
    </w:p>
    <w:p>
      <w:pPr>
        <w:spacing w:after="0" w:line="8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Further, our ability to raise debt and certain types of equity capital may be constrained by covenants in our existing credit facilities. See the Risk Factor “</w:t>
      </w:r>
      <w:r>
        <w:rPr>
          <w:rFonts w:ascii="Arial" w:cs="Arial" w:eastAsia="Arial" w:hAnsi="Arial"/>
          <w:sz w:val="18"/>
          <w:szCs w:val="18"/>
          <w:i w:val="1"/>
          <w:iCs w:val="1"/>
          <w:color w:val="auto"/>
        </w:rPr>
        <w:t>Our credit agreements contain financial and other covenants, the breach of which could result in acceleration of payment of amounts due under our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 below. Additional capital raised through the issuance of debt would most likely result in creditors having rights, preferences and privileges senior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superior to those of the holders of our shares and may limit our flexibility in operating our business and make it more difficult to obtain capital in the future. Disruptions, uncertainty, or volatility in the capital and credit markets may also limit our access to capital required to operate our business. If we are not able to obtain adequate capital, or obtain it on favorable terms, our business, financial condition and results of operations could be materially adversely affected.</w:t>
      </w:r>
    </w:p>
    <w:p>
      <w:pPr>
        <w:spacing w:after="0" w:line="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credit agreements contain financial and other covenants, the breach of any of which could result in acceleration of payment of amounts due under our credit facilities</w:t>
      </w:r>
      <w:r>
        <w:rPr>
          <w:rFonts w:ascii="Arial" w:cs="Arial" w:eastAsia="Arial" w:hAnsi="Arial"/>
          <w:sz w:val="18"/>
          <w:szCs w:val="18"/>
          <w:b w:val="1"/>
          <w:bCs w:val="1"/>
          <w:color w:val="auto"/>
        </w:rPr>
        <w:t>.</w:t>
      </w:r>
    </w:p>
    <w:p>
      <w:pPr>
        <w:spacing w:after="0" w:line="6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of December 31, 2022, we had an outstanding unsecured balance of approximately $207.3 million in the aggregate under our two bank credit agreements. The agreements contain certain financial covenants that require us to maintain consolidated net worth in excess of a specified minimum amount and a leverage ratio as of the end of any fiscal quarter not in excess of 0.35 to 1. The agreements contain other covenants which, among other things, require ongoing compliance with applicable insurance regulations and require each of our regulated insurance subsidiaries to maintain ratings from A.M. Best not lower than an A-. A breach of any of these covenants could result in acceleration of our obligations to repay our outstanding indebtedness under such agreement if we are unable to obtain a waiver or amendment from our lenders, and otherwise could impair our ability to borrow funds or result in higher borrowing costs.</w:t>
      </w:r>
    </w:p>
    <w:p>
      <w:pPr>
        <w:spacing w:after="0" w:line="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environment and we may not continue to be able to compete effectively against larger or more well-established business rivals.</w:t>
      </w:r>
    </w:p>
    <w:p>
      <w:pPr>
        <w:spacing w:after="0" w:line="62"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face competition from other specialty insurance companies, standard insurance companies and underwriting agencies, as well as from diversified financial services companies that are larger than we are and that have greater financial, marketing and other resources than we do. Some of these competitors also have longer experience and more market recognition than we do in certain lines of business. In addition, it may be difficult or prohibitively expensive for us to implement technology systems and processes that are competitive with the systems and processes of these larger companies.</w:t>
      </w:r>
    </w:p>
    <w:p>
      <w:pPr>
        <w:spacing w:after="0" w:line="80"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particular, competition in the insurance and reinsurance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our underwriting team in the particular lines of insurance and reinsurance we seek to underwrite. See also “Item 1. Business — Competition.”</w:t>
      </w:r>
    </w:p>
    <w:p>
      <w:pPr>
        <w:spacing w:after="0" w:line="6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 number of new, proposed or potential legislative or industry developments could further increase competition in our industry. These developments include:</w:t>
      </w:r>
    </w:p>
    <w:p>
      <w:pPr>
        <w:spacing w:after="0" w:line="62" w:lineRule="exact"/>
        <w:rPr>
          <w:sz w:val="20"/>
          <w:szCs w:val="20"/>
          <w:color w:val="auto"/>
        </w:rPr>
      </w:pPr>
    </w:p>
    <w:p>
      <w:pPr>
        <w:ind w:left="660" w:right="220" w:hanging="328"/>
        <w:spacing w:after="0" w:line="277" w:lineRule="auto"/>
        <w:tabs>
          <w:tab w:leader="none" w:pos="5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capital-raising by companies in our lines of business, which has resulted in new entrants to our markets and an excess of capital in the industry;</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5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deregulation of commercial insurance lines in certain states and the possibility of federal regulatory reform of the insurance industry, which could increase competition from standard carriers for our E&amp;S lines of insurance business; and</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5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Changing practices facilitated by the Internet may lead to greater competition in the insurance business. Among the possible changes are shifts in the way in which commercial insurance is purchased, which could affect both admitted and E&amp;S lines.</w:t>
      </w:r>
    </w:p>
    <w:p>
      <w:pPr>
        <w:spacing w:after="0" w:line="6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currently depend largely on the wholesale distribution model for our Excess and Surplus Lines segment’s premiums. If the wholesale distribution model were to be significantly altered by changes in the way E&amp;S lines risks are marketed, including, without limitation, through use of the Internet, it could have a material adverse effect on our premiums, underwriting results and profits.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There is no assurance that we will be able to continue to compete successfully in the insurance or reinsurance markets. Increased competition in these markets could result in a change in the supply and/or demand for insurance or reinsurance, affect our ability to price our products at risk-adequate rates, affect our ability to retain business with existing customers, or underwrite new business on favorable terms. If this increased competition so limits our ability to transact business, our operating results could be materially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keep pace with the technological advancements in the insurance industry, our ability to compete effectively could be impaired.</w:t>
      </w:r>
    </w:p>
    <w:p>
      <w:pPr>
        <w:spacing w:after="0" w:line="14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are committed to developing and maintaining information technology systems that will allow our insurance subsidiaries to compete effectively. There can be no assurance that the development of current technology for future use will not result in our being competitively disadvantaged, especially with those carriers that have greater resources. If we are unable to keep pace with the advancements being made in technology, our ability to compete with other insurance companies who have advanced technological capabilities will be negatively affected. Further, if we are unable to effectively execute and update or replace our key legacy technology systems as they become obsolete or as emerging technology renders them competitively inefficient, our competitive position and our cost structure could be adversely affected.</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actual renewals of our existing contracts do not meet expectations, our premiums written in future years and our future results of operations could be materially adversely affected.</w:t>
      </w:r>
    </w:p>
    <w:p>
      <w:pPr>
        <w:spacing w:after="0" w:line="6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Most of our contracts are written for a one-year term. In our financial forecasting process, we make assumptions about the renewal of our prior year’s contracts. The insurance and reinsurance industries have historically been cyclical businesses with intense competition, often based on price. If actual renewals do not meet expectations or if we choose not to write a renewal (including in connection with the early termination of insurance policies), our premiums written in future years and our future operations could be materially adversely affected.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our underwriting guidelines or our strategy without shareholder approval.</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management has the authority to change our underwriting guidelines or our strategy without notice to our shareholders and without shareholder approval. As a result, we may make fundamental changes to our operations without shareholder approval, which could result in our pursuing a strategy or implementing underwriting guidelines that may be materially different from the strategy or underwriting guidelines described in the section titled “Business” or elsewhere in this Annual Report.</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implement our business strategy could be delayed or adversely affected by Bermuda employment restrictions relating to the ability to obtain and retain work permits for key employees in Bermuda.</w:t>
      </w:r>
    </w:p>
    <w:p>
      <w:pPr>
        <w:spacing w:after="0" w:line="6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Under Bermuda law, non-Bermudians (other than spouses of Bermudians and holders of permanent residents’ certificates) may not engage in any gainful occupation in Bermuda without a valid government work permit. A work permit may be granted or renewed upon showing that, after proper public advertisement, no Bermudian, spouse of a Bermudian or a holder of a permanent resident’s certificate who meets the minimum standards reasonably required by the employer has applied for the job. A work permit is issued with an expiry date (up to five years) and no assurances can be given that any work permit will be issued or, if issued, renewed upon the expiration of the relevant term. If work permits are not obtained or are not renewed for our key employees, we would lose their services, which could materially affect our business.</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California, North Carolina, Ohio or Virginia significantly increases the assessments our insurance companies are required to pay, our financial condition and results of operations will suffer.</w:t>
      </w:r>
    </w:p>
    <w:p>
      <w:pPr>
        <w:spacing w:after="0" w:line="6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insurance companies are subject to assessments in California (the domiciliary state for Falls Lake Fire and Casualty Company), North Carolina (the domiciliary state for Stonewood Insurance), Ohio (the domiciliary state for James River Insurance and Falls Lake National) and Virginia (the domiciliary state for James River Casualty), for various purposes, including the provision of funds necessary to fund the operations of the various insurance departments and the state funds that pay covered claims under certain policies written by impaired, insolvent or failed insurance companies. These assessments are generally set based on an insurer’s percentage of the total premiums written in the insurer’s state within a particular line of business. As our U.S.-based insurance subsidiaries grow, our share of any assessments may increase. We cannot predict with certainty the amount of future assessments because they depend on factors outside our control, such as insolvencies of other insurance companies. Significant assessments could result in higher than expected operating expenses and have a material adverse effect on our financial condition or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third-party claims administrators in certain lines of business may result in higher losses and loss adjustment expenses.</w:t>
      </w:r>
    </w:p>
    <w:p>
      <w:pPr>
        <w:spacing w:after="0" w:line="117"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Historically, our Excess and Surplus Lines and Specialty Admitted Insurance segments handled all claims using employed staff. As we have entered new lines of business, we now use third-party claims administrators and contract employees to administer claims subject to the supervision of our employed staff. It is possible that these contract employees and third-party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claims administrators may achieve less desirable results on claims than has historically been the case for our internal staff, which could result in significantly higher losses and loss adjustment expenses in those lines of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effect of the 2017 Tax Act may have a significant impact on the Company.</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Tax Act, enacted on December 22, 2017, introduced significant changes to the Internal Revenue Code of 1986, as amended (the “Code”). The Tax Act contained many provisions that impact us and our shareholders, including provisions that impose a base erosion and anti-abuse tax (“BEAT”) on income of a U.S. corporation determined without regard to certain otherwise deductible payments made to certain foreign affiliates (including premium or other consideration paid or accrued to a related foreign reinsurance company for reinsurance), broaden the definition of United States shareholder for purposes of the controlled foreign corporation (“CFC”) rules, and make it more difficult for a foreign insurance company to avoid being treated as a passive foreign investment company (“PFIC”).</w:t>
      </w:r>
    </w:p>
    <w:p>
      <w:pPr>
        <w:spacing w:after="0" w:line="8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There is continued uncertainty regarding how these and other provisions of the Tax Act will be interpreted, although guidance in proposed and final forms has been released with respect to certain provisions of the Tax Act, including certain BEAT and PFIC provisions, that may impact the Company. The ultimate impact of the Tax Act may differ from the Company’s description below due to changes in interpretations, as well as additional regulatory guidance that may be issued. Given the complexity of the Tax Act, you are strongly encouraged to consult your own tax advisor regarding its potential impact on the U.S. federal income tax consequences to you considering your particular circumstances.</w:t>
      </w:r>
    </w:p>
    <w:p>
      <w:pPr>
        <w:spacing w:after="0" w:line="6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Base Erosion and Anti-Abuse Tax</w:t>
      </w:r>
      <w:r>
        <w:rPr>
          <w:rFonts w:ascii="Arial" w:cs="Arial" w:eastAsia="Arial" w:hAnsi="Arial"/>
          <w:sz w:val="16"/>
          <w:szCs w:val="16"/>
          <w:color w:val="auto"/>
        </w:rPr>
        <w:t>. The Tax Act’s BEAT provision imposes a minimum tax on “applicable taxpayers,” which are generally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part of a group with at least $500 million of applicable annual gross receipts and that make certain payments to related foreign persons, including payments that are deductible for U.S. tax purposes, payments to purchase depreciable or amortizable property, and reinsurance payments. BEAT subjects the “modified taxable income” of an applicable taxpayer to tax at a rate of 10% in 2020-2025, and 12.5% in 2026 and thereafter. In general, modified taxable income is calculated by adding back to a taxpayer’s regular taxable income the amount of certain “base erosion tax benefits” with respect to certain “base erosion payments” to foreign affiliates, as well as the “base erosion percentage” of any net operating loss deductions. BEAT applies to the extent it exceeds a taxpayer’s regular corporate income tax liability (determined without regard to certain tax credits).</w:t>
      </w:r>
    </w:p>
    <w:p>
      <w:pPr>
        <w:spacing w:after="0" w:line="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analyzed the regulations released by the U.S. Internal Revenue Service (the “IRS”) and U.S. Department of the Treasury regarding BEAT and have concluded that we will be subject to additional tax if regular U.S. income tax does not exceed a minimum amount. The applicability of BEAT depends on a number of factors and the extent to which we may be subject to BEAT in future periods as a result of changes in interpretations, as well as additional regulatory guidance that may be issued, is currently unknown.</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U.S. persons who own our shares may be subject to U.S. federal income taxation on our undistributed earnings and may recognize ordinary income upon disposition of shares.</w:t>
      </w:r>
    </w:p>
    <w:p>
      <w:pPr>
        <w:spacing w:after="0" w:line="6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If we are considered a PFIC (as defined in Section 1297(a) of the Code)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w:t>
      </w:r>
    </w:p>
    <w:p>
      <w:pPr>
        <w:spacing w:after="0" w:line="5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PFIC rules include provisions intended to provide an exception for qualifying insurance corporations (“QIC”) engaged in the active conduct of an insurance business. Generally, a QIC is a company (i) that would be subject to tax under special provisions related to insurance companies if the company was a U.S. entity, and (ii) the applicable insurance liabilities of which constitute more than 25% of its total assets as reported on the company’s applicable financial statement. On January 15, 2021, the IRS and U.S. Department of the Treasury issued final regulations and proposed regulations that provide guidance regarding the PFIC rules and the QIC exception. More specifically, the complex regulations provide, among other things, clarity on the application of “applicable insurance liabilities” and the “applicable financial statement,” as well as the requirements to be engaged in the “active conduct” of an insurance business. The IRS has requested comments on several aspects of the proposed regulations, which are not effective until adopted in final form. It is uncertain when the proposed regulations will be finalized, and whether the provisions of any final or temporary regulations will vary from the proposed regulations.</w:t>
      </w:r>
    </w:p>
    <w:p>
      <w:pPr>
        <w:spacing w:after="0" w:line="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believe that we are not and have not been, and currently do not expect to become, a PFIC for U.S. federal income tax purposes. Our belief that we are not and have not been a PFIC is based, in part, on the fact that we believe that we are a QIC engaged in the active conduct of an insurance business. New regulations or pronouncements interpreting or clarifying these rules may be forthcoming. We cannot predict what impact, if any, such guidance would have on an investor that is subject to U.S. federal income taxation. As a result, we cannot assure you that we, or one of our subsidiaries, will not be deemed a PFIC by the IRS. If we, or one of our subsidiaries, were considered a PFIC, it could have material adverse tax consequences for an investor that is subject to U.S. federal income taxation.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 non-U.S. corporation generally will be classified as a CFC if U.S. persons, each of whom owns, directly, indirectly, or constructively, at least 10% of the voting power or value of such corporation’s stock (“U.S. 10% Shareholders”), own in the aggregate more than 50% of the voting power or value of the stock of such corporation. The Tax Act eliminated the prohibition on “downward attribution” from non-U.S. persons to U.S. persons under the CFC constructive ownership rules. As a result, our U.S. subsidiaries are deemed to own all of the stock of our non-U.S. subsidiaries (other than James River Group Holdings UK Limited (“James River UK”)) for purposes of classifying those non-U.S. subsidiaries as CFCs. The legislative history under the Tax Act indicates that this change to the CFC constructive ownership rules was not intended to cause our non-U.S. subsidiaries to be treated as CFCs with respect to a 10% U.S. Shareholder that is not related (within the meaning of Section 954(d)(3) of the Code) to our U.S. subsidiary. However, it is not clear whether the IRS or a court would interpret the change made by the Tax Act in a manner consistent with such indicated intent.</w:t>
      </w:r>
    </w:p>
    <w:p>
      <w:pPr>
        <w:spacing w:after="0" w:line="5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Under these rules, if a foreign corporation is a CFC, each U.S. 10% Shareholder who owns directly or indirectly shares of the CFC on the last day of the CFC’s taxable year must annually include in its taxable income its pro rata share of the CFC’s “subpart F income,” even if no distributions are made. Subpart F income typically includes “foreign personal holding company income” (such as interest, dividends and other types of passive income), as well as insurance and reinsurance income (including underwriting and investment income). In general (subject to the special rules applicable to “related person insurance income” described below), for purposes of taking into account insurance income, a foreign insurance company will be treated as a CFC if U.S. 10% Shareholders collectively own more than 25% of the voting power or value of the company’s shares at any point during any year. As discussed above, we cannot assure you that we are not and will not become a CFC. If you are a U.S. person, we strongly urge you to consult your own tax advisor concerning the CFC rules.</w:t>
      </w:r>
    </w:p>
    <w:p>
      <w:pPr>
        <w:spacing w:after="0" w:line="8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i w:val="1"/>
          <w:iCs w:val="1"/>
          <w:color w:val="auto"/>
        </w:rPr>
        <w:t>Related Person Insurance Income</w:t>
      </w:r>
      <w:r>
        <w:rPr>
          <w:rFonts w:ascii="Arial" w:cs="Arial" w:eastAsia="Arial" w:hAnsi="Arial"/>
          <w:sz w:val="16"/>
          <w:szCs w:val="16"/>
          <w:color w:val="auto"/>
        </w:rPr>
        <w:t>. Under proposed regulations, if (i) our gross income attributable to insurance or reinsurance policies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direct or indirect insureds are our direct or indirect U.S. shareholders or persons related to such U.S. shareholders equals or exceeds 20% of our gross insurance income in any taxable year; and (ii) direct or indirect insureds and persons related to such insureds own directly or indirectly 20% or more of the voting power or value of our shares (together, the “RPII Test”), a U.S. person who owns any of our shares directly or indirectly on the last day of such taxable year would most likely be required to include its allocable share of our related person insurance income for such taxable year in its income, even if no distributions are made. We do not believe that the 20% gross insurance income threshold has been, or will be, met. However, we cannot assure you that this will continue to be the case. Additionally, certain recently released proposed regulations would expand the scope of related person insurance income to potentially include all of the insurance income any of our non-U.S. operating companies earn from reinsuring affiliates if such companies are majority owned (directly, indirectly or by application of certain constructive ownership rules) by U.S. persons. It is not certain whether any of these proposed regulations will be adopted in their proposed form or what changes or clarifications might ultimately be made thereto or whether any such changes, as well as any interpretation or application of the related person insurance income rules by the IRS, the courts, or otherwise, might have retroactive effect. Consequently, we cannot assure you that a person who is a direct or indirect U.S. shareholder will not be required to include amounts in its income in respect of related person insurance income in any taxable year.</w:t>
      </w:r>
    </w:p>
    <w:p>
      <w:pPr>
        <w:spacing w:after="0" w:line="6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Dispositions of Our Shares</w:t>
      </w:r>
      <w:r>
        <w:rPr>
          <w:rFonts w:ascii="Arial" w:cs="Arial" w:eastAsia="Arial" w:hAnsi="Arial"/>
          <w:sz w:val="17"/>
          <w:szCs w:val="17"/>
          <w:color w:val="auto"/>
        </w:rPr>
        <w:t>. If a U.S. shareholder is treated as disposing of shares in a CFC of which it is a U.S. 10% Shareholder, or of shares in a</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insurance corporation that has related person insurance income and in which U.S. persons collectively own 25% or more of the voting power or value of the company’s shares, any gain from the disposition will generally be treated as a dividend to the extent of the U.S. shareholder’s portion of the corporation’s undistributed earnings and profits, as the case may be, that were accumulated during the period that the U.S. shareholder owned the shares. In addition, the shareholder will be required to comply with certain reporting requirements.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JRG Re and James River Group Holdings UK Limited may be subject to U.S. federal income taxation.</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and JRG Re are each incorporated under the laws of Bermuda and James River UK is incorporated under the laws of England and Wales. Carolina Re is incorporated under the laws of Bermuda, but is taxed as a U.S. domestic corporation as a result of an election under Section 953(d) of the Code. In general, a corporation organized under the laws of a foreign country or U.S. possession is subject to U.S. federal income tax on its net income only if it is considered as engaged in a U.S. trade or business. We believe that the activities of each of the Company’s non-U.S. holding companies and JRG Re, as contemplated, will not cause them to be treated as engaging in a U.S. trade or business and as such, will not be subject to current U.S. federal income taxation on their net income. However, there are no definitive standards provided by the Code, regulations or court decisions as to the specific activities that constitute being engaged in the conduct of a trade or business within the United States, and any such determination is essentially factual in nature and must be made annually. The IRS could assert that our non-U.S. holding companies or JRG Re (or both) are engaged in a trade or business in the United States or, under the applicable income tax treaty, are engaged in a trade or business in the United States through a permanent establishment, and thus are subject to current U.S. federal income taxation. If our non-U.S. holding companies or JRG Re were deemed to be engaged in a trade or business in the United States (or, under the applicable income tax treaty, were deemed to be so engaged through a permanent establishment), our non-U.S. holding companies or JRG Re, as applicable, would become subject to 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federal income tax on income “effectively connected” (or treated as effectively connected) with the U.S. trade or business and would become subject to the “branch profits” tax on earnings and profits that are both effectively connected with the U.S. trade or business and deemed repatriated out of the United States. Any such federal tax liability could materially adversely affect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117"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A U.S. tax-exempt organization may recognize unrelated business taxable income if a portion of our subpart F insurance income is allocated to it. In general, subpart F insurance income will be allocated to a tax-exempt organization owning (or treated as owning) our shares if we are a CFC as discussed above and it is a U.S. 10% Shareholder or we earn related person insurance income and we satisfy the RPII Test. We cannot assure you that U.S. persons holding our shares (directly or indirectly) will not be allocated subpart F insurance income. U.S. tax-exempt organizations should consult their own tax advisors regarding the risk of recognizing unrelated business taxable income due to their ownership of our shares.</w:t>
      </w:r>
    </w:p>
    <w:p>
      <w:pPr>
        <w:spacing w:after="0" w:line="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become subject to U.S. withholding and information reporting requirements under the Foreign Account Tax Compliance Act (“FATCA”) provisions.</w:t>
      </w:r>
    </w:p>
    <w:p>
      <w:pPr>
        <w:spacing w:after="0" w:line="6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FATCA provisions of the Code generally impose a 30% withholding tax regime with respect to (i) certain U.S. source income (including interest and dividends) (“withholdable payments”) and (ii) “passthru payments” (generally, withholdable payments and payments that are attributable to withholdable payments) made by foreign financial institutions (“FFIs”). Under proposed regulations promulgated by the U.S. Department of the Treasury, on which taxpayers may rely until final regulations are issued, withholdable payments do not include gross proceeds from the sale or other disposition of property that can produce U.S. source interest or dividends. As a general matter, FATCA was designed to require U.S. persons’ direct and indirect ownership of certain non-U.S. accounts and non-U.S. entities to be reported to the IRS. The application of the FATCA withholding rules were phased in beginning July 1, 2014, with withholding on foreign passthru payments made by FFIs taking effect after the date of publication of final regulations defining the term foreign passthru payment.</w:t>
      </w:r>
    </w:p>
    <w:p>
      <w:pPr>
        <w:spacing w:after="0" w:line="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United States has entered into intergovernmental agreements between the United States and Bermuda and between the United States and the United Kingdom (the “IGAs”), which potentially modify the FATCA withholding regime described above with respect to us and our common shares. There can be no certainty as to whether the Company, Carolina Re or JRG Re will be treated as a FFI under FATCA. We strongly urge you to consult your own tax advisor regarding the potential impact of FATCA, the IGAs and any non-U.S. legislation implementing FATCA.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tax laws may be retroactive and could subject us and/or U.S. persons who own our shares to U.S. income taxation.</w:t>
      </w:r>
    </w:p>
    <w:p>
      <w:pPr>
        <w:spacing w:after="0" w:line="129"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Apart from enactment of the Tax Act, other legislative proposals or administrative or judicial developments could also result in an increase in the amount of U.S. tax payable by us or by an owner of our shares or reduce the attractiveness of our products. Any such developments could materially adversely affect our results of operations.</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Tax Act, other tax laws and interpretations thereof, including with respect to whether a company is engaged in a U.S. trade or business, is a CFC, has related party insurance income, is a PFIC, or is subject to BEAT, are subject to change, possibly on a retroactive basis. There are currently only proposed regulations regarding the RPII Test. New regulations or pronouncements interpreting or clarifying such rules may be forthcoming from the IRS or the U.S. Department of the Treasury. We are not able to predict if, when or in what form such guidance will be provided and whether such guidance will have a retroactive effect.</w:t>
      </w:r>
    </w:p>
    <w:p>
      <w:pPr>
        <w:spacing w:after="0" w:line="8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If reinsurance premiums paid by our U.S. subsidiaries to our non-U.S. subsidiaries do not reflect arm’s-length terms, the IRS could seek to recharacterize the payments in a way that is unfavorable to us.</w:t>
      </w:r>
    </w:p>
    <w:p>
      <w:pPr>
        <w:spacing w:after="0" w:line="6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IRS is permitted to reallocate or recharacterize income, deductions or certain other items, and to make any other adjustment, to reflect the proper amount, source or character of the taxable income in respect of payments among related parties to reflect an arm’s-length transaction. In the recent past, we have had in place intercompany loans from our U.S. subsidiaries to our parent company and intercompany reinsurance agreements among consolidated entities. We believe the terms of these transactions were appropriate and reflected arm’s-length arrangements and are consistent with all applicable rules and regulations. However, if the U.S. Department of the Treasury or the IRS reviews our intercompany agreements and successfully asserts, under Section 482 or 845 of the Code, that the terms do not reflect arm’s-length transactions, we may owe additional tax.</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117"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believe that the dividends paid on our common shares should qualify as “qualified dividend income” as long as the common shares are listed on a national securities exchange and we are not a PFIC. Qualified dividend income received by non-corporate U.S. persons is generally eligible for long-term capital gain rates. While the Tax Act did not modify these rules, there has been proposed legislation before the U.S. Senate and House of Representatives that would exclude shareholders of certain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6" w:name="page57"/>
    <w:bookmarkEnd w:id="5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foreign corporations from this advantageous tax treatment. If such legislation were to become law, non-corporate U.S. persons would no longer qualify for the reduced tax rate on the dividends paid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non-U.K. companies may be subject to U.K. tax that may have a material adverse effect on our operating results.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intend to operate in such a manner so that none of our companies other than our intermediate holding company incorporated in the United Kingdom, James River UK, should be resident in the U.K. for tax purposes or have a permanent establishment in the U.K. Accordingly, we expect that none of our companies other than James River UK should be subject to U.K. taxation. However, since applicable law and regulations do not conclusively define the activities that constitute conducting business in the U.K. through a permanent establishment, the U.K. HM Revenue &amp; Customs might contend successfully that one or more of our other companies is conducting business in the U.K. through a permanent establishment in the U.K., and therefore such entities could become subject to U.K. taxation.</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become subject to additional global taxes, including taxes in Bermuda after March 31, 2035, which may have a material adverse effect on our results of operations and your investment.</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Bermuda Minister of Finance, under the Exempted Undertakings Tax Protection Act 1966 of Bermuda, as amended, has given us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31, 2035, except insofar as such tax applies to persons ordinarily resident in Bermuda or to any taxes payable by us in respect of real property owned or leased by us in Bermuda. We cannot assure you that we will not be subject to any Bermuda tax after March 31, 2035.</w:t>
      </w:r>
    </w:p>
    <w:p>
      <w:pPr>
        <w:spacing w:after="0" w:line="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Further, the Organization for Economic Co-operation and Development is coordinating a global effort to reform certain aspects of the international tax system. This effort included the December 2021 release of model rules for a 15% global minimum tax regime. If these model rules are partially or fully implemented globally, we could be subject to additional taxes and costs for tax compliance.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shares may fluctuate significantly and you could lose all or part of your investment.</w:t>
      </w:r>
    </w:p>
    <w:p>
      <w:pPr>
        <w:spacing w:after="0" w:line="117"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Volatility in the market price of our common shares may prevent you from being able to sell your common shares at or above the price you paid for your common shares. The market price for our common shares could fluctuate significantly for various reasons, including, without limitation:</w:t>
      </w:r>
    </w:p>
    <w:p>
      <w:pPr>
        <w:spacing w:after="0" w:line="16" w:lineRule="exact"/>
        <w:rPr>
          <w:sz w:val="20"/>
          <w:szCs w:val="20"/>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quarterly or annual earnings or earnings estimates, or those of other companies in our industry;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external expectations or management guidance;</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reaction to adverse loss reserve development;</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of one or more individually large clients, and its impact on our growth rate, profitability and financial condition;</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regulatory or rating agency action;</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5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creditworthiness, financial condition, performance and prospects;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payment of dividends on our common shares, or payment of a reduced amount of dividends;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growth rates relative to our competitors;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common shares relative to other investment alternatives;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by the investment community regarding our business;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strategy;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7" w:name="page58"/>
    <w:bookmarkEnd w:id="5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dispositions, restructurings, significant contracts or joint ventures;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catastrophes that are perceived by investors as impacting the insurance and reinsurance market in general;</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laws and regulations;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characterization of us as a PFIC;</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economic and political conditions;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conditions or trends in our industry, geographies or customers;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arrival and departure of key personnel;</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common shares that are publicly traded;</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5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and issuance of common shares or other securities by us, sales of common shares by our directors or executive officers, or sales of a significant number of common shares issued upon conversion of the Series A Preferred Shares; and</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resolution of litigation against us.</w:t>
      </w:r>
    </w:p>
    <w:p>
      <w:pPr>
        <w:spacing w:after="0" w:line="11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addition, stock markets, including the NASDAQ Stock Market (the market on which our common shares are traded), have experienced price and volume fluctuations that have affected and continue to affect the market prices of equity securities issued by many companies, including companies in our industry. In the past, some companies that have had volatile market prices for their securities have been subject to class action or derivative lawsuits. The filing of a lawsuit against us, regardless of the outcome, could have a negative effect on our business, as it could result in substantial legal costs and a diversion of management’s attention and resources. The Company had such a lawsuit filed against it following our May 2021 equity offering. The filing of this lawsuit against us, or any future filings of a lawsuit against us, regardless of the outcome, could have a negative effect on our business, as it could result in substantial legal costs and a diversion of management’s attention and resources. See “Item 3. Legal Proceedings” for more information.</w:t>
      </w:r>
    </w:p>
    <w:p>
      <w:pPr>
        <w:spacing w:after="0" w:line="5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a result of the factors described above, shareholders may not be able to resell their common shares at or above their purchase price or may not be able to resell them at all. These market and industry factors may materially reduce the market price of our common shares, regardless of our operating performance.</w:t>
      </w:r>
    </w:p>
    <w:p>
      <w:pPr>
        <w:spacing w:after="0" w:line="76"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The holders of the Series A Convertible Preferred Shares are entitled to vote up to 9.9% of the aggregate voting power of our then-outstanding common shares on an as converted basis or of the outstanding voting securities of the Company, and have rights to approve certain actions. Additionally, GPC Partners may exercise influence over us through their ability to designate a nominee for election to our board of directors.</w:t>
      </w:r>
    </w:p>
    <w:p>
      <w:pPr>
        <w:spacing w:after="0" w:line="41"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holders of the Series A Preferred Shares are entitled to vote up to 9.9% of the aggregate voting power of the then-outstanding common shares on an as converted basis or of the outstanding voting securities of the Company with the holders of our common shares on all matters submitted for a vote of holders of common shares (voting together as one class).</w:t>
      </w:r>
    </w:p>
    <w:p>
      <w:pPr>
        <w:spacing w:after="0" w:line="76"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Pursuant to the Investment Agreement dated February 24, 2022 (the “Investment Agreement”) by and between the Company and GPC Partners Investments (Thames) LP (“GPC Partners”), an affiliate of Gallatin Point Capital LLC, GPC Partners has the right to designate one candidate for nomination for election to our board of directors for so long as GPC Partners and its Permitted Transferees (as defined in the Investment Agreement) continue to beneficially own Series A Preferred Shares and/or common shares issued or issuable upon conversion of such Series A Preferred Shares that represent in the aggregate at least 50% of the number of common shares beneficially owned by the Investors, on an as-converted basis, as of the issuance date of the Series A Preferred Shares. Notwithstanding the fact that all directors will be subject to fiduciary duties to us and to applicable law, the interests of the director designated by GPC Partners may differ from the interests of our security holders as a whole or of our other directors.</w:t>
      </w:r>
    </w:p>
    <w:p>
      <w:pPr>
        <w:spacing w:after="0" w:line="5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Additionally, holders of the Series A Preferred Shares are entitled to a separate class vote with respect to amendments to the Company’s organizational documents that have an adverse effect on the Series A Preferred Shares, including authorizations or issuances by the Company of securities that are senior to or pari passu with the Series A Preferred Shares, increases or decreases in the number of authorized Series A Preferred Shares, or the issuance of any additional Series A Preferred Shares other than in payment of dividends on the outstanding Series A Preferred Shares.</w:t>
      </w:r>
    </w:p>
    <w:p>
      <w:pPr>
        <w:spacing w:after="0" w:line="4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a result, the holders of the Series A Preferred Shares may have the ability to influence the outcome of certain matters affecting our governance and capitalization.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8" w:name="page59"/>
    <w:bookmarkEnd w:id="5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conversion of the Series A Preferred Shares into common shares would dilute the ownership of common shareholders and may adversely affect the market price of our common shares.</w:t>
      </w:r>
    </w:p>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conversion of our Series A Preferred Shares into common shares or payment of dividends on the Series A Preferred Shares in common shares would dilute the ownership interest of existing holders of our common shares. Further, common shares issuable upon conversion of the Series A Preferred Shares, or as payment of dividends on the Series A Preferred Shares, may be sold by GPC Partners or its Permitted Transferees after the second anniversary of the Series A Preferred Shares issuance date. Any sale of common shares following conversion of the Series A Preferred Shares or payment of dividends on the Series A Preferred Shares in common shares, would increase the number of common shares available for public trading, and may adversely affect prevailing market prices of our common shares.</w:t>
      </w:r>
    </w:p>
    <w:p>
      <w:pPr>
        <w:spacing w:after="0" w:line="8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The Series A Preferred Shares have rights, preferences and privileges that are not held by, and are preferential to the rights of, our common shareholders, which could adversely affect our liquidity and financial condition.</w:t>
      </w:r>
    </w:p>
    <w:p>
      <w:pPr>
        <w:spacing w:after="0" w:line="6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holders of our Series A Preferred Shares have the right to receive a payment on account of the distribution of assets on any voluntary or involuntary liquidation, dissolution or winding up of the affairs of the Company before any payment may be made to holders of any other class or series of capital shares. In addition, dividends on the Series A Preferred Shares accrue and are cumulative at the rate of 7.0% of the $1,000 per share liquidation preference per annum, paid in cash, in-kind in common shares or in Series A Preferred Shares, at our election. On the five-year anniversary of the issuance date, and each five-year anniversary thereafter, the dividend rate on the liquidation preference will reset to a rate equal to the five-year U.S. treasury rate (calculated as set forth in the Certificate of Designations designating the Series A Preferred Shares (the “Certificate of Designations”)) plus 5.2%.</w:t>
      </w:r>
    </w:p>
    <w:p>
      <w:pPr>
        <w:spacing w:after="0" w:line="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holders of the Series A Preferred Shares also have certain repurchase rights. Upon prior written notice of certain change of control events (a “Fundamental Change”), each holder of outstanding Series A Preferred Shares may, at its election, (i) effective as of immediately prior to the Fundamental Change, convert all or a portion of its Series A Preferred Shares into common shares, or (ii) require the Company to repurchase any or all of such holder’s Series A Preferred Shares in cash at a purchase price per Series A Preferred Share equal to the liquidation preference of such Series A Preferred Share plus accrued and unpaid dividends.</w:t>
      </w:r>
    </w:p>
    <w:p>
      <w:pPr>
        <w:spacing w:after="0" w:line="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dividend and share repurchase obligations could impact our liquidity and reduce the amount of cash flows available for working capital, capital expenditures, growth opportunities, acquisitions and other general corporate purposes, as well as for the payment of dividends to our common shareholders. Our obligations to the holders of the Series A Preferred Shares could also limit our ability to obtain additional financing, which could have an adverse effect on our financial condition. The preferential rights could also result in divergent interests between the holders of the Series A Preferred Shares and common shareholders.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bye-laws permit non-employee members of our board of directors and their affiliates to compete with us, which may result in conflicts of interest.</w:t>
      </w:r>
    </w:p>
    <w:p>
      <w:pPr>
        <w:spacing w:after="0" w:line="1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bye-laws provide that members of our board of directors (other than those who are our officers, managers or employees) and their affiliates do not have any duty to (i) communicate or present to the Company any investment or business opportunity or prospective transaction or arrangement in which the Company may have any interest or expectancy or (ii) refrain from engaging, directly or indirectly, in the same business activities or similar business activities or lines of business in which we operate. Our bye-laws will not restrict our non-employee directors, or their affiliates from acquiring and holding interests in businesses that compete directly or indirectly with us. Our non-employee directors and their affiliates may also pursue acquisition opportunities that may be complementary to our business and, as a result, those acquisition opportunities may not be available to us. These potential conflicts of interest could have a material adverse effect on our business, financial condition, results of operations or prospects if we are unable to pursue attractive corporate opportunities because they are allocated by our non-employee directors to themselves or their affiliates instead of being presented to us.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amount of dividends that we may pay to our common shareholders is subject to restrictions pursuant to the terms of the Series A Preferred Shares, and we cannot assure you that we will declare or pay dividends on our common shares in the future.</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Certificate of Designations limits our ability to pay dividends to our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also trigger a reduction of the conversion price applicable to the Series A Preferred Shares.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Additionally, the declaration, payment and amount of dividends is further subject to the discretion of our board of directors. Our board of directors may take into account a variety of factors when determining whether to declare any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 addition to those related to our Series A Preferred Shares (5) the effect of a dividend or dividends upon our financial strength ratings and (6) any other factors that our board of directors deems relevant. See also “Item 5. Market For Registrant’s Common Equity, Related Stockholder Matters and Issuer Purchases Of Equity Securities - Dividends.” We cannot assure you that we will continue to pay dividends in the future, or that the amount of any such dividend will not decline from prior dividends we have paid.</w:t>
      </w:r>
    </w:p>
    <w:p>
      <w:pPr>
        <w:spacing w:after="0" w:line="70"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62" w:lineRule="exact"/>
        <w:rPr>
          <w:sz w:val="20"/>
          <w:szCs w:val="20"/>
          <w:color w:val="auto"/>
        </w:rPr>
      </w:pPr>
    </w:p>
    <w:p>
      <w:pPr>
        <w:jc w:val="both"/>
        <w:ind w:right="220" w:firstLine="324"/>
        <w:spacing w:after="0" w:line="296" w:lineRule="auto"/>
        <w:rPr>
          <w:sz w:val="20"/>
          <w:szCs w:val="20"/>
          <w:color w:val="auto"/>
        </w:rPr>
      </w:pPr>
      <w:r>
        <w:rPr>
          <w:rFonts w:ascii="Arial" w:cs="Arial" w:eastAsia="Arial" w:hAnsi="Arial"/>
          <w:sz w:val="16"/>
          <w:szCs w:val="16"/>
          <w:color w:val="auto"/>
        </w:rPr>
        <w:t>We are a holding company that has no substantial operations of our own.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the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53"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and James River Insurance,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each of North Carolina and Virginia, the domiciliary states of Stonewood Insurance and James River Casualty, respectively,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See “Item 1. Business — Regulation — U.S. Insurance Regulation — State Regulation” for more information. In addition, dividends paid by our U.S. subsidiaries to our U.K. holding company are subject to a 5% withholding tax by the IRS. Under U.K. domestic law, no withholding tax is applied to dividends paid by U.K. tax resident companies.</w:t>
      </w:r>
    </w:p>
    <w:p>
      <w:pPr>
        <w:spacing w:after="0" w:line="7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JRG Re, which is domiciled in Bermuda, is registered as a Class 3B insurer under the Insurance Act. The Insurance Act, the conditions listed in the insurance license and the applicable approvals issued by the BMA provide that JRG Re is required to maintain a minimum statutory solvency margin of approximately $38.6 million as of December 31, 2022. See “Item 1. Business — Regulation — Bermuda Insurance Regulation — Minimum Solvency Margin and Enhanced Capital Requirements” for more information. A Class 3B insurer is prohibited from declaring or paying a dividend if it fails to meet, before or after declaration or payment of such dividend, its: (i) requirements under the Companies Act, (ii) minimum solvency margin, (iii) enhanced capital requirement or (iv) minimum liquidity ratio. If a Class 3B insurer fails to meet its minimum solvency margin or minimum liquidity ratio on the last day of any financial year, it is prohibited from declaring or paying any dividends during the next financial year without the approval of the BMA. In addition, JRG Re, as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 See “Item 1. Business — Regulation — Bermuda Insurance Regulation — Restrictions on Dividends and Distributions” for more information.</w:t>
      </w:r>
    </w:p>
    <w:p>
      <w:pPr>
        <w:spacing w:after="0" w:line="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inability of our subsidiaries to pay dividends or make distributions to us, including as a result of regulatory or other restrictions or capital needs, may prevent us from paying our expenses or paying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our U.S. subsidiaries to James River UK may not be eligible for benefits under the U.S.-U.K. income tax treaty.</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U.S. federal income tax law, dividends paid by a U.S. corporation to a non-U.S. shareholder are generally subject to a 30% withholding tax, unless reduced by treaty. The income tax treaty between the United Kingdom and the United States (the “U.K. Treaty”) reduces the rate of withholding tax on certain dividends to 5%. Were the IRS to contend successfully that James River UK is not eligible for benefits under the U.K. Treaty, any dividends paid by James River Group, Inc., our U.S. holding company, to James River UK would be subject to the 30% withholding tax. Such a result would substantially reduce the amount of dividends that our shareholder may receive.</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misleading or unfavorable research about our business, our common share price and trading volume could decline.</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Future sales of our common shares, or the possibility of such sales, may cause the trading price of our common shares to decline and could impair our ability to raise capital through subsequent equity offerings.</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Future sales of substantial amounts of our common shares in the public market, or the perception that these sales could occur, could cause the market price of our common shares to decline and impair our ability to raise capital through the sale of additional shares.</w:t>
      </w:r>
    </w:p>
    <w:p>
      <w:pPr>
        <w:spacing w:after="0" w:line="6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future, we may issue additional common shares or other equity or debt securities convertible into common shares in connection with a financing, acquisition or employee arrangement or otherwise. Any of these issuances could result in substantial dilution to our existing shareholders and could cause the trading price of our common shares to decline.</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bye-laws and provisions of Bermuda law may impede or discourage a change of control transaction, which could deprive our investors of the opportunity to receive a premium for their shares.</w:t>
      </w:r>
    </w:p>
    <w:p>
      <w:pPr>
        <w:spacing w:after="0" w:line="6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bye-laws and provisions of Bermuda law to which we are subject contain provisions that could discourage, delay or prevent “change of control” transactions or changes in our board of directors and management that certain shareholders may view as beneficial or advantageous. These provisions include, among others:</w:t>
      </w:r>
    </w:p>
    <w:p>
      <w:pPr>
        <w:spacing w:after="0" w:line="76" w:lineRule="exact"/>
        <w:rPr>
          <w:sz w:val="20"/>
          <w:szCs w:val="20"/>
          <w:color w:val="auto"/>
        </w:rPr>
      </w:pPr>
    </w:p>
    <w:p>
      <w:pPr>
        <w:ind w:left="660" w:right="320" w:hanging="328"/>
        <w:spacing w:after="0" w:line="277"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has the authority to issue preferred shares without shareholder approval, which could be used to dilute the ownership of a potential hostile acquirer;</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shareholders may only remove directors for cause;</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are advance notice requirements for shareholders with respect to director nominations and actions to be taken at annual meetings; and</w:t>
      </w:r>
    </w:p>
    <w:p>
      <w:pPr>
        <w:spacing w:after="0" w:line="128" w:lineRule="exact"/>
        <w:rPr>
          <w:rFonts w:ascii="Arial" w:cs="Arial" w:eastAsia="Arial" w:hAnsi="Arial"/>
          <w:sz w:val="17"/>
          <w:szCs w:val="17"/>
          <w:color w:val="auto"/>
        </w:rPr>
      </w:pPr>
    </w:p>
    <w:p>
      <w:pPr>
        <w:ind w:left="660" w:right="240" w:hanging="328"/>
        <w:spacing w:after="0" w:line="263"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Bermuda law, for so long as JRG Re is registered under the Insurance Act, the BMA may object to a person holding more than 10%, 20%, 33% or 50% of our common shares if it appears to the BMA that the person is not or is no longer fit and proper to be such a holder (See “</w:t>
      </w:r>
      <w:r>
        <w:rPr>
          <w:rFonts w:ascii="Arial" w:cs="Arial" w:eastAsia="Arial" w:hAnsi="Arial"/>
          <w:sz w:val="18"/>
          <w:szCs w:val="18"/>
          <w:i w:val="1"/>
          <w:iCs w:val="1"/>
          <w:color w:val="auto"/>
        </w:rPr>
        <w:t>There</w:t>
      </w:r>
      <w:r>
        <w:rPr>
          <w:rFonts w:ascii="Arial" w:cs="Arial" w:eastAsia="Arial" w:hAnsi="Arial"/>
          <w:sz w:val="18"/>
          <w:szCs w:val="18"/>
          <w:color w:val="auto"/>
        </w:rPr>
        <w:t xml:space="preserve"> </w:t>
      </w:r>
      <w:r>
        <w:rPr>
          <w:rFonts w:ascii="Arial" w:cs="Arial" w:eastAsia="Arial" w:hAnsi="Arial"/>
          <w:sz w:val="18"/>
          <w:szCs w:val="18"/>
          <w:i w:val="1"/>
          <w:iCs w:val="1"/>
          <w:color w:val="auto"/>
        </w:rPr>
        <w:t>are regulatory limitations on the ownership and transfer of our common shares</w:t>
      </w:r>
      <w:r>
        <w:rPr>
          <w:rFonts w:ascii="Arial" w:cs="Arial" w:eastAsia="Arial" w:hAnsi="Arial"/>
          <w:sz w:val="18"/>
          <w:szCs w:val="18"/>
          <w:color w:val="auto"/>
        </w:rPr>
        <w:t>.” risk factor herein).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foregoing factors could impede a merger, takeover or other business combination, which could reduce the market value of our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your common shares without your consent.</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this option would result in such adverse consequences or treatment.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law differs from the laws in effect in the United States and may afford less protection to holders of our shares.</w:t>
      </w:r>
    </w:p>
    <w:p>
      <w:pPr>
        <w:spacing w:after="0" w:line="117"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We are organized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1" w:name="page62"/>
    <w:bookmarkEnd w:id="6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minority shareholders or, for instance, where an act requires the approval of a greater percentage of the company’s shareholders than that which actually approved it.</w:t>
      </w:r>
    </w:p>
    <w:p>
      <w:pPr>
        <w:spacing w:after="0" w:line="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willful misconduct.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11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Common shares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such company are listed on an appointed stock exchange, which includes the NASDAQ Stock Market. This general permission will apply to our common shares, but would cease to apply if we were to cease to be listed on the NASDAQ Stock Market.</w:t>
      </w:r>
    </w:p>
    <w:p>
      <w:pPr>
        <w:spacing w:after="0" w:line="7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In connection with the IPO, we received consent from the BMA to issue and transfer freely any of our shares, options, warrants, depository receipts, rights loan notes, debt instruments or other securities to and among persons who are either residents or non-residents of Bermuda for exchange control purposes.</w:t>
      </w:r>
    </w:p>
    <w:p>
      <w:pPr>
        <w:spacing w:after="0" w:line="7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Insurance Act requires that where the shares of the registered insurer, or the shares of its parent company, are traded on a recognized stock exchange, and a person becomes a 10%, 20%, 33% or 50% shareholder controller of the insurer, that person shall, within 45 days, notify the BMA in writing that he has become such a controller. In addition, a person who is a shareholder controller of a Class 3B insurer whose shares or the shares of its parent company (if any) are traded on a recognized stock exchange must serve on the BMA a notice in writing that he has reduced or disposed of his holding in the insurer where the proportion of voting rights in the insurer held by him will have reached or has fallen below 10%, 20%, 33% or 50% as the case may be, not later than 45 days after such disposal. This requirement will apply to us as long as our shares are listed on the NASDAQ Stock Market or another stock exchange recognized by the BMA. The BMA may, by written notice, object to a person holding 10%, 20%, 33% or 50% of our common shares if it appears to the BMA that the person is not fit and proper to be such a holder. The BMA may require the holder to reduce its shareholding in us and may direct, among other things, that the voting rights attaching to its shares shall not be exercisable. A person that does not comply with such a notice or direction from the BMA will be guilty of an offense.</w:t>
      </w:r>
    </w:p>
    <w:p>
      <w:pPr>
        <w:spacing w:after="0" w:line="7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JRG Re is also required to notify the BMA in writing in the event any person has become or has ceased to be a controller or an officer of it (an officer includes a director, chief executive or senior executive performing duties of underwriting, actuarial, risk management, compliance, internal audit, finance or investment matters).</w:t>
      </w:r>
    </w:p>
    <w:p>
      <w:pPr>
        <w:spacing w:after="0" w:line="7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Except in connection with the settlement of trades or transactions entered into through the facilities of the NASDAQ Stock Market, our board of directors may generally require any shareholder or any person proposing to acquire our common shares to provide the information required under our bye-laws. If any such shareholder or proposed acquiror does not provide such information, or if our board of directors has reason to believe that any certification or other information provided pursuant to any such request is inaccurate or incomplete, our board of directors may decline to register any transfer or to effect any issuance or purchase of our common shares to which such request is related.</w:t>
      </w:r>
    </w:p>
    <w:p>
      <w:pPr>
        <w:spacing w:after="0" w:line="6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the insurance holding company laws and regulations of the states in which our insurance companies are domiciled generally require that, before a person can acquire direct or indirect control of an insurer domiciled in the state,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some cases prior to divesting its control, prior written approval must be obtained from the insurer’s domiciliary state insurance regulator. These laws may discourage potential acquisition proposals and may delay, deter or prevent an investment in or a change of control involving us, or one or more of our regulated subsidiaries, including transactions that our management and some or all of shareholders might consider desirable.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the Company’s common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7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and could be materially adversely affected if one or more of our employees causes a significant operational breakdown or failure, either as a result of human error, intentional sabotage or fraudulent manipulation of our operations or systems.</w:t>
      </w:r>
    </w:p>
    <w:p>
      <w:pPr>
        <w:spacing w:after="0" w:line="53" w:lineRule="exact"/>
        <w:rPr>
          <w:sz w:val="20"/>
          <w:szCs w:val="20"/>
          <w:color w:val="auto"/>
        </w:rPr>
      </w:pPr>
    </w:p>
    <w:p>
      <w:pPr>
        <w:jc w:val="both"/>
        <w:ind w:right="340" w:firstLine="324"/>
        <w:spacing w:after="0" w:line="279" w:lineRule="auto"/>
        <w:rPr>
          <w:sz w:val="20"/>
          <w:szCs w:val="20"/>
          <w:color w:val="auto"/>
        </w:rPr>
      </w:pPr>
      <w:r>
        <w:rPr>
          <w:rFonts w:ascii="Arial" w:cs="Arial" w:eastAsia="Arial" w:hAnsi="Arial"/>
          <w:sz w:val="17"/>
          <w:szCs w:val="17"/>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spacing w:after="0" w:line="6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rely on a combination of contractual rights and copyright, trademark, patent and trade secret laws to establish and protect our intellectual property. Although we seek to protect our intellectual property rights, third parties may infringe or misappropriate intellectual property. We may have to litigate to enforce and protect intellectual property and to determine its scope, validity or enforceability, which could divert significant resources and prove unsuccessful.</w:t>
      </w:r>
    </w:p>
    <w:p>
      <w:pPr>
        <w:spacing w:after="0" w:line="7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may be subject to claims by third parties for patent, trademark or copyright infringement or breach of usage rights. Any such claims and any resulting litigation could result in significant expense and liability. If third party providers or we are found to have infringed a third party intellectual property rights, either of us could be enjoined from providing certain products or services or from utilizing and benefiting from certain methods, processes, copyrights, trademarks, trade secrets or licenses. Alternatively, we could be required to enter into costly licensing arrangements with third parties or implement a costly work-around. Any of these scenarios could have a material effect on our business or results of operations.</w:t>
      </w:r>
    </w:p>
    <w:p>
      <w:pPr>
        <w:spacing w:after="0" w:line="6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rely on multiple proprietary operating systems as well as operating systems of third-party providers to issue policies, pay claims, run modeling functions and complete various internal processes. We may be subject to disruptions of such operating systems arising from events that are wholly or partially beyond our control, which may include, for example, electrical or telecommunications outages, natural or man-made disasters, such as earthquakes, hurricanes, floods or tornados, or events arising from criminal or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we and others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data breaches, or ransomware attacks. Any such failure or security incident could affect our operations and could materially adversely affect our results of operations by requiring us to expend significant resources to correct the defect or incident, as well as by exposing us to litigation or losses not covered by insurance. Although we have disaster recovery plans and other safeguards in place, our business operations may be materially adversely affected by significant and widespread disruption to our physical infrastructure or operating systems and those of third-party service providers that support our business.</w:t>
      </w:r>
    </w:p>
    <w:p>
      <w:pPr>
        <w:spacing w:after="0" w:line="6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reinsureds’ or claimants’ confidential, proprietary and other information, or otherwise disrupt our or our insureds’, reinsureds’, claimants’or other third parties’ business operations, which in turn may result in legal claims, regulatory scrutiny and liability, reputational damage, the incurrence of costs to eliminate or mitigate further exposure and the loss of customers. This risk may be heightened as a result of continued remote work in response to the ongoing COVID-19 pandemic. Although to date we have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not experienced any material losses relating to cyber-attacks or other information security breaches, there can be no assurance that we will not suffer such losses in the future. While we make efforts to maintain the security and integrity of our information technology networks and related systems, and we have implemented various measures and an incident response protocol to manage the risk of, or respond to, a security breach or disruption, there can be no assurance that our security efforts and measures will be effective or that attempted security breaches or disruptions would not be successful or damaging. In addition, our results of operations could be materially adversely affected if one of our business partners, such as brokers, general agents, third party claims administrators or vendors, experiences disruptions to their operating systems and/or a cybersecurity breach, as such disruption or breach could reduce submission flow, policy issuance, claims settlement, and/or make us more vulnerable to a cybersecurity breach ourselves. Our risk and exposure to these matters remains heightened because of, among other things, the evolving nature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spacing w:after="0" w:line="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have in the past varied from quarter to quarter and may not be indicative of our long-term prospects.</w:t>
      </w:r>
    </w:p>
    <w:p>
      <w:pPr>
        <w:spacing w:after="0" w:line="11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or severity of catastrophic or other insured events, fluctuating interest rates, claims exceeding our loss reserves, competition in our industry, deviations from expected renewal rates of our existing policies and contracts, adverse investment performance and the cost of reinsurance and retrocessional coverage.</w:t>
      </w:r>
    </w:p>
    <w:p>
      <w:pPr>
        <w:spacing w:after="0" w:line="4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particular, we seek to underwrite products and make investments to achieve favorable returns on tangible equity over the long term. In addition, our opportunistic nature and focus on long-term growth in tangible equity may result in fluctuations in total premiums written from period to period as we concentrate on underwriting contracts that we believe will generate better long-term, rather than short-term, results. Accordingly, our short-term results of operations may not be indicative of our long-term prospects.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or other changes effectively.</w:t>
      </w:r>
    </w:p>
    <w:p>
      <w:pPr>
        <w:spacing w:after="0" w:line="117"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We intend to continue to grow our business, may attempt to enter new business lines, and may also face changes from market, legal or regulatory developments. Such growth, new business lines, and changes could require additional capital, systems development and skilled personnel. We cannot assure you that we will be able to meet our capital needs, expand and maintain our systems and our internal controls effectively, allocate our human resources optimally, identify and hire qualified employees or incorporate effectively the components of any businesses we may acquire in our effort to achieve growth. The failure to manage our growth and other changes effectively could have a material adverse effect on our business, financial condition and results of operations.</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Litigation and legal proceedings against us or our subsidiaries could have a material adverse effect on our business, financial condition and/or results of operations.</w:t>
      </w:r>
    </w:p>
    <w:p>
      <w:pPr>
        <w:spacing w:after="0" w:line="6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or our subsidiaries are or may be named as defendants in various legal actions,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handling of insurance claims. On July 9, 2021, a purported class action lawsuit was filed in the US District Court, Eastern District of Virginia on behalf of Employees’ Retirement Fund of the City of Fort Worth (“Plaintiff”) against the Company and certain of its present and former officers (together, “Defendants”), alleging claims under Section 10(b) of the Securities Exchange Act of 1934. See “Item 3. Legal Proceedings” for more information. We believe that the outcome of this matter and other presently pending matters, individually and in the aggregate, will not have a material adverse effect on our consolidated financial position. However, the outcomes of lawsuits cannot be predicted and, if determined adversely, could require us to pay significant damage amounts or to change aspects of our operations, which could have a material adverse effect on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practices and future pronouncements may materially affect our reported financial results.</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retroactively. The impact of changes in current accounting practices and future pronouncements cannot be predicted but may affect the calculation of net income, shareholders’ equity and other relevant financial statement line items.</w:t>
      </w:r>
    </w:p>
    <w:p>
      <w:pPr>
        <w:spacing w:after="0" w:line="6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Further, our U.S. insurance subsidiaries are required to comply with statutory accounting principles (“SAP”). SAP and various components of SAP (such as actuarial reserving methodology) are subject to constant review by the NAIC and its task forces and committees, as well as state insurance departments, in an effort to address emerging issues and otherwise improve financial reporting. At any given point in time, various proposals are pending before committees and task forces of the NAIC, some of which, if enacted, could have negative effects on insurance industry participants. The NAIC continuously examines existing laws and regulations in the United States. We cannot predict whether or in what form such reforms will be enacted and, if so, whether the enacted reforms will positively or negatively affect us.</w:t>
      </w:r>
    </w:p>
    <w:p>
      <w:pPr>
        <w:spacing w:after="0" w:line="70"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addition, the NAIC Accounting Practices and Procedures manual provides that state insurance departments may permit insurance companies domiciled in their jurisdiction to depart from SAP by granting them permitted accounting practices. We cannot predict whether or when the insurance departments of the states of domicile of our competitors may permit them to utilize advantageous accounting practices that depart from SAP, the use of which may not be permitted by the insurance departments of the states of domicile of our U.S. insurance subsidiaries. Further, we cannot assure that future changes to SAP or components of SAP or the grant of permitted accounting practices to our competitors will not have a negative impact on us.</w:t>
      </w:r>
    </w:p>
    <w:p>
      <w:pPr>
        <w:spacing w:after="0" w:line="5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controls in accordance with Sarbanes-Oxley could have a material adverse effect on our business and common share price.</w:t>
      </w:r>
    </w:p>
    <w:p>
      <w:pPr>
        <w:spacing w:after="0" w:line="6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a public company with SEC reporting obligations, we are required to document and test our internal control procedures to satisfy the requirements of Section 404(b) of Sarbanes-Oxley Act of 2002, as amended ("Sarbanes-Oxley"), which require annual assessments by management of the effectiveness of our internal control over financial reporting.</w:t>
      </w:r>
    </w:p>
    <w:p>
      <w:pPr>
        <w:spacing w:after="0" w:line="7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During the course of our assessment,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we cannot be certain as to the timing of completion of our evaluation, testing and remediation actions or its effect on our operations.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share listing on the NASDAQ Stock Market to be suspended or terminated, which could have a negative effect on the trading price of our common shares.</w:t>
      </w:r>
    </w:p>
    <w:p>
      <w:pPr>
        <w:spacing w:after="0" w:line="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We lease office space in Bermuda, where our principal executive office is located and our Casualty Reinsurance segment is based. We also lease offices in (1) Chapel Hill, North Carolina, where our U.S. holding company, James River Group is based, (2) Raleigh, North Carolina, where we conduct business in our Specialty Admitted Insurance segment and (3) Richmond, Virginia; Scottsdale, Arizona; and Atlanta, Georgia for the conduct of business in our Excess and Surplus Lines segment. We believe that our facilities are adequate for our current needs and that suitable additional or substitute space will be available as needed.</w:t>
      </w:r>
    </w:p>
    <w:p>
      <w:pPr>
        <w:spacing w:after="0" w:line="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jc w:val="both"/>
        <w:ind w:right="200" w:firstLine="364"/>
        <w:spacing w:after="0" w:line="257" w:lineRule="auto"/>
        <w:rPr>
          <w:sz w:val="20"/>
          <w:szCs w:val="20"/>
          <w:color w:val="auto"/>
        </w:rPr>
      </w:pPr>
      <w:r>
        <w:rPr>
          <w:rFonts w:ascii="Arial" w:cs="Arial" w:eastAsia="Arial" w:hAnsi="Arial"/>
          <w:sz w:val="18"/>
          <w:szCs w:val="18"/>
          <w:color w:val="auto"/>
        </w:rPr>
        <w:t>We are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We believe that the outcome of such matters, individually and in the aggregate, is not reasonably likely to have a material adverse effect on our consolidated financial position, results of operations or cash flows.</w:t>
      </w:r>
    </w:p>
    <w:p>
      <w:pPr>
        <w:spacing w:after="0" w:line="80" w:lineRule="exact"/>
        <w:rPr>
          <w:sz w:val="20"/>
          <w:szCs w:val="20"/>
          <w:color w:val="auto"/>
        </w:rPr>
      </w:pPr>
    </w:p>
    <w:p>
      <w:pPr>
        <w:ind w:right="140" w:firstLine="364"/>
        <w:spacing w:after="0" w:line="272" w:lineRule="auto"/>
        <w:rPr>
          <w:sz w:val="20"/>
          <w:szCs w:val="20"/>
          <w:color w:val="auto"/>
        </w:rPr>
      </w:pPr>
      <w:r>
        <w:rPr>
          <w:rFonts w:ascii="Arial" w:cs="Arial" w:eastAsia="Arial" w:hAnsi="Arial"/>
          <w:sz w:val="17"/>
          <w:szCs w:val="17"/>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5" w:name="page66"/>
    <w:bookmarkEnd w:id="6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action complaint (the "Second Amended Complaint"). On September 8,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The First Amended Complaint and Second Amended Complaint assert claims under Sections 10(b) and 20(a) of the Securities Exchange Act of 1934 on behalf of a putative class of persons and entities that purchased the Company's stock between February 22, 2019 and October 25, 2021, allege that Defendants failed to make appropriate disclosures concerning the adequacy of reserves for policies that covered Rasier LLC, a subsidiary of Uber Technologies, Inc., and seek</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unspecified damages, costs, attorneys’ fees and such other relief as the court may deem proper. We believe that the Plaintiffs’ claims are without merit, and we intend to vigorously defend this lawsuit.</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720" w:right="280" w:hanging="971"/>
        <w:spacing w:after="0" w:line="282" w:lineRule="auto"/>
        <w:tabs>
          <w:tab w:leader="none" w:pos="7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80" w:firstLine="364"/>
        <w:spacing w:after="0" w:line="308" w:lineRule="auto"/>
        <w:rPr>
          <w:sz w:val="20"/>
          <w:szCs w:val="20"/>
          <w:color w:val="auto"/>
        </w:rPr>
      </w:pPr>
      <w:r>
        <w:rPr>
          <w:rFonts w:ascii="Arial" w:cs="Arial" w:eastAsia="Arial" w:hAnsi="Arial"/>
          <w:sz w:val="17"/>
          <w:szCs w:val="17"/>
          <w:color w:val="auto"/>
        </w:rPr>
        <w:t>Our common shares began trading on the NASDAQ Global Select Market under the symbol “JRVR” on December 12, 2014. Prior to that time, there was no public market for our common shares. As of February 24, 2023, there were 7 holders of record of our common shares.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firstLine="364"/>
        <w:spacing w:after="0" w:line="259" w:lineRule="auto"/>
        <w:rPr>
          <w:sz w:val="20"/>
          <w:szCs w:val="20"/>
          <w:color w:val="auto"/>
        </w:rPr>
      </w:pPr>
      <w:r>
        <w:rPr>
          <w:rFonts w:ascii="Arial" w:cs="Arial" w:eastAsia="Arial" w:hAnsi="Arial"/>
          <w:sz w:val="18"/>
          <w:szCs w:val="18"/>
          <w:color w:val="auto"/>
        </w:rPr>
        <w:t>We paid quarterly dividends of $0.05 per common share in 2022, and $0.30 per common share from 2017 to the fourth quarter of 2021. On February 16, 2023, the Board of Directors declared a cash dividend of $0.05 per common share. The dividend is payable on March 31, 2023 to shareholders of record on March 13, 2023. As described below, the amount of dividends that we may pay on our common shares is restricted by the terms of our Series A Preferred Shares.</w:t>
      </w:r>
    </w:p>
    <w:p>
      <w:pPr>
        <w:spacing w:after="0" w:line="79" w:lineRule="exact"/>
        <w:rPr>
          <w:sz w:val="20"/>
          <w:szCs w:val="20"/>
          <w:color w:val="auto"/>
        </w:rPr>
      </w:pPr>
    </w:p>
    <w:p>
      <w:pPr>
        <w:ind w:firstLine="364"/>
        <w:spacing w:after="0" w:line="287" w:lineRule="auto"/>
        <w:rPr>
          <w:sz w:val="20"/>
          <w:szCs w:val="20"/>
          <w:color w:val="auto"/>
        </w:rPr>
      </w:pPr>
      <w:r>
        <w:rPr>
          <w:rFonts w:ascii="Arial" w:cs="Arial" w:eastAsia="Arial" w:hAnsi="Arial"/>
          <w:sz w:val="16"/>
          <w:szCs w:val="16"/>
          <w:color w:val="auto"/>
        </w:rPr>
        <w:t>We closed on the issuance and sale of 150,000 Series A Preferred Shares on March 1, 2022. Holders of the Series A Preferred Shares are entitled to a dividend at the initial rate of 7% of the $1,000 per share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and are payable quarterly. During 2022, cash dividends of $8.8 million were declared, of which $2.6 million was payable at December 31, 2022. On February 16, 2023, the Board of Directors declared a quarterly dividend on the Series A Preferred Shares. The dividend of $2.6 million will be payable in cash on March 31, 2023 to shareholders of record on March 15, 2023. The Certificate of Designations setting forth the terms of the Series A Preferred Shares limits our ability to pay dividends to our common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our shareholders also trigger a reduction of the conversion price applicable to the Series A Preferred Shares.</w:t>
      </w:r>
    </w:p>
    <w:p>
      <w:pPr>
        <w:spacing w:after="0" w:line="60" w:lineRule="exact"/>
        <w:rPr>
          <w:sz w:val="20"/>
          <w:szCs w:val="20"/>
          <w:color w:val="auto"/>
        </w:rPr>
      </w:pPr>
    </w:p>
    <w:p>
      <w:pPr>
        <w:ind w:right="40" w:firstLine="364"/>
        <w:spacing w:after="0" w:line="269" w:lineRule="auto"/>
        <w:rPr>
          <w:sz w:val="20"/>
          <w:szCs w:val="20"/>
          <w:color w:val="auto"/>
        </w:rPr>
      </w:pPr>
      <w:r>
        <w:rPr>
          <w:rFonts w:ascii="Arial" w:cs="Arial" w:eastAsia="Arial" w:hAnsi="Arial"/>
          <w:sz w:val="17"/>
          <w:szCs w:val="17"/>
          <w:color w:val="auto"/>
        </w:rPr>
        <w:t>We are a holding company that has no substantial operations of our own, and we rely primarily on cash dividends or distributions from our subsidiaries to pay our operating expenses and dividends to shareholders. The payment of dividends by our insurance and reinsurance subsidiaries is limited under the laws and regulations of their respective domicile. These regulations stipulate the maximum amount of annual dividends or other distributions available to shareholders without prior approval of the relevant regulatory authorities. Additionally, dividends from our U.S. subsidiaries to our U.K. intermediate holding company are generally subject to a 5% withholding tax by the IRS. Under U.K. domestic law, no withholding tax is applied to dividends paid by U.K. tax resident companies. As a result of such regulations, or a change in applicable tax law, we may not be able to pay our operating expenses as they become due and our payment of future dividends to shareholders may be limited. See “Risk Factors — Risks Related to Ownership of Our Common Shares—We depend upon dividends and distributions from our subsidiaries, and we may be unable to distribute dividends to our shareholders to the extent we do not receive dividends from our subsidiaries,” and “—Dividends paid by our U.S. subsidiaries to James River UK may not be eligible for benefits under the U.S.-U.K. income tax treaty.”</w:t>
      </w:r>
    </w:p>
    <w:p>
      <w:pPr>
        <w:spacing w:after="0" w:line="77" w:lineRule="exact"/>
        <w:rPr>
          <w:sz w:val="20"/>
          <w:szCs w:val="20"/>
          <w:color w:val="auto"/>
        </w:rPr>
      </w:pPr>
    </w:p>
    <w:p>
      <w:pPr>
        <w:ind w:firstLine="364"/>
        <w:spacing w:after="0" w:line="290" w:lineRule="auto"/>
        <w:rPr>
          <w:sz w:val="20"/>
          <w:szCs w:val="20"/>
          <w:color w:val="auto"/>
        </w:rPr>
      </w:pPr>
      <w:r>
        <w:rPr>
          <w:rFonts w:ascii="Arial" w:cs="Arial" w:eastAsia="Arial" w:hAnsi="Arial"/>
          <w:sz w:val="16"/>
          <w:szCs w:val="16"/>
          <w:color w:val="auto"/>
        </w:rPr>
        <w:t>Additionally, the declaration, payment and amount of future dividends is further subject to the discretion of our board of directors. Our board of directors will give consideration to various risks and uncertainties, including those discussed under the headings “Risk Factors” and “Management’s Discussion and Analysis of Financial Condition and Results of Operations” and elsewhere in this Annual Report when determining whether to declare and pay dividends, as well as the amount thereof.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 addition to those relating to our Series A Preferred Shares (5) the effect of a dividend or dividends upon our financial strength ratings and (6) any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7" w:name="page68"/>
    <w:bookmarkEnd w:id="6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60" w:firstLine="364"/>
        <w:spacing w:after="0" w:line="296" w:lineRule="auto"/>
        <w:rPr>
          <w:sz w:val="20"/>
          <w:szCs w:val="20"/>
          <w:color w:val="auto"/>
        </w:rPr>
      </w:pPr>
      <w:r>
        <w:rPr>
          <w:rFonts w:ascii="Arial" w:cs="Arial" w:eastAsia="Arial" w:hAnsi="Arial"/>
          <w:sz w:val="16"/>
          <w:szCs w:val="16"/>
          <w:color w:val="auto"/>
        </w:rPr>
        <w:t>The graph below compares the cumulative 5-Year total shareholder return of our common shares relative to the cumulative total returns of the Russell 2000 index and a selected peer group of six companies that includes Amerisafe, Inc., Argo Group International Holdings, Ltd, Kinsale Capital Group, Inc., Markel Corporation, RLI Corp. and W. R. Berkley Corporation. The companies in the peer group are weighted by market capitalization. The calculation of cumulative total shareholder return assumes an initial investment of $100 and the reinvestment of all dividends, if any, for the period from December 31, 2017 through December 31, 2022.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43180</wp:posOffset>
            </wp:positionV>
            <wp:extent cx="5846445" cy="46380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6445" cy="463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4580" w:type="dxa"/>
            <w:vAlign w:val="bottom"/>
            <w:gridSpan w:val="6"/>
          </w:tcPr>
          <w:p>
            <w:pPr>
              <w:ind w:left="620"/>
              <w:spacing w:after="0"/>
              <w:rPr>
                <w:sz w:val="20"/>
                <w:szCs w:val="20"/>
                <w:color w:val="auto"/>
              </w:rPr>
            </w:pPr>
            <w:r>
              <w:rPr>
                <w:rFonts w:ascii="Arial" w:cs="Arial" w:eastAsia="Arial" w:hAnsi="Arial"/>
                <w:sz w:val="14"/>
                <w:szCs w:val="14"/>
                <w:color w:val="auto"/>
              </w:rPr>
              <w:t>Copyright© 2023 Russell Investment Group. All rights reserved.</w:t>
            </w: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24"/>
        </w:trPr>
        <w:tc>
          <w:tcPr>
            <w:tcW w:w="3140" w:type="dxa"/>
            <w:vAlign w:val="bottom"/>
          </w:tcPr>
          <w:p>
            <w:pPr>
              <w:spacing w:after="0"/>
              <w:rPr>
                <w:sz w:val="24"/>
                <w:szCs w:val="24"/>
                <w:color w:val="auto"/>
              </w:rPr>
            </w:pPr>
          </w:p>
        </w:tc>
        <w:tc>
          <w:tcPr>
            <w:tcW w:w="2000" w:type="dxa"/>
            <w:vAlign w:val="bottom"/>
            <w:gridSpan w:val="2"/>
          </w:tcPr>
          <w:p>
            <w:pPr>
              <w:jc w:val="center"/>
              <w:ind w:left="819"/>
              <w:spacing w:after="0"/>
              <w:rPr>
                <w:sz w:val="20"/>
                <w:szCs w:val="20"/>
                <w:color w:val="auto"/>
              </w:rPr>
            </w:pPr>
            <w:r>
              <w:rPr>
                <w:rFonts w:ascii="Arial" w:cs="Arial" w:eastAsia="Arial" w:hAnsi="Arial"/>
                <w:sz w:val="14"/>
                <w:szCs w:val="14"/>
                <w:b w:val="1"/>
                <w:bCs w:val="1"/>
                <w:color w:val="auto"/>
                <w:w w:val="96"/>
              </w:rPr>
              <w:t>12/17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12/18</w:t>
            </w:r>
          </w:p>
        </w:tc>
        <w:tc>
          <w:tcPr>
            <w:tcW w:w="100" w:type="dxa"/>
            <w:vAlign w:val="bottom"/>
          </w:tcPr>
          <w:p>
            <w:pPr>
              <w:spacing w:after="0"/>
              <w:rPr>
                <w:sz w:val="24"/>
                <w:szCs w:val="24"/>
                <w:color w:val="auto"/>
              </w:rPr>
            </w:pPr>
          </w:p>
        </w:tc>
        <w:tc>
          <w:tcPr>
            <w:tcW w:w="12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12/19</w:t>
            </w:r>
          </w:p>
        </w:tc>
        <w:tc>
          <w:tcPr>
            <w:tcW w:w="108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12/20</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12/21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12/22</w:t>
            </w:r>
          </w:p>
        </w:tc>
      </w:tr>
      <w:tr>
        <w:trPr>
          <w:trHeight w:val="25"/>
        </w:trPr>
        <w:tc>
          <w:tcPr>
            <w:tcW w:w="3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River Group Holdings, Ltd.</w:t>
            </w: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94.24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109.21</w:t>
            </w:r>
          </w:p>
        </w:tc>
        <w:tc>
          <w:tcPr>
            <w:tcW w:w="108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0"/>
              </w:rPr>
              <w:t>134.01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81.37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59.57</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Russell 2000</w:t>
            </w:r>
          </w:p>
        </w:tc>
        <w:tc>
          <w:tcPr>
            <w:tcW w:w="2000" w:type="dxa"/>
            <w:vAlign w:val="bottom"/>
            <w:gridSpan w:val="2"/>
          </w:tcPr>
          <w:p>
            <w:pPr>
              <w:jc w:val="center"/>
              <w:ind w:left="819"/>
              <w:spacing w:after="0"/>
              <w:rPr>
                <w:sz w:val="20"/>
                <w:szCs w:val="20"/>
                <w:color w:val="auto"/>
              </w:rPr>
            </w:pPr>
            <w:r>
              <w:rPr>
                <w:rFonts w:ascii="Arial" w:cs="Arial" w:eastAsia="Arial" w:hAnsi="Arial"/>
                <w:sz w:val="18"/>
                <w:szCs w:val="18"/>
                <w:color w:val="auto"/>
                <w:w w:val="90"/>
              </w:rPr>
              <w:t>100.00</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88.99</w:t>
            </w:r>
          </w:p>
        </w:tc>
        <w:tc>
          <w:tcPr>
            <w:tcW w:w="100" w:type="dxa"/>
            <w:vAlign w:val="bottom"/>
          </w:tcPr>
          <w:p>
            <w:pPr>
              <w:spacing w:after="0"/>
              <w:rPr>
                <w:sz w:val="19"/>
                <w:szCs w:val="19"/>
                <w:color w:val="auto"/>
              </w:rPr>
            </w:pPr>
          </w:p>
        </w:tc>
        <w:tc>
          <w:tcPr>
            <w:tcW w:w="1280" w:type="dxa"/>
            <w:vAlign w:val="bottom"/>
          </w:tcPr>
          <w:p>
            <w:pPr>
              <w:jc w:val="center"/>
              <w:ind w:right="75"/>
              <w:spacing w:after="0"/>
              <w:rPr>
                <w:sz w:val="20"/>
                <w:szCs w:val="20"/>
                <w:color w:val="auto"/>
              </w:rPr>
            </w:pPr>
            <w:r>
              <w:rPr>
                <w:rFonts w:ascii="Arial" w:cs="Arial" w:eastAsia="Arial" w:hAnsi="Arial"/>
                <w:sz w:val="18"/>
                <w:szCs w:val="18"/>
                <w:color w:val="auto"/>
                <w:w w:val="87"/>
              </w:rPr>
              <w:t>111.70</w:t>
            </w:r>
          </w:p>
        </w:tc>
        <w:tc>
          <w:tcPr>
            <w:tcW w:w="1080" w:type="dxa"/>
            <w:vAlign w:val="bottom"/>
          </w:tcPr>
          <w:p>
            <w:pPr>
              <w:jc w:val="center"/>
              <w:ind w:right="55"/>
              <w:spacing w:after="0"/>
              <w:rPr>
                <w:sz w:val="20"/>
                <w:szCs w:val="20"/>
                <w:color w:val="auto"/>
              </w:rPr>
            </w:pPr>
            <w:r>
              <w:rPr>
                <w:rFonts w:ascii="Arial" w:cs="Arial" w:eastAsia="Arial" w:hAnsi="Arial"/>
                <w:sz w:val="18"/>
                <w:szCs w:val="18"/>
                <w:color w:val="auto"/>
                <w:w w:val="90"/>
              </w:rPr>
              <w:t>134.00</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153.85</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122.41</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000" w:type="dxa"/>
            <w:vAlign w:val="bottom"/>
            <w:gridSpan w:val="2"/>
            <w:shd w:val="clear" w:color="auto" w:fill="CCEEFF"/>
          </w:tcPr>
          <w:p>
            <w:pPr>
              <w:jc w:val="center"/>
              <w:ind w:left="819"/>
              <w:spacing w:after="0"/>
              <w:rPr>
                <w:sz w:val="20"/>
                <w:szCs w:val="20"/>
                <w:color w:val="auto"/>
              </w:rPr>
            </w:pPr>
            <w:r>
              <w:rPr>
                <w:rFonts w:ascii="Arial" w:cs="Arial" w:eastAsia="Arial" w:hAnsi="Arial"/>
                <w:sz w:val="18"/>
                <w:szCs w:val="18"/>
                <w:color w:val="auto"/>
                <w:w w:val="90"/>
              </w:rPr>
              <w:t>100.00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101.66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127.68</w:t>
            </w:r>
          </w:p>
        </w:tc>
        <w:tc>
          <w:tcPr>
            <w:tcW w:w="108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0"/>
              </w:rPr>
              <w:t>128.75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157.48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183.25</w:t>
            </w:r>
          </w:p>
        </w:tc>
      </w:tr>
    </w:tbl>
    <w:p>
      <w:pPr>
        <w:spacing w:after="0" w:line="188"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8" w:name="page69"/>
    <w:bookmarkEnd w:id="6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20" w:firstLine="364"/>
        <w:spacing w:after="0" w:line="311" w:lineRule="auto"/>
        <w:rPr>
          <w:sz w:val="20"/>
          <w:szCs w:val="20"/>
          <w:color w:val="auto"/>
        </w:rPr>
      </w:pPr>
      <w:r>
        <w:rPr>
          <w:rFonts w:ascii="Arial" w:cs="Arial" w:eastAsia="Arial" w:hAnsi="Arial"/>
          <w:sz w:val="16"/>
          <w:szCs w:val="16"/>
          <w:i w:val="1"/>
          <w:iCs w:val="1"/>
          <w:color w:val="auto"/>
        </w:rPr>
        <w:t>The following discussion and analysis contains forward-looking statements and involves numerous risks and uncertainties, including those described under the heading “Risk Factors.” Actual results may differ materially from those contained in any forward-looking statements. You should read this discussion and analysis together with our audited consolidated financial statements and related notes included elsewhere in this Form 10-K.</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640" w:firstLine="36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earning profits from insurance and reinsurance underwriting and generating meaningful risk-adjusted investment returns, while managing our capital.</w:t>
      </w:r>
    </w:p>
    <w:p>
      <w:pPr>
        <w:spacing w:after="0" w:line="79" w:lineRule="exact"/>
        <w:rPr>
          <w:sz w:val="20"/>
          <w:szCs w:val="20"/>
          <w:color w:val="auto"/>
        </w:rPr>
      </w:pPr>
    </w:p>
    <w:p>
      <w:pPr>
        <w:ind w:right="20" w:firstLine="364"/>
        <w:spacing w:after="0" w:line="254" w:lineRule="auto"/>
        <w:rPr>
          <w:sz w:val="20"/>
          <w:szCs w:val="20"/>
          <w:color w:val="auto"/>
        </w:rPr>
      </w:pPr>
      <w:r>
        <w:rPr>
          <w:rFonts w:ascii="Arial" w:cs="Arial" w:eastAsia="Arial" w:hAnsi="Arial"/>
          <w:sz w:val="18"/>
          <w:szCs w:val="18"/>
          <w:color w:val="auto"/>
        </w:rPr>
        <w:t>For the year ended December 31, 2022, approximately 71.2% of our group-wide gross written premiums and 90.3% of our group-wide net written premiums originated from the U.S. E&amp;S lines market, which we believe puts us among the top three publicly traded insurers as ranked by highest concentrations of E&amp;S risk. We also have a specialty admitted insurance business in the United States. We intend to concentrate substantially all of our underwriting in casualty insurance, and for the year ended December 31, 2022, we derived 96.5% of our group-wide gross written premiums from casualty insurance. We focus on writing business in specialty markets where our underwriters have particular expertise and where we have long-standing distribution relationships; maintaining a strong balance sheet with appropriate reserves; monitoring reinsurance recoverables carefully; managing our investment portfolio actively without taking undue risk; using technology to monitor trends in our business; responding rapidly to market opportunities and challenges; and actively managing our capital.</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report our business in four segments: Excess and Surplus Lines, Specialty Admitted Insurance, Casualty Reinsurance and Corporate and Other.</w:t>
      </w:r>
    </w:p>
    <w:p>
      <w:pPr>
        <w:spacing w:after="0" w:line="140" w:lineRule="exact"/>
        <w:rPr>
          <w:sz w:val="20"/>
          <w:szCs w:val="20"/>
          <w:color w:val="auto"/>
        </w:rPr>
      </w:pPr>
    </w:p>
    <w:p>
      <w:pPr>
        <w:ind w:right="60" w:firstLine="364"/>
        <w:spacing w:after="0" w:line="270" w:lineRule="auto"/>
        <w:rPr>
          <w:sz w:val="20"/>
          <w:szCs w:val="20"/>
          <w:color w:val="auto"/>
        </w:rPr>
      </w:pPr>
      <w:r>
        <w:rPr>
          <w:rFonts w:ascii="Arial" w:cs="Arial" w:eastAsia="Arial" w:hAnsi="Arial"/>
          <w:sz w:val="17"/>
          <w:szCs w:val="17"/>
          <w:color w:val="auto"/>
        </w:rPr>
        <w:t>The Excess and Surplus Lines segment offers E&amp;S commercial lines liability and property insurance in every U.S. state, the District of Columbia, Puerto Rico and the U.S. Virgin Islands through James River Insurance and its wholly-owned subsidiary,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rate and form filing process. In 2022, the average account in this segment (excluding commercial auto policies) generated annual gross written premiums of approximately $24,000. The Excess and Surplus Lines segment distributes its products primarily through wholesale insurance brokers. Members of our management team have participated in this market for over three decades and have long-standing relationships with the wholesale agents who place E&amp;S lines accounts. The Excess and Surplus Lines segment produced 61.5% of our gross written premiums and 78.7% of our net written premiums for the year ended December 31, 2022.</w:t>
      </w:r>
    </w:p>
    <w:p>
      <w:pPr>
        <w:spacing w:after="0" w:line="73"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The Specialty Admitted Insurance segment focuses on niche classes within the standard insurance markets with a primary focus on fronting business, where we retain a minority share of the risk and seek to earn fee income by allowing other carriers and producers to use our licensure, ratings, expertise and infrastructure. We also write workers’ compensation coverage for building trades, healthcare employees, light manufacturing and other light-to-medium hazard risks in select U.S. states. Through Falls Lake National and its subsidiaries, this segment has admitted licenses and the authority to write excess and surplus lines insurance in 50 states and the District of Columbia and distributes through a variety of sources, including program administrators, MGAs, and independent retail agents. The Specialty Admitted Insurance segment produced 32.8% of our gross written premiums and 10.2% of our net written premiums for the year ended December 31, 2022.</w:t>
      </w:r>
    </w:p>
    <w:p>
      <w:pPr>
        <w:spacing w:after="0" w:line="69" w:lineRule="exact"/>
        <w:rPr>
          <w:sz w:val="20"/>
          <w:szCs w:val="20"/>
          <w:color w:val="auto"/>
        </w:rPr>
      </w:pPr>
    </w:p>
    <w:p>
      <w:pPr>
        <w:ind w:right="60" w:firstLine="364"/>
        <w:spacing w:after="0" w:line="288" w:lineRule="auto"/>
        <w:rPr>
          <w:sz w:val="20"/>
          <w:szCs w:val="20"/>
          <w:color w:val="auto"/>
        </w:rPr>
      </w:pPr>
      <w:r>
        <w:rPr>
          <w:rFonts w:ascii="Arial" w:cs="Arial" w:eastAsia="Arial" w:hAnsi="Arial"/>
          <w:sz w:val="16"/>
          <w:szCs w:val="16"/>
          <w:color w:val="auto"/>
        </w:rPr>
        <w:t>The Casualty Reinsurance segment provides proportional and working layer casualty reinsurance to third parties and, through December 31, 2021, to our U.S.-based insurance subsidiaries. Typically, we structure our reinsurance contracts (also known as treaties) as quota share arrangements, with loss mitigating features, such as commissions that adjust based on underwriting results. On a net premium volume basis, treaties with loss mitigation features including sliding scale ceding commissions represented 40.6% of the net premiums written by our Casualty Reinsurance segment during 2022. We typically do not assume large individual risks in our Casualty Reinsurance segment, nor do we write property catastrophe reinsurance. Most of the underlying policies assumed by our Casualty Reinsurance segment have a $1.0 million per occurrence limit, and we typically assume only a portion of that exposure. We do not assume stand-alone third-party property business at our Casualty Reinsurance segment, but we do have a small amount of assumed business with ancillary property exposure. Of the total gross premiums written by our Casualty Reinsurance segment during 2022, 64.8% were general liability accounts. The Casualty Reinsurance segment distributes through reinsurance brokers. The Casualty Reinsurance segment produced 5.7% of our gross written premiums and 11.1% of our net written premiums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9" w:name="page70"/>
    <w:bookmarkEnd w:id="6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firstLine="364"/>
        <w:spacing w:after="0" w:line="270" w:lineRule="auto"/>
        <w:rPr>
          <w:sz w:val="20"/>
          <w:szCs w:val="20"/>
          <w:color w:val="auto"/>
        </w:rPr>
      </w:pPr>
      <w:r>
        <w:rPr>
          <w:rFonts w:ascii="Arial" w:cs="Arial" w:eastAsia="Arial" w:hAnsi="Arial"/>
          <w:sz w:val="17"/>
          <w:szCs w:val="17"/>
          <w:color w:val="auto"/>
        </w:rPr>
        <w:t>The Casualty Reinsurance segment writes third party business through one entity, JRG Re. Through December 31, 2017, we had intercompany reinsurance agreements under which we ceded 70% of the net written premiums of our U.S. subsidiaries (after taking into account third-party reinsurance) to JRG Re. Effective January 1, 2018 through December 31, 2021, we generally discontinued ceding 70% of our U.S.-written premiums to JRG Re and instead ceded 70% of our U.S.-written premiums to Carolina Re, a Bermuda-domiciled, wholly-owned subsidiary of James River Group, Inc. Carolina Re made an irrevocable election to be taxed as a U.S. domestic corporation under Section 953(d) of the Code effective January 1, 2018. Carolina Re was also the cedent on a stop loss reinsurance treaty with JRG Re through December 31, 2021. Business in the Casualty Reinsurance segment is ceded under proportional, or quota-share, reinsurance treaties that provide for an arm’s length ceding commission. We exclude the effects of intercompany reinsurance agreements from the presentation of our segment results, consistent with the way we manage the Company. At December 31, 2022, 33.2% of our invested assets were held at JRG Re.</w:t>
      </w:r>
    </w:p>
    <w:p>
      <w:pPr>
        <w:spacing w:after="0" w:line="73"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The Corporate and Other segment consists of the management and treasury activities of our holding companies, equity compensation for the group, and interest expense associated with our debt.</w:t>
      </w:r>
    </w:p>
    <w:p>
      <w:pPr>
        <w:spacing w:after="0" w:line="6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from January 1, 2018 through December 31, 2021, ceded 70% of their premiums and losses to Carolina Re. During 2022, Carolina Re commuted the outstanding obligations ceded under the intercompany quota-share reinsurance agreements back to the Company’s U.S.-based insurance subsidiaries with effect from January 1, 2022.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0" w:lineRule="exact"/>
        <w:rPr>
          <w:sz w:val="20"/>
          <w:szCs w:val="20"/>
          <w:color w:val="auto"/>
        </w:rPr>
      </w:pPr>
    </w:p>
    <w:p>
      <w:pPr>
        <w:ind w:right="80" w:firstLine="364"/>
        <w:spacing w:after="0" w:line="275" w:lineRule="auto"/>
        <w:rPr>
          <w:sz w:val="20"/>
          <w:szCs w:val="20"/>
          <w:color w:val="auto"/>
        </w:rPr>
      </w:pPr>
      <w:r>
        <w:rPr>
          <w:rFonts w:ascii="Arial" w:cs="Arial" w:eastAsia="Arial" w:hAnsi="Arial"/>
          <w:sz w:val="17"/>
          <w:szCs w:val="17"/>
          <w:color w:val="auto"/>
        </w:rPr>
        <w:t>The A.M. Best Company (“A.M. Best”) financial strength rating for our group’s regulated insurance and reinsurance subsidiaries is “A-” (Excellent) with a stable outlook. This rating reflects A.M. Best’s evaluation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w:t>
      </w:r>
    </w:p>
    <w:p>
      <w:pPr>
        <w:spacing w:after="0" w:line="68" w:lineRule="exact"/>
        <w:rPr>
          <w:sz w:val="20"/>
          <w:szCs w:val="20"/>
          <w:color w:val="auto"/>
        </w:rPr>
      </w:pPr>
    </w:p>
    <w:p>
      <w:pPr>
        <w:jc w:val="both"/>
        <w:ind w:right="20" w:firstLine="364"/>
        <w:spacing w:after="0" w:line="311" w:lineRule="auto"/>
        <w:rPr>
          <w:sz w:val="20"/>
          <w:szCs w:val="20"/>
          <w:color w:val="auto"/>
        </w:rPr>
      </w:pPr>
      <w:r>
        <w:rPr>
          <w:rFonts w:ascii="Arial" w:cs="Arial" w:eastAsia="Arial" w:hAnsi="Arial"/>
          <w:sz w:val="16"/>
          <w:szCs w:val="16"/>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right="740" w:firstLine="364"/>
        <w:spacing w:after="0" w:line="277" w:lineRule="auto"/>
        <w:rPr>
          <w:sz w:val="20"/>
          <w:szCs w:val="20"/>
          <w:color w:val="auto"/>
        </w:rPr>
      </w:pPr>
      <w:r>
        <w:rPr>
          <w:rFonts w:ascii="Arial" w:cs="Arial" w:eastAsia="Arial" w:hAnsi="Arial"/>
          <w:sz w:val="18"/>
          <w:szCs w:val="18"/>
          <w:color w:val="auto"/>
        </w:rPr>
        <w:t>We discuss certain key metrics, described below, which we believe provide useful information about our business and the operational factors underlying our financial performance.</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Underwriting profit </w:t>
      </w:r>
      <w:r>
        <w:rPr>
          <w:rFonts w:ascii="Arial" w:cs="Arial" w:eastAsia="Arial" w:hAnsi="Arial"/>
          <w:sz w:val="16"/>
          <w:szCs w:val="16"/>
          <w:color w:val="auto"/>
        </w:rPr>
        <w:t>is a non-GAAP measure commonly used in the property and casualty insurance industry to evaluate underwriting performance.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not subject to retroactive reinsurance accounting for loss portfolio transfers (see </w:t>
      </w:r>
      <w:r>
        <w:rPr>
          <w:rFonts w:ascii="Arial" w:cs="Arial" w:eastAsia="Arial" w:hAnsi="Arial"/>
          <w:sz w:val="16"/>
          <w:szCs w:val="16"/>
          <w:i w:val="1"/>
          <w:iCs w:val="1"/>
          <w:color w:val="auto"/>
        </w:rPr>
        <w:t>Loss Portfolio Transfers</w:t>
      </w:r>
      <w:r>
        <w:rPr>
          <w:rFonts w:ascii="Arial" w:cs="Arial" w:eastAsia="Arial" w:hAnsi="Arial"/>
          <w:sz w:val="16"/>
          <w:szCs w:val="16"/>
          <w:color w:val="auto"/>
        </w:rPr>
        <w:t xml:space="preserve"> in </w:t>
      </w:r>
      <w:r>
        <w:rPr>
          <w:rFonts w:ascii="Arial" w:cs="Arial" w:eastAsia="Arial" w:hAnsi="Arial"/>
          <w:sz w:val="16"/>
          <w:szCs w:val="16"/>
          <w:i w:val="1"/>
          <w:iCs w:val="1"/>
          <w:color w:val="auto"/>
        </w:rPr>
        <w:t>Strategic Actions</w:t>
      </w:r>
      <w:r>
        <w:rPr>
          <w:rFonts w:ascii="Arial" w:cs="Arial" w:eastAsia="Arial" w:hAnsi="Arial"/>
          <w:sz w:val="16"/>
          <w:szCs w:val="16"/>
          <w:color w:val="auto"/>
        </w:rPr>
        <w:t xml:space="preserve"> below)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before taxes and for additional information.</w:t>
      </w:r>
    </w:p>
    <w:p>
      <w:pPr>
        <w:spacing w:after="0" w:line="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Loss ratio</w:t>
      </w:r>
      <w:r>
        <w:rPr>
          <w:rFonts w:ascii="Arial" w:cs="Arial" w:eastAsia="Arial" w:hAnsi="Arial"/>
          <w:sz w:val="18"/>
          <w:szCs w:val="18"/>
          <w:color w:val="auto"/>
        </w:rPr>
        <w:t>, expressed as a percentage, is the ratio of losses and loss adjustment expenses on business not subject to retroactive reinsurance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loss portfolio transfers to net earned premiums. Our definition of loss ratio may not be comparable to that of other companies. See “Underwriting Performance Ratios” for a reconciliation of underwriting ratios.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Accident year loss ratio</w:t>
      </w:r>
      <w:r>
        <w:rPr>
          <w:rFonts w:ascii="Arial" w:cs="Arial" w:eastAsia="Arial" w:hAnsi="Arial"/>
          <w:sz w:val="18"/>
          <w:szCs w:val="18"/>
          <w:color w:val="auto"/>
        </w:rPr>
        <w:t>, expressed as a percentage, is the ratio of losses and loss adjustment expenses for the current accident year (excluding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on prior accident year reserves) to net earned premiums.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 ratio</w:t>
      </w:r>
      <w:r>
        <w:rPr>
          <w:rFonts w:ascii="Arial" w:cs="Arial" w:eastAsia="Arial" w:hAnsi="Arial"/>
          <w:sz w:val="16"/>
          <w:szCs w:val="16"/>
          <w:color w:val="auto"/>
        </w:rPr>
        <w:t>, expressed as a percentage, is the ratio of other operating expenses net of gross fee income included in other income to net earned premiums.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Combined ratio </w:t>
      </w:r>
      <w:r>
        <w:rPr>
          <w:rFonts w:ascii="Arial" w:cs="Arial" w:eastAsia="Arial" w:hAnsi="Arial"/>
          <w:sz w:val="17"/>
          <w:szCs w:val="17"/>
          <w:color w:val="auto"/>
        </w:rPr>
        <w:t>is a measure of underwriting performance calculated as the sum of the loss ratio and the expense ratio. A combined ratio of less than 100%</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spacing w:after="0" w:line="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Adjusted net operating income </w:t>
      </w:r>
      <w:r>
        <w:rPr>
          <w:rFonts w:ascii="Arial" w:cs="Arial" w:eastAsia="Arial" w:hAnsi="Arial"/>
          <w:sz w:val="16"/>
          <w:szCs w:val="16"/>
          <w:color w:val="auto"/>
        </w:rPr>
        <w:t>is an internal performance measure used in the management of our operations. We believe it gives our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users of our financial information useful insight into our results of operations and our underlying business performance. Adjusted net operating income is defined as income available to common shareholders excluding a) the impact of retroactive reinsurance accounting for loss portfolio transfers,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spacing w:after="0" w:line="5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 xml:space="preserve">Tangible equity </w:t>
      </w:r>
      <w:r>
        <w:rPr>
          <w:rFonts w:ascii="Arial" w:cs="Arial" w:eastAsia="Arial" w:hAnsi="Arial"/>
          <w:sz w:val="16"/>
          <w:szCs w:val="16"/>
          <w:color w:val="auto"/>
        </w:rPr>
        <w:t>is defined as shareholders' equity plus mezzanine Series A Preferred Shares (as defined below) and the unrecognized deferred retroactive</w:t>
      </w:r>
      <w:r>
        <w:rPr>
          <w:rFonts w:ascii="Arial" w:cs="Arial" w:eastAsia="Arial" w:hAnsi="Arial"/>
          <w:sz w:val="16"/>
          <w:szCs w:val="16"/>
          <w:i w:val="1"/>
          <w:iCs w:val="1"/>
          <w:color w:val="auto"/>
        </w:rPr>
        <w:t xml:space="preserve"> </w:t>
      </w:r>
      <w:r>
        <w:rPr>
          <w:rFonts w:ascii="Arial" w:cs="Arial" w:eastAsia="Arial" w:hAnsi="Arial"/>
          <w:sz w:val="16"/>
          <w:szCs w:val="16"/>
          <w:color w:val="auto"/>
        </w:rPr>
        <w:t>reinsurance gain on loss portfolio transfers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spacing w:after="0" w:line="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Adjusted net operating return on tangible equity </w:t>
      </w:r>
      <w:r>
        <w:rPr>
          <w:rFonts w:ascii="Arial" w:cs="Arial" w:eastAsia="Arial" w:hAnsi="Arial"/>
          <w:sz w:val="18"/>
          <w:szCs w:val="18"/>
          <w:color w:val="auto"/>
        </w:rPr>
        <w:t>is defined as annualized adjusted net operating income expressed as a percentage of the average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equity balances in the respective period.</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 xml:space="preserve">Tangible equity per share </w:t>
      </w:r>
      <w:r>
        <w:rPr>
          <w:rFonts w:ascii="Arial" w:cs="Arial" w:eastAsia="Arial" w:hAnsi="Arial"/>
          <w:sz w:val="17"/>
          <w:szCs w:val="17"/>
          <w:color w:val="auto"/>
        </w:rPr>
        <w:t>represents tangible equity divided by the sum of total common shares outstanding plus the common shares resulting from an</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conversion of the outstanding Series A Preferred Shares into common shares (at the current conversion price).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retention </w:t>
      </w:r>
      <w:r>
        <w:rPr>
          <w:rFonts w:ascii="Arial" w:cs="Arial" w:eastAsia="Arial" w:hAnsi="Arial"/>
          <w:sz w:val="18"/>
          <w:szCs w:val="18"/>
          <w:color w:val="auto"/>
        </w:rPr>
        <w:t>is defined as the ratio of net written premiums to gross written premiums.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Gross investment yield </w:t>
      </w:r>
      <w:r>
        <w:rPr>
          <w:rFonts w:ascii="Arial" w:cs="Arial" w:eastAsia="Arial" w:hAnsi="Arial"/>
          <w:sz w:val="18"/>
          <w:szCs w:val="18"/>
          <w:color w:val="auto"/>
        </w:rPr>
        <w:t>is annualized investment income before any deductions for fees and expenses, expressed as a percentage of the average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and ending carrying values of those investments during the period.</w:t>
      </w:r>
    </w:p>
    <w:p>
      <w:pPr>
        <w:spacing w:after="0" w:line="6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 xml:space="preserve">Unless specified otherwise, all references to our defined metrics above in this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are for our business that is not subject to retroactive reinsurance accounting for loss portfolio transfers. Management believes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64"/>
        <w:spacing w:after="0" w:line="291" w:lineRule="auto"/>
        <w:rPr>
          <w:sz w:val="20"/>
          <w:szCs w:val="20"/>
          <w:color w:val="auto"/>
        </w:rPr>
      </w:pPr>
      <w:r>
        <w:rPr>
          <w:rFonts w:ascii="Arial" w:cs="Arial" w:eastAsia="Arial" w:hAnsi="Arial"/>
          <w:sz w:val="16"/>
          <w:szCs w:val="16"/>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revenues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the Notes to Consolidated Financial Statements included in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117" w:lineRule="exact"/>
        <w:rPr>
          <w:sz w:val="20"/>
          <w:szCs w:val="20"/>
          <w:color w:val="auto"/>
        </w:rPr>
      </w:pPr>
    </w:p>
    <w:p>
      <w:pPr>
        <w:ind w:right="60" w:firstLine="364"/>
        <w:spacing w:after="0" w:line="293" w:lineRule="auto"/>
        <w:rPr>
          <w:sz w:val="20"/>
          <w:szCs w:val="20"/>
          <w:color w:val="auto"/>
        </w:rPr>
      </w:pPr>
      <w:r>
        <w:rPr>
          <w:rFonts w:ascii="Arial" w:cs="Arial" w:eastAsia="Arial" w:hAnsi="Arial"/>
          <w:sz w:val="16"/>
          <w:szCs w:val="16"/>
          <w:color w:val="auto"/>
        </w:rPr>
        <w:t>The reserve for losses and loss adjustment expenses represents our estimated ultimate cost of all reported and unreported losses and loss adjustment expenses incurred and unpaid at the balance sheet date. We do not discount this reserve. We estimate the reserve using individual case-basis valuations of reported claims and statistical analysis. We believe that the use of judgment is necessary to arrive at a best estimate for the reserve for losses and loss adjustment expenses given the long-tailed nature of the business generally written by the Company and the limited operating experience of the Casualty Reinsurance segment, the fronting and program business in the Specialty Admitted Insurance segment and the commercial auto business in the Excess and Surplus Lines segment. In applying this judgment, we may establish reserves that differ from our internal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1" w:name="page72"/>
    <w:bookmarkEnd w:id="7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actuaries’ estimate. We seek to establish reserves that will ultimately prove to be adequate.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w:t>
      </w:r>
    </w:p>
    <w:p>
      <w:pPr>
        <w:spacing w:after="0" w:line="79" w:lineRule="exact"/>
        <w:rPr>
          <w:sz w:val="20"/>
          <w:szCs w:val="20"/>
          <w:color w:val="auto"/>
        </w:rPr>
      </w:pPr>
    </w:p>
    <w:p>
      <w:pPr>
        <w:ind w:right="180" w:firstLine="364"/>
        <w:spacing w:after="0" w:line="259" w:lineRule="auto"/>
        <w:rPr>
          <w:sz w:val="20"/>
          <w:szCs w:val="20"/>
          <w:color w:val="auto"/>
        </w:rPr>
      </w:pPr>
      <w:r>
        <w:rPr>
          <w:rFonts w:ascii="Arial" w:cs="Arial" w:eastAsia="Arial" w:hAnsi="Arial"/>
          <w:sz w:val="18"/>
          <w:szCs w:val="18"/>
          <w:color w:val="auto"/>
        </w:rPr>
        <w:t>Our Excess and Surplus Lines and Specialty Admitted Insurance segments generally are notified of losses by our insureds or their brokers. Based on the information provided, we establish case reserves by estimating the ultimate losses from the claim, including administrative costs associated with the ultimate settlement of the claim. Our claims department personnel use their knowledge of the specific claim along with internal and external experts, including underwriters and legal counsel, to estimate the expected ultimate losses.</w:t>
      </w:r>
    </w:p>
    <w:p>
      <w:pPr>
        <w:spacing w:after="0" w:line="79" w:lineRule="exact"/>
        <w:rPr>
          <w:sz w:val="20"/>
          <w:szCs w:val="20"/>
          <w:color w:val="auto"/>
        </w:rPr>
      </w:pPr>
    </w:p>
    <w:p>
      <w:pPr>
        <w:jc w:val="both"/>
        <w:ind w:right="180" w:firstLine="364"/>
        <w:spacing w:after="0" w:line="311" w:lineRule="auto"/>
        <w:rPr>
          <w:sz w:val="20"/>
          <w:szCs w:val="20"/>
          <w:color w:val="auto"/>
        </w:rPr>
      </w:pPr>
      <w:r>
        <w:rPr>
          <w:rFonts w:ascii="Arial" w:cs="Arial" w:eastAsia="Arial" w:hAnsi="Arial"/>
          <w:sz w:val="16"/>
          <w:szCs w:val="16"/>
          <w:color w:val="auto"/>
        </w:rPr>
        <w:t>Our Casualty Reinsurance segment generally establishes case reserves based on reports received from ceding companies or their brokers. For excess of loss contracts, we are typically notified of insurance losses on specific contracts, and we record case reserves based on the estimated ultimate losses on each claim. For proportional contracts, we typically receive aggregated claims information and record case reserves based on that information.</w:t>
      </w:r>
    </w:p>
    <w:p>
      <w:pPr>
        <w:spacing w:after="0" w:line="4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We also use statistical analysis to estimate the cost of losses and loss adjustment expenses that have been incurred but not reported to us. Those estimates are based on our historical information, industry information and estimates of future trends that may affect the frequency of claims and changes in the average cost of claims (severity) that may arise in the future.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Company’s gross reserve for losses and loss adjustment expenses at December 31, 2022 was $2,769.0 million. Of this amount, 61.5% relates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IBNR. The Company’s gross reserve for losses and loss adjustment expenses by segment are summarized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3"/>
              </w:rPr>
              <w:t>Gross Reserves at December 31, 2022</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Case</w:t>
            </w:r>
          </w:p>
        </w:tc>
        <w:tc>
          <w:tcPr>
            <w:tcW w:w="20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IBNR</w:t>
            </w:r>
          </w:p>
        </w:tc>
        <w:tc>
          <w:tcPr>
            <w:tcW w:w="500" w:type="dxa"/>
            <w:vAlign w:val="bottom"/>
          </w:tcPr>
          <w:p>
            <w:pPr>
              <w:spacing w:after="0"/>
              <w:rPr>
                <w:sz w:val="11"/>
                <w:szCs w:val="11"/>
                <w:color w:val="auto"/>
              </w:rPr>
            </w:pPr>
          </w:p>
        </w:tc>
        <w:tc>
          <w:tcPr>
            <w:tcW w:w="8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w w:val="89"/>
              </w:rPr>
              <w:t>Total</w:t>
            </w:r>
          </w:p>
        </w:tc>
        <w:tc>
          <w:tcPr>
            <w:tcW w:w="1540" w:type="dxa"/>
            <w:vAlign w:val="bottom"/>
          </w:tcPr>
          <w:p>
            <w:pPr>
              <w:jc w:val="right"/>
              <w:ind w:right="356"/>
              <w:spacing w:after="0" w:line="133" w:lineRule="exact"/>
              <w:rPr>
                <w:sz w:val="20"/>
                <w:szCs w:val="20"/>
                <w:color w:val="auto"/>
              </w:rPr>
            </w:pPr>
            <w:r>
              <w:rPr>
                <w:rFonts w:ascii="Arial" w:cs="Arial" w:eastAsia="Arial" w:hAnsi="Arial"/>
                <w:sz w:val="14"/>
                <w:szCs w:val="14"/>
                <w:b w:val="1"/>
                <w:bCs w:val="1"/>
                <w:color w:val="auto"/>
              </w:rPr>
              <w:t>IBNR %</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1,585,860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406,094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755,102</w:t>
            </w:r>
          </w:p>
        </w:tc>
        <w:tc>
          <w:tcPr>
            <w:tcW w:w="1540" w:type="dxa"/>
            <w:vAlign w:val="bottom"/>
          </w:tcPr>
          <w:p>
            <w:pPr>
              <w:jc w:val="right"/>
              <w:spacing w:after="0"/>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428,033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1,067,342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1,701,653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2,768,995</w:t>
            </w:r>
          </w:p>
        </w:tc>
        <w:tc>
          <w:tcPr>
            <w:tcW w:w="1540" w:type="dxa"/>
            <w:vAlign w:val="bottom"/>
          </w:tcPr>
          <w:p>
            <w:pPr>
              <w:jc w:val="right"/>
              <w:spacing w:after="0"/>
              <w:rPr>
                <w:sz w:val="20"/>
                <w:szCs w:val="20"/>
                <w:color w:val="auto"/>
              </w:rPr>
            </w:pPr>
            <w:r>
              <w:rPr>
                <w:rFonts w:ascii="Arial" w:cs="Arial" w:eastAsia="Arial" w:hAnsi="Arial"/>
                <w:sz w:val="18"/>
                <w:szCs w:val="18"/>
                <w:color w:val="auto"/>
              </w:rPr>
              <w:t>61.5 %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180" w:firstLine="364"/>
        <w:spacing w:after="0" w:line="263" w:lineRule="auto"/>
        <w:rPr>
          <w:sz w:val="20"/>
          <w:szCs w:val="20"/>
          <w:color w:val="auto"/>
        </w:rPr>
      </w:pPr>
      <w:r>
        <w:rPr>
          <w:rFonts w:ascii="Arial" w:cs="Arial" w:eastAsia="Arial" w:hAnsi="Arial"/>
          <w:sz w:val="18"/>
          <w:szCs w:val="18"/>
          <w:color w:val="auto"/>
        </w:rPr>
        <w:t>The Company’s net reserve for losses and loss adjustment expenses prior to the $612,000 allowance for credit losses on reinsurance recoverables at December 31, 2022 was $1,248.3 million. Of this amount, 66.6% relates to IBNR. The Company’s net reserve for losses and loss adjustment expenses by segment are summarized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6"/>
              </w:rPr>
              <w:t>Net Reserves at December 31, 2022</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Case</w:t>
            </w:r>
          </w:p>
        </w:tc>
        <w:tc>
          <w:tcPr>
            <w:tcW w:w="24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IBNR</w:t>
            </w:r>
          </w:p>
        </w:tc>
        <w:tc>
          <w:tcPr>
            <w:tcW w:w="500" w:type="dxa"/>
            <w:vAlign w:val="bottom"/>
          </w:tcPr>
          <w:p>
            <w:pPr>
              <w:spacing w:after="0"/>
              <w:rPr>
                <w:sz w:val="11"/>
                <w:szCs w:val="11"/>
                <w:color w:val="auto"/>
              </w:rPr>
            </w:pPr>
          </w:p>
        </w:tc>
        <w:tc>
          <w:tcPr>
            <w:tcW w:w="8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w w:val="89"/>
              </w:rPr>
              <w:t>Total</w:t>
            </w:r>
          </w:p>
        </w:tc>
        <w:tc>
          <w:tcPr>
            <w:tcW w:w="1540" w:type="dxa"/>
            <w:vAlign w:val="bottom"/>
          </w:tcPr>
          <w:p>
            <w:pPr>
              <w:jc w:val="right"/>
              <w:ind w:right="356"/>
              <w:spacing w:after="0" w:line="129" w:lineRule="exact"/>
              <w:rPr>
                <w:sz w:val="20"/>
                <w:szCs w:val="20"/>
                <w:color w:val="auto"/>
              </w:rPr>
            </w:pPr>
            <w:r>
              <w:rPr>
                <w:rFonts w:ascii="Arial" w:cs="Arial" w:eastAsia="Arial" w:hAnsi="Arial"/>
                <w:sz w:val="14"/>
                <w:szCs w:val="14"/>
                <w:b w:val="1"/>
                <w:bCs w:val="1"/>
                <w:color w:val="auto"/>
              </w:rPr>
              <w:t>IBNR %</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967,584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113,181</w:t>
            </w:r>
          </w:p>
        </w:tc>
        <w:tc>
          <w:tcPr>
            <w:tcW w:w="1540" w:type="dxa"/>
            <w:vAlign w:val="bottom"/>
          </w:tcPr>
          <w:p>
            <w:pPr>
              <w:jc w:val="right"/>
              <w:spacing w:after="0"/>
              <w:rPr>
                <w:sz w:val="20"/>
                <w:szCs w:val="20"/>
                <w:color w:val="auto"/>
              </w:rPr>
            </w:pPr>
            <w:r>
              <w:rPr>
                <w:rFonts w:ascii="Arial" w:cs="Arial" w:eastAsia="Arial" w:hAnsi="Arial"/>
                <w:sz w:val="18"/>
                <w:szCs w:val="18"/>
                <w:color w:val="auto"/>
              </w:rPr>
              <w:t>58.6 %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831,013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1,248,270</w:t>
            </w:r>
          </w:p>
        </w:tc>
        <w:tc>
          <w:tcPr>
            <w:tcW w:w="1540" w:type="dxa"/>
            <w:vAlign w:val="bottom"/>
          </w:tcPr>
          <w:p>
            <w:pPr>
              <w:jc w:val="right"/>
              <w:spacing w:after="0"/>
              <w:rPr>
                <w:sz w:val="20"/>
                <w:szCs w:val="20"/>
                <w:color w:val="auto"/>
              </w:rPr>
            </w:pPr>
            <w:r>
              <w:rPr>
                <w:rFonts w:ascii="Arial" w:cs="Arial" w:eastAsia="Arial" w:hAnsi="Arial"/>
                <w:sz w:val="18"/>
                <w:szCs w:val="18"/>
                <w:color w:val="auto"/>
              </w:rPr>
              <w:t>66.6 %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364"/>
        <w:spacing w:after="0" w:line="301" w:lineRule="auto"/>
        <w:rPr>
          <w:sz w:val="20"/>
          <w:szCs w:val="20"/>
          <w:color w:val="auto"/>
        </w:rPr>
      </w:pPr>
      <w:r>
        <w:rPr>
          <w:rFonts w:ascii="Arial" w:cs="Arial" w:eastAsia="Arial" w:hAnsi="Arial"/>
          <w:sz w:val="16"/>
          <w:szCs w:val="16"/>
          <w:color w:val="auto"/>
        </w:rPr>
        <w:t>Our Reserve Committee consists of our Chief Executive Officer, Chief Financial Officer, Chief Accounting Officer, and Chief Actuary. Additionally, the presidents, chief financial officers and segment actuaries of each of our three insurance segments participate in the Reserve Committee meetings for their respective segments. The Reserve Committee meets quarterly to review the actuarial recommendations made by each segment actuary and use their best judgment to determine the best estimate to be recorded for the reserve for losses and loss adjustment expenses on our balance sheet.</w:t>
      </w:r>
    </w:p>
    <w:p>
      <w:pPr>
        <w:spacing w:after="0" w:line="49" w:lineRule="exact"/>
        <w:rPr>
          <w:sz w:val="20"/>
          <w:szCs w:val="20"/>
          <w:color w:val="auto"/>
        </w:rPr>
      </w:pPr>
    </w:p>
    <w:p>
      <w:pPr>
        <w:ind w:right="100" w:firstLine="364"/>
        <w:spacing w:after="0" w:line="259" w:lineRule="auto"/>
        <w:rPr>
          <w:sz w:val="20"/>
          <w:szCs w:val="20"/>
          <w:color w:val="auto"/>
        </w:rPr>
      </w:pPr>
      <w:r>
        <w:rPr>
          <w:rFonts w:ascii="Arial" w:cs="Arial" w:eastAsia="Arial" w:hAnsi="Arial"/>
          <w:sz w:val="18"/>
          <w:szCs w:val="18"/>
          <w:color w:val="auto"/>
        </w:rPr>
        <w:t>We engage an independent internationally recognized actuarial consulting firm to review our reserves for losses and loss adjustment expenses in the third and fourth quarters of each year. This independent actuarial consulting firm prepares its own estimate of our reserve for loss and loss adjustment expenses, and we compare their estimate to the reserve for losses and loss adjustment expenses reviewed and approved by the Reserve Committee in order to corroborate the adequacy of our reserves.</w:t>
      </w:r>
    </w:p>
    <w:p>
      <w:pPr>
        <w:spacing w:after="0" w:line="79"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The Reserve Committee believes that using judgment to supplement the actuarial recommendations is necessary to arrive at a best estimate given the nature of the business generally written by the Company and the limited operating experience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Casualty Reinsurance segment, the fronting and program business in the Specialty Admitted Insurance segment and the commercial auto business in the Excess and Surplus Lines segment.</w:t>
      </w:r>
    </w:p>
    <w:p>
      <w:pPr>
        <w:spacing w:after="0" w:line="62" w:lineRule="exact"/>
        <w:rPr>
          <w:sz w:val="20"/>
          <w:szCs w:val="20"/>
          <w:color w:val="auto"/>
        </w:rPr>
      </w:pPr>
    </w:p>
    <w:p>
      <w:pPr>
        <w:ind w:right="80" w:firstLine="364"/>
        <w:spacing w:after="0" w:line="290" w:lineRule="auto"/>
        <w:rPr>
          <w:sz w:val="20"/>
          <w:szCs w:val="20"/>
          <w:color w:val="auto"/>
        </w:rPr>
      </w:pPr>
      <w:r>
        <w:rPr>
          <w:rFonts w:ascii="Arial" w:cs="Arial" w:eastAsia="Arial" w:hAnsi="Arial"/>
          <w:sz w:val="16"/>
          <w:szCs w:val="16"/>
          <w:color w:val="auto"/>
        </w:rPr>
        <w:t>The process of estimating the reserve for losses and loss adjustment expenses requires a high degree of judgment and is subject to a number of variables. In establishing the quarterly actuarial recommendation for the reserve for losses and loss adjustment expenses, our actuaries estimate an initial expected ultimate loss ratio for each of our product lines by accident year (or for our Casualty Reinsurance segment, on a contract by contract basis). Input from our underwriting and claims departments, including premium pricing assumptions and historical experience, are considered by our internal actuaries in estimating the initial expected loss ratios. Our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five actuarial methods that we use in our reserve estimation process are: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Loss Method</w:t>
      </w:r>
    </w:p>
    <w:p>
      <w:pPr>
        <w:spacing w:after="0" w:line="117" w:lineRule="exact"/>
        <w:rPr>
          <w:sz w:val="20"/>
          <w:szCs w:val="20"/>
          <w:color w:val="auto"/>
        </w:rPr>
      </w:pPr>
    </w:p>
    <w:p>
      <w:pPr>
        <w:ind w:right="80" w:firstLine="364"/>
        <w:spacing w:after="0" w:line="308" w:lineRule="auto"/>
        <w:rPr>
          <w:sz w:val="20"/>
          <w:szCs w:val="20"/>
          <w:color w:val="auto"/>
        </w:rPr>
      </w:pPr>
      <w:r>
        <w:rPr>
          <w:rFonts w:ascii="Arial" w:cs="Arial" w:eastAsia="Arial" w:hAnsi="Arial"/>
          <w:sz w:val="16"/>
          <w:szCs w:val="16"/>
          <w:color w:val="auto"/>
        </w:rPr>
        <w:t>The Expected Loss method multiplies earned premiums by an initial expected loss ratio. In our Excess and Surplus Lines segment and for our Workers’ Compensation book in the Specialty Admitted Insurance segment, the initial expected loss ratio is estimated based on adjusting book of business</w:t>
      </w:r>
    </w:p>
    <w:p>
      <w:pPr>
        <w:spacing w:after="0"/>
        <w:rPr>
          <w:sz w:val="20"/>
          <w:szCs w:val="20"/>
          <w:color w:val="auto"/>
        </w:rPr>
      </w:pPr>
      <w:r>
        <w:rPr>
          <w:rFonts w:ascii="Arial" w:cs="Arial" w:eastAsia="Arial" w:hAnsi="Arial"/>
          <w:sz w:val="17"/>
          <w:szCs w:val="17"/>
          <w:color w:val="auto"/>
        </w:rPr>
        <w:t>prior year experience to current cost and rate level. In our Programs business within the Specialty Admitted Insurance segment and in our Casualty</w:t>
      </w:r>
    </w:p>
    <w:p>
      <w:pPr>
        <w:spacing w:after="0" w:line="6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Reinsurance segment, the expected loss ratio is based on the actuarial pricing of the individual account. Alternatively, when company experience lacks historical depth, initial expected loss ratios can be determined using loss ratios implied by industry loss costs for the class or reported industry loss ratios.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Incurred Loss Development Method</w:t>
      </w:r>
    </w:p>
    <w:p>
      <w:pPr>
        <w:spacing w:after="0" w:line="117" w:lineRule="exact"/>
        <w:rPr>
          <w:sz w:val="20"/>
          <w:szCs w:val="20"/>
          <w:color w:val="auto"/>
        </w:rPr>
      </w:pPr>
    </w:p>
    <w:p>
      <w:pPr>
        <w:ind w:firstLine="364"/>
        <w:spacing w:after="0" w:line="308" w:lineRule="auto"/>
        <w:rPr>
          <w:sz w:val="20"/>
          <w:szCs w:val="20"/>
          <w:color w:val="auto"/>
        </w:rPr>
      </w:pPr>
      <w:r>
        <w:rPr>
          <w:rFonts w:ascii="Arial" w:cs="Arial" w:eastAsia="Arial" w:hAnsi="Arial"/>
          <w:sz w:val="16"/>
          <w:szCs w:val="16"/>
          <w:color w:val="auto"/>
        </w:rPr>
        <w:t>The Incurred Loss Development method uses historical loss reporting patterns by accident year or treaty year to estimate future loss reporting patterns. In this method, our actuaries review historical loss reporting patterns to develop incurred loss development factors that are applied to current reported</w:t>
      </w:r>
    </w:p>
    <w:p>
      <w:pPr>
        <w:spacing w:after="0"/>
        <w:rPr>
          <w:sz w:val="20"/>
          <w:szCs w:val="20"/>
          <w:color w:val="auto"/>
        </w:rPr>
      </w:pPr>
      <w:r>
        <w:rPr>
          <w:rFonts w:ascii="Arial" w:cs="Arial" w:eastAsia="Arial" w:hAnsi="Arial"/>
          <w:sz w:val="18"/>
          <w:szCs w:val="18"/>
          <w:color w:val="auto"/>
        </w:rPr>
        <w:t>losses to calculate ultimate losses.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Paid Loss Development Method</w:t>
      </w:r>
    </w:p>
    <w:p>
      <w:pPr>
        <w:spacing w:after="0" w:line="117"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The Paid Loss Development method is similar to the Incurred Loss Development method, but it uses historical loss payment patterns to estimate future loss payment patterns. In this method, our actuaries apply historical loss payment patterns to develop paid loss development factors that are applied to current paid losses to calculate expected ultimate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Bornhuetter-Ferguson Incurred Loss Development Method</w:t>
      </w:r>
    </w:p>
    <w:p>
      <w:pPr>
        <w:spacing w:after="0" w:line="117" w:lineRule="exact"/>
        <w:rPr>
          <w:sz w:val="20"/>
          <w:szCs w:val="20"/>
          <w:color w:val="auto"/>
        </w:rPr>
      </w:pPr>
    </w:p>
    <w:p>
      <w:pPr>
        <w:ind w:right="40" w:firstLine="364"/>
        <w:spacing w:after="0" w:line="308" w:lineRule="auto"/>
        <w:rPr>
          <w:sz w:val="20"/>
          <w:szCs w:val="20"/>
          <w:color w:val="auto"/>
        </w:rPr>
      </w:pPr>
      <w:r>
        <w:rPr>
          <w:rFonts w:ascii="Arial" w:cs="Arial" w:eastAsia="Arial" w:hAnsi="Arial"/>
          <w:sz w:val="16"/>
          <w:szCs w:val="16"/>
          <w:color w:val="auto"/>
        </w:rPr>
        <w:t>The Bornhuetter-Ferguson Incurred Loss Development method divides the projection of ultimate losses into the portion that has already been reported and the portion that has yet to be reported. The portion that has yet to be reported is estimated as the product of premiums earned for the accident year, the</w:t>
      </w:r>
    </w:p>
    <w:p>
      <w:pPr>
        <w:ind w:right="800"/>
        <w:spacing w:after="0" w:line="308" w:lineRule="auto"/>
        <w:rPr>
          <w:sz w:val="20"/>
          <w:szCs w:val="20"/>
          <w:color w:val="auto"/>
        </w:rPr>
      </w:pPr>
      <w:r>
        <w:rPr>
          <w:rFonts w:ascii="Arial" w:cs="Arial" w:eastAsia="Arial" w:hAnsi="Arial"/>
          <w:sz w:val="17"/>
          <w:szCs w:val="17"/>
          <w:color w:val="auto"/>
        </w:rPr>
        <w:t>initial expected ultimate loss ratio and an estimate of the percentage of ultimate losses that are unreported at the valuation date. This technique is particularly valuable when there is a low volume of business being reviewed and reported losses lack historical depth.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Bornhuetter-Ferguson Paid Loss Development Method</w:t>
      </w:r>
    </w:p>
    <w:p>
      <w:pPr>
        <w:spacing w:after="0" w:line="117" w:lineRule="exact"/>
        <w:rPr>
          <w:sz w:val="20"/>
          <w:szCs w:val="20"/>
          <w:color w:val="auto"/>
        </w:rPr>
      </w:pPr>
    </w:p>
    <w:p>
      <w:pPr>
        <w:ind w:right="20" w:firstLine="364"/>
        <w:spacing w:after="0" w:line="314" w:lineRule="auto"/>
        <w:rPr>
          <w:sz w:val="20"/>
          <w:szCs w:val="20"/>
          <w:color w:val="auto"/>
        </w:rPr>
      </w:pPr>
      <w:r>
        <w:rPr>
          <w:rFonts w:ascii="Arial" w:cs="Arial" w:eastAsia="Arial" w:hAnsi="Arial"/>
          <w:sz w:val="15"/>
          <w:szCs w:val="15"/>
          <w:color w:val="auto"/>
        </w:rPr>
        <w:t>The Bornhuetter-Ferguson Paid Loss Development method is similar to the Bornhuetter-Ferguson Incurred Loss Development method, except this method divides the projection of ultimate losses into the portion that has already been paid and the portion that has yet to be paid. The portion that has yet to be paid is estimated as the product of premiums earned for the accident year, the initial expected ultimate loss ratio and an estimate of the percentage of ultimate losses that are unpaid at the valuation date. This approach assumes that the paid experience has no effect on the subsequent paid loss emergence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business. Again, this technique is particularly valuable when there is a low volume of business being reviewed and paid losses lack historical depth.</w:t>
      </w:r>
    </w:p>
    <w:p>
      <w:pPr>
        <w:spacing w:after="0" w:line="140" w:lineRule="exact"/>
        <w:rPr>
          <w:sz w:val="20"/>
          <w:szCs w:val="20"/>
          <w:color w:val="auto"/>
        </w:rPr>
      </w:pPr>
    </w:p>
    <w:p>
      <w:pPr>
        <w:ind w:firstLine="364"/>
        <w:spacing w:after="0" w:line="289" w:lineRule="auto"/>
        <w:rPr>
          <w:sz w:val="20"/>
          <w:szCs w:val="20"/>
          <w:color w:val="auto"/>
        </w:rPr>
      </w:pPr>
      <w:r>
        <w:rPr>
          <w:rFonts w:ascii="Arial" w:cs="Arial" w:eastAsia="Arial" w:hAnsi="Arial"/>
          <w:sz w:val="16"/>
          <w:szCs w:val="16"/>
          <w:color w:val="auto"/>
        </w:rPr>
        <w:t>Different reserving methods are appropriate in different situations, and our actuaries use their judgment and experience to determine the weighting of the methods detailed above to use for each accident year and each line of business and, for our Casualty Reinsurance segment, on a contract by contract basis. For example, the current accident year has very little incurred and paid loss development data on which to base reserve projections. As a result, we rely heavily on the Expected Loss Method in estimating reserves for the current accident year. We generally set our initial expected loss ratio for the current accident year consistent with our pricing assumptions. We believe that this is a reasonable and appropriate reserving assumption for the current accident year since our pricing assumptions are actuarially driven and since we expect to make an acceptable return on the new business that we write.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is available for our oldest accident years, so more weight is given to the Incurred Loss Development method and the Paid Loss Development method than the Expected Loss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method. The Bornhuetter-Ferguson Incurred Loss Development and Paid Loss Development methods blend features of the Expected Loss method and the Incurred and Paid Loss Development methods. The Bornhuetter-Ferguson methods are typically used for the more recent prior accident years.</w:t>
      </w:r>
    </w:p>
    <w:p>
      <w:pPr>
        <w:spacing w:after="0" w:line="16" w:lineRule="exact"/>
        <w:rPr>
          <w:sz w:val="20"/>
          <w:szCs w:val="20"/>
          <w:color w:val="auto"/>
        </w:rPr>
      </w:pPr>
    </w:p>
    <w:p>
      <w:pPr>
        <w:ind w:firstLine="364"/>
        <w:spacing w:after="0" w:line="287" w:lineRule="auto"/>
        <w:rPr>
          <w:sz w:val="20"/>
          <w:szCs w:val="20"/>
          <w:color w:val="auto"/>
        </w:rPr>
      </w:pPr>
      <w:r>
        <w:rPr>
          <w:rFonts w:ascii="Arial" w:cs="Arial" w:eastAsia="Arial" w:hAnsi="Arial"/>
          <w:sz w:val="16"/>
          <w:szCs w:val="16"/>
          <w:color w:val="auto"/>
        </w:rPr>
        <w:t>In applying these methods to develop an estimate of the reserve for losses and loss adjustment expenses, our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Judgment is also required to make actuarial adjustments, if needed, for changes in claims processing and case reserving that could cause current reported loss and paid loss development patterns to deviate from historical patterns. For the Excess and Surplus Lines segment, the segment actuary performs a study on each of these parameters at least annually and makes recommendations for the initial expected loss ratios, the incurred and paid loss development factors and the weighting of the five actuarial methods by accident year and line of business. Members of the Reserve Committee review and approve the parameter review actuarial recommendations, and absent any developments requiring an earlier review, these approved parameters are used in the reserve estimation process for the next four quarters at which time a new parameter study is performed. For the Specialty Admitted Insurance segment, expected loss ratios, loss development factors, and loss cost trends are reviewed and updated at least annually. For the Casualty Reinsurance segment, periodic assessments are made on a contract by contract basis. Method weights are generally less rigid for the Casualty Reinsurance segment given the heterogeneous nature of the various contracts, and the potential for significant changes in mix of business within individual treaties.</w:t>
      </w:r>
    </w:p>
    <w:p>
      <w:pPr>
        <w:spacing w:after="0" w:line="60" w:lineRule="exact"/>
        <w:rPr>
          <w:sz w:val="20"/>
          <w:szCs w:val="20"/>
          <w:color w:val="auto"/>
        </w:rPr>
      </w:pPr>
    </w:p>
    <w:p>
      <w:pPr>
        <w:ind w:right="180" w:firstLine="364"/>
        <w:spacing w:after="0" w:line="263" w:lineRule="auto"/>
        <w:rPr>
          <w:sz w:val="20"/>
          <w:szCs w:val="20"/>
          <w:color w:val="auto"/>
        </w:rPr>
      </w:pPr>
      <w:r>
        <w:rPr>
          <w:rFonts w:ascii="Arial" w:cs="Arial" w:eastAsia="Arial" w:hAnsi="Arial"/>
          <w:sz w:val="18"/>
          <w:szCs w:val="18"/>
          <w:color w:val="auto"/>
        </w:rPr>
        <w:t>The table below quantifies the impact of extreme reserve deviations from our expected value at December 31, 2022. The total carried net reserve for losses and loss adjustment expenses is displayed alongside 5th, 50th and 95th percentiles of likely ultimate net reserve outcomes. The estimates of these percentiles are a result of a reserve variability analysis using a simulation approach.</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Sensitivity</w:t>
            </w:r>
          </w:p>
        </w:tc>
        <w:tc>
          <w:tcPr>
            <w:tcW w:w="28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5th Pct.</w:t>
            </w:r>
          </w:p>
        </w:tc>
        <w:tc>
          <w:tcPr>
            <w:tcW w:w="32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Carried</w:t>
            </w:r>
          </w:p>
        </w:tc>
        <w:tc>
          <w:tcPr>
            <w:tcW w:w="460" w:type="dxa"/>
            <w:vAlign w:val="bottom"/>
          </w:tcPr>
          <w:p>
            <w:pPr>
              <w:spacing w:after="0"/>
              <w:rPr>
                <w:sz w:val="16"/>
                <w:szCs w:val="16"/>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w w:val="89"/>
              </w:rPr>
              <w:t>50th Pct.</w:t>
            </w:r>
          </w:p>
        </w:tc>
        <w:tc>
          <w:tcPr>
            <w:tcW w:w="340" w:type="dxa"/>
            <w:vAlign w:val="bottom"/>
          </w:tcPr>
          <w:p>
            <w:pPr>
              <w:spacing w:after="0"/>
              <w:rPr>
                <w:sz w:val="16"/>
                <w:szCs w:val="16"/>
                <w:color w:val="auto"/>
              </w:rPr>
            </w:pPr>
          </w:p>
        </w:tc>
        <w:tc>
          <w:tcPr>
            <w:tcW w:w="1060" w:type="dxa"/>
            <w:vAlign w:val="bottom"/>
          </w:tcPr>
          <w:p>
            <w:pPr>
              <w:jc w:val="right"/>
              <w:ind w:right="296"/>
              <w:spacing w:after="0"/>
              <w:rPr>
                <w:sz w:val="20"/>
                <w:szCs w:val="20"/>
                <w:color w:val="auto"/>
              </w:rPr>
            </w:pPr>
            <w:r>
              <w:rPr>
                <w:rFonts w:ascii="Arial" w:cs="Arial" w:eastAsia="Arial" w:hAnsi="Arial"/>
                <w:sz w:val="14"/>
                <w:szCs w:val="14"/>
                <w:b w:val="1"/>
                <w:bCs w:val="1"/>
                <w:color w:val="auto"/>
              </w:rPr>
              <w:t>95th Pct.</w:t>
            </w:r>
          </w:p>
        </w:tc>
      </w:tr>
      <w:tr>
        <w:trPr>
          <w:trHeight w:val="26"/>
        </w:trPr>
        <w:tc>
          <w:tcPr>
            <w:tcW w:w="5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Reserve for losses and loss adjustment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1,156,992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1,248,270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1,253,315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1,378,327</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Changes in reserves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(91,278)</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5,045</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130,057</w:t>
            </w:r>
          </w:p>
        </w:tc>
      </w:tr>
    </w:tbl>
    <w:p>
      <w:pPr>
        <w:spacing w:after="0" w:line="187" w:lineRule="exact"/>
        <w:rPr>
          <w:sz w:val="20"/>
          <w:szCs w:val="20"/>
          <w:color w:val="auto"/>
        </w:rPr>
      </w:pPr>
    </w:p>
    <w:p>
      <w:pPr>
        <w:jc w:val="both"/>
        <w:ind w:right="240" w:firstLine="364"/>
        <w:spacing w:after="0" w:line="311" w:lineRule="auto"/>
        <w:rPr>
          <w:sz w:val="20"/>
          <w:szCs w:val="20"/>
          <w:color w:val="auto"/>
        </w:rPr>
      </w:pPr>
      <w:r>
        <w:rPr>
          <w:rFonts w:ascii="Arial" w:cs="Arial" w:eastAsia="Arial" w:hAnsi="Arial"/>
          <w:sz w:val="16"/>
          <w:szCs w:val="16"/>
          <w:color w:val="auto"/>
        </w:rPr>
        <w:t>The impact of recording the net reserve for losses and loss adjustment expenses at the highest value from the sensitivity analysis above would be to increase losses and loss adjustment expenses incurred by $130.1 million, reduce after-tax net income by $113.7 million, reduce shareholders’ equity by $113.7 million and reduce shareholders’ tangible equity by $113.7 million, in each case at or for the year ended December 31, 2022.</w:t>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impact of recording the net reserve for losses and loss adjustment expenses at the lowest value from the sensitivity analysis above would be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reduce losses and loss adjustment expenses incurred by $91.3 million, increase after-tax net income by $81.2 million, increase shareholders’ equity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$81.2 million, and increase tangible equity by $81.2 million, in each case at or for the year ended December 31, 2022. Such changes in the net reserve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and loss adjustment expenses would not have an immediate impact on our liquidity, but would affect cash flow and investment income in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 as the incremental or reduced amount of losses are paid and investment assets adjusted to reflect the level of paid claims.</w:t>
      </w:r>
    </w:p>
    <w:p>
      <w:pPr>
        <w:spacing w:after="0" w:line="103" w:lineRule="exact"/>
        <w:rPr>
          <w:sz w:val="20"/>
          <w:szCs w:val="20"/>
          <w:color w:val="auto"/>
        </w:rPr>
      </w:pPr>
    </w:p>
    <w:p>
      <w:pPr>
        <w:ind w:right="20" w:firstLine="364"/>
        <w:spacing w:after="0" w:line="287" w:lineRule="auto"/>
        <w:rPr>
          <w:sz w:val="20"/>
          <w:szCs w:val="20"/>
          <w:color w:val="auto"/>
        </w:rPr>
      </w:pPr>
      <w:r>
        <w:rPr>
          <w:rFonts w:ascii="Arial" w:cs="Arial" w:eastAsia="Arial" w:hAnsi="Arial"/>
          <w:sz w:val="16"/>
          <w:szCs w:val="16"/>
          <w:color w:val="auto"/>
        </w:rPr>
        <w:t>Loss reserve estimates are subject to a high degree of variability due to the inherent uncertainty of ultimate claims settlement values. In recording our best estimate of our reserve for losses and loss adjustment expenses, our Reserve Committee may select an amount that is different from the actuarial recommendation submitted after considering other qualitative factors and our knowledge and expectations of trends and other business developments that impact our best estimate. There is inherent variation associated with our reserve estimates and the possibility that there are unforeseen or incorrectly valued liabilities in the actuarial recommendations exists. We believe that the insurance that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As a casualty insurer, losses on our policies often take a number of years to develop, making it difficult to estimate the ultimate losses associated with this business. Judicial and regulatory bodies have frequently interpreted insurance contracts in a manner that expands coverage beyond that which was contemplated at the time that the policy was issued. In addition, many of our policies are issued on an occurrence basis, and insureds suffering a loss frequently seek coverage beyond the policies’ original intent.</w:t>
      </w:r>
    </w:p>
    <w:p>
      <w:pPr>
        <w:spacing w:after="0" w:line="64" w:lineRule="exact"/>
        <w:rPr>
          <w:sz w:val="20"/>
          <w:szCs w:val="20"/>
          <w:color w:val="auto"/>
        </w:rPr>
      </w:pPr>
    </w:p>
    <w:p>
      <w:pPr>
        <w:ind w:right="20" w:firstLine="364"/>
        <w:spacing w:after="0" w:line="296" w:lineRule="auto"/>
        <w:rPr>
          <w:sz w:val="20"/>
          <w:szCs w:val="20"/>
          <w:color w:val="auto"/>
        </w:rPr>
      </w:pPr>
      <w:r>
        <w:rPr>
          <w:rFonts w:ascii="Arial" w:cs="Arial" w:eastAsia="Arial" w:hAnsi="Arial"/>
          <w:sz w:val="16"/>
          <w:szCs w:val="16"/>
          <w:color w:val="auto"/>
        </w:rPr>
        <w:t>Our reserves are driven by a number of important assumptions,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also assume that we will not experience significant losses from mass torts and that we will not incur losses from future mass torts not known to us today. While it is not possible to predict the impact of changes in the litigation environment, if new mass torts or expanded legal theories of liability emerge, our cost of claims may differ substantially from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reserves.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79"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IBNR reserve estimates are inherently less precise than case reserve estimates. A 5% change in net IBNR reserves at December 31, 2022 would equate to a $41.6 million change in the reserve for losses and loss adjustment expenses at such date, a $34.0 million change in after-tax net income, a 6.1% change in shareholders’ equity and a 6.8% change in tangible equity, in each case at or for the year ended December 31, 2022.</w:t>
      </w:r>
    </w:p>
    <w:p>
      <w:pPr>
        <w:spacing w:after="0" w:line="57" w:lineRule="exact"/>
        <w:rPr>
          <w:sz w:val="20"/>
          <w:szCs w:val="20"/>
          <w:color w:val="auto"/>
        </w:rPr>
      </w:pPr>
    </w:p>
    <w:p>
      <w:pPr>
        <w:ind w:right="20" w:firstLine="364"/>
        <w:spacing w:after="0" w:line="296" w:lineRule="auto"/>
        <w:rPr>
          <w:sz w:val="20"/>
          <w:szCs w:val="20"/>
          <w:color w:val="auto"/>
        </w:rPr>
      </w:pPr>
      <w:r>
        <w:rPr>
          <w:rFonts w:ascii="Arial" w:cs="Arial" w:eastAsia="Arial" w:hAnsi="Arial"/>
          <w:sz w:val="16"/>
          <w:szCs w:val="16"/>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current operations.</w:t>
      </w:r>
    </w:p>
    <w:p>
      <w:pPr>
        <w:spacing w:after="0" w:line="53" w:lineRule="exact"/>
        <w:rPr>
          <w:sz w:val="20"/>
          <w:szCs w:val="20"/>
          <w:color w:val="auto"/>
        </w:rPr>
      </w:pPr>
    </w:p>
    <w:p>
      <w:pPr>
        <w:ind w:right="20" w:firstLine="364"/>
        <w:spacing w:after="0" w:line="301" w:lineRule="auto"/>
        <w:rPr>
          <w:sz w:val="20"/>
          <w:szCs w:val="20"/>
          <w:color w:val="auto"/>
        </w:rPr>
      </w:pPr>
      <w:r>
        <w:rPr>
          <w:rFonts w:ascii="Arial" w:cs="Arial" w:eastAsia="Arial" w:hAnsi="Arial"/>
          <w:sz w:val="16"/>
          <w:szCs w:val="16"/>
          <w:color w:val="auto"/>
        </w:rPr>
        <w:t xml:space="preserve">We experienced $9.1 million of adverse development in 2022 on the reserve for losses and loss adjustment expenses held at December 31, 2021 (excluding adverse prior year development subject to retroactive reinsurance accounting - see </w:t>
      </w:r>
      <w:r>
        <w:rPr>
          <w:rFonts w:ascii="Arial" w:cs="Arial" w:eastAsia="Arial" w:hAnsi="Arial"/>
          <w:sz w:val="16"/>
          <w:szCs w:val="16"/>
          <w:i w:val="1"/>
          <w:iCs w:val="1"/>
          <w:color w:val="auto"/>
        </w:rPr>
        <w:t>Loss Portfolio Transfers in Strategic Actions</w:t>
      </w:r>
      <w:r>
        <w:rPr>
          <w:rFonts w:ascii="Arial" w:cs="Arial" w:eastAsia="Arial" w:hAnsi="Arial"/>
          <w:sz w:val="16"/>
          <w:szCs w:val="16"/>
          <w:color w:val="auto"/>
        </w:rPr>
        <w:t xml:space="preserve"> below). This adverse reserve development included $210,000 of favorable development in the Excess and Surplus Lines segment, $4.2 million of favorable development in the Specialty Admitted Insurance segment, and $13.4 million of adverse development in the Casualty Reinsurance segment.</w:t>
      </w:r>
    </w:p>
    <w:p>
      <w:pPr>
        <w:spacing w:after="0" w:line="49" w:lineRule="exact"/>
        <w:rPr>
          <w:sz w:val="20"/>
          <w:szCs w:val="20"/>
          <w:color w:val="auto"/>
        </w:rPr>
      </w:pPr>
    </w:p>
    <w:p>
      <w:pPr>
        <w:ind w:right="100" w:firstLine="364"/>
        <w:spacing w:after="0" w:line="287" w:lineRule="auto"/>
        <w:rPr>
          <w:sz w:val="20"/>
          <w:szCs w:val="20"/>
          <w:color w:val="auto"/>
        </w:rPr>
      </w:pPr>
      <w:r>
        <w:rPr>
          <w:rFonts w:ascii="Arial" w:cs="Arial" w:eastAsia="Arial" w:hAnsi="Arial"/>
          <w:sz w:val="16"/>
          <w:szCs w:val="16"/>
          <w:color w:val="auto"/>
        </w:rPr>
        <w:t xml:space="preserve">We experienced $325.8 million of adverse development in 2021 on the reserve for losses and loss adjustment expenses held at December 31, 2020. This adverse reserve development included $190.7 million of adverse development in the Excess and Surplus Lines segment including $200.1 million of adverse development in the commercial auto line of business that was primarily related to the 2019 and prior accident years with Rasier LLC and its affiliates </w:t>
      </w:r>
      <w:r>
        <w:rPr>
          <w:rFonts w:ascii="Arial" w:cs="Arial" w:eastAsia="Arial" w:hAnsi="Arial"/>
          <w:sz w:val="16"/>
          <w:szCs w:val="16"/>
          <w:color w:val="212529"/>
        </w:rPr>
        <w:t>(collectively, “Rasier”)</w:t>
      </w:r>
      <w:r>
        <w:rPr>
          <w:rFonts w:ascii="Arial" w:cs="Arial" w:eastAsia="Arial" w:hAnsi="Arial"/>
          <w:sz w:val="16"/>
          <w:szCs w:val="16"/>
          <w:color w:val="auto"/>
        </w:rPr>
        <w:t>. The adverse development for commercial auto was partially offset by $9.4 million of favorable development in other Excess and Surplus Lines underwriting divisions. Favorable reserve development in the Specialty Admitted Insurance segment was $2.5 million as losses on our workers’ compensation business written prior to 2020 continued to develop more favorably than we had anticipated. The Casualty Reinsurance segment experienced $137.6 million of adverse development on prior accident years. Actual reported and paid losses in the Casualty Reinsurance segment significantly exceeded expectations in 2021, particularly in the fourth quarter of 2021, causing us to refine some of the assumptions used to determine our best estimate of ultimate losses for this segment. Specifically, we responded to this highly elevated loss emergence by making significant adjustments to our assumed tail factors, other development factors, initial expected loss ratios, and weights given to various actuarial methods. In particular, we gave significantly more weight to incurred loss development methods and Bornhuetter – Ferguson incurred loss development methods than had been done previously. These actuarial refinements resulted in material deterioration in ultimate loss selections for underwriting years 2014 through 2018.</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and Impairment</w:t>
      </w:r>
    </w:p>
    <w:p>
      <w:pPr>
        <w:spacing w:after="0" w:line="117" w:lineRule="exact"/>
        <w:rPr>
          <w:sz w:val="20"/>
          <w:szCs w:val="20"/>
          <w:color w:val="auto"/>
        </w:rPr>
      </w:pPr>
    </w:p>
    <w:p>
      <w:pPr>
        <w:ind w:right="20" w:firstLine="364"/>
        <w:spacing w:after="0" w:line="275" w:lineRule="auto"/>
        <w:rPr>
          <w:sz w:val="20"/>
          <w:szCs w:val="20"/>
          <w:color w:val="auto"/>
        </w:rPr>
      </w:pPr>
      <w:r>
        <w:rPr>
          <w:rFonts w:ascii="Arial" w:cs="Arial" w:eastAsia="Arial" w:hAnsi="Arial"/>
          <w:sz w:val="17"/>
          <w:szCs w:val="17"/>
          <w:color w:val="auto"/>
        </w:rPr>
        <w:t>We carry fixed maturity securities classified as “available-for-sale” at fair value, and unrealized gains and losses on such securities, net of any deferred taxes, are reported as a separate component of accumulated other comprehensive income (loss). Equity securities (except those accounted for under the equity method of accounting or those that result in consolidation of the investee) are measured at fair value with changes in fair value recognized in net income. Certain restricted cash equivalents invested in funds with floating net asset values are measured at fair value with changes in fair value recognized in net income. At December 31, 2022, we do not have any securities classified as “held-to-maturity” or “trading.”</w:t>
      </w:r>
    </w:p>
    <w:p>
      <w:pPr>
        <w:spacing w:after="0" w:line="68" w:lineRule="exact"/>
        <w:rPr>
          <w:sz w:val="20"/>
          <w:szCs w:val="20"/>
          <w:color w:val="auto"/>
        </w:rPr>
      </w:pPr>
    </w:p>
    <w:p>
      <w:pPr>
        <w:ind w:right="120" w:firstLine="364"/>
        <w:spacing w:after="0" w:line="255" w:lineRule="auto"/>
        <w:rPr>
          <w:sz w:val="20"/>
          <w:szCs w:val="20"/>
          <w:color w:val="auto"/>
        </w:rPr>
      </w:pPr>
      <w:r>
        <w:rPr>
          <w:rFonts w:ascii="Arial" w:cs="Arial" w:eastAsia="Arial" w:hAnsi="Arial"/>
          <w:sz w:val="18"/>
          <w:szCs w:val="18"/>
          <w:color w:val="231F20"/>
        </w:rPr>
        <w:t xml:space="preserve">The Company adopted ASU 2016-13, </w:t>
      </w:r>
      <w:r>
        <w:rPr>
          <w:rFonts w:ascii="Arial" w:cs="Arial" w:eastAsia="Arial" w:hAnsi="Arial"/>
          <w:sz w:val="18"/>
          <w:szCs w:val="18"/>
          <w:i w:val="1"/>
          <w:iCs w:val="1"/>
          <w:color w:val="231F20"/>
        </w:rPr>
        <w:t>Financial Instruments - Credit Losses (Topic 326): Measurement of Credit Losses on Financial Instruments</w:t>
      </w:r>
      <w:r>
        <w:rPr>
          <w:rFonts w:ascii="Arial" w:cs="Arial" w:eastAsia="Arial" w:hAnsi="Arial"/>
          <w:sz w:val="18"/>
          <w:szCs w:val="18"/>
          <w:color w:val="231F20"/>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continue to be recognized in other comprehensive income (loss).</w:t>
      </w:r>
    </w:p>
    <w:p>
      <w:pPr>
        <w:spacing w:after="0" w:line="84" w:lineRule="exact"/>
        <w:rPr>
          <w:sz w:val="20"/>
          <w:szCs w:val="20"/>
          <w:color w:val="auto"/>
        </w:rPr>
      </w:pPr>
    </w:p>
    <w:p>
      <w:pPr>
        <w:ind w:right="120" w:firstLine="364"/>
        <w:spacing w:after="0" w:line="257" w:lineRule="auto"/>
        <w:rPr>
          <w:sz w:val="20"/>
          <w:szCs w:val="20"/>
          <w:color w:val="auto"/>
        </w:rPr>
      </w:pPr>
      <w:r>
        <w:rPr>
          <w:rFonts w:ascii="Arial" w:cs="Arial" w:eastAsia="Arial" w:hAnsi="Arial"/>
          <w:sz w:val="18"/>
          <w:szCs w:val="18"/>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its conclusion that the present value of the expected cash flows equals or exceeds a security’s amortized cost. As a result of this review, management concluded that there were no credit-related impairments of fixed maturity securities at December 31, 2022, 2021, or 2020. </w:t>
      </w:r>
      <w:r>
        <w:rPr>
          <w:rFonts w:ascii="Arial" w:cs="Arial" w:eastAsia="Arial" w:hAnsi="Arial"/>
          <w:sz w:val="18"/>
          <w:szCs w:val="18"/>
          <w:color w:val="231F20"/>
        </w:rPr>
        <w:t>Management does not intend to</w:t>
      </w:r>
      <w:r>
        <w:rPr>
          <w:rFonts w:ascii="Arial" w:cs="Arial" w:eastAsia="Arial" w:hAnsi="Arial"/>
          <w:sz w:val="18"/>
          <w:szCs w:val="18"/>
          <w:color w:val="auto"/>
        </w:rPr>
        <w:t xml:space="preserve"> </w:t>
      </w:r>
      <w:r>
        <w:rPr>
          <w:rFonts w:ascii="Arial" w:cs="Arial" w:eastAsia="Arial" w:hAnsi="Arial"/>
          <w:sz w:val="18"/>
          <w:szCs w:val="18"/>
          <w:color w:val="231F20"/>
        </w:rPr>
        <w:t>sell the securities in an unrealized loss position, and it is not “more likely than not” that the Company will be required to sell these securities before a recovery in their value to their amortized cost basis occurs.</w:t>
      </w:r>
    </w:p>
    <w:p>
      <w:pPr>
        <w:spacing w:after="0" w:line="79" w:lineRule="exact"/>
        <w:rPr>
          <w:sz w:val="20"/>
          <w:szCs w:val="20"/>
          <w:color w:val="auto"/>
        </w:rPr>
      </w:pPr>
    </w:p>
    <w:p>
      <w:pPr>
        <w:ind w:right="60" w:firstLine="364"/>
        <w:spacing w:after="0" w:line="272" w:lineRule="auto"/>
        <w:rPr>
          <w:sz w:val="20"/>
          <w:szCs w:val="20"/>
          <w:color w:val="auto"/>
        </w:rPr>
      </w:pPr>
      <w:r>
        <w:rPr>
          <w:rFonts w:ascii="Arial" w:cs="Arial" w:eastAsia="Arial" w:hAnsi="Arial"/>
          <w:sz w:val="17"/>
          <w:szCs w:val="17"/>
          <w:color w:val="231F20"/>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231F20"/>
        </w:rPr>
        <w:t>Financial Instruments - Credit Losses (Topic 326): Targeted Transition Relief</w:t>
      </w:r>
      <w:r>
        <w:rPr>
          <w:rFonts w:ascii="Arial" w:cs="Arial" w:eastAsia="Arial" w:hAnsi="Arial"/>
          <w:sz w:val="17"/>
          <w:szCs w:val="17"/>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69" w:lineRule="exact"/>
        <w:rPr>
          <w:sz w:val="20"/>
          <w:szCs w:val="20"/>
          <w:color w:val="auto"/>
        </w:rPr>
      </w:pPr>
    </w:p>
    <w:p>
      <w:pPr>
        <w:ind w:firstLine="364"/>
        <w:spacing w:after="0" w:line="255" w:lineRule="auto"/>
        <w:rPr>
          <w:sz w:val="20"/>
          <w:szCs w:val="20"/>
          <w:color w:val="auto"/>
        </w:rPr>
      </w:pPr>
      <w:r>
        <w:rPr>
          <w:rFonts w:ascii="Arial" w:cs="Arial" w:eastAsia="Arial" w:hAnsi="Arial"/>
          <w:sz w:val="18"/>
          <w:szCs w:val="18"/>
          <w:color w:val="231F20"/>
        </w:rPr>
        <w:t xml:space="preserve">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 </w:t>
      </w:r>
      <w:r>
        <w:rPr>
          <w:rFonts w:ascii="Arial" w:cs="Arial" w:eastAsia="Arial" w:hAnsi="Arial"/>
          <w:sz w:val="18"/>
          <w:szCs w:val="18"/>
          <w:color w:val="000000"/>
        </w:rPr>
        <w:t>For the year ended December 31, 2022, management concluded that $1.5 million of the unrealized losses</w:t>
      </w:r>
      <w:r>
        <w:rPr>
          <w:rFonts w:ascii="Arial" w:cs="Arial" w:eastAsia="Arial" w:hAnsi="Arial"/>
          <w:sz w:val="18"/>
          <w:szCs w:val="18"/>
          <w:color w:val="231F20"/>
        </w:rPr>
        <w:t xml:space="preserve"> </w:t>
      </w:r>
      <w:r>
        <w:rPr>
          <w:rFonts w:ascii="Arial" w:cs="Arial" w:eastAsia="Arial" w:hAnsi="Arial"/>
          <w:sz w:val="18"/>
          <w:szCs w:val="18"/>
          <w:color w:val="000000"/>
        </w:rPr>
        <w:t xml:space="preserve">were due to credit-related impairments. Management concluded that none of the unrealized losses were due to credit-related impairments for the year ended December 31, 2021. For the year ended </w:t>
      </w:r>
      <w:r>
        <w:rPr>
          <w:rFonts w:ascii="Arial" w:cs="Arial" w:eastAsia="Arial" w:hAnsi="Arial"/>
          <w:sz w:val="18"/>
          <w:szCs w:val="18"/>
          <w:color w:val="231F20"/>
        </w:rPr>
        <w:t>December 31, 2020, management concluded that</w:t>
      </w:r>
      <w:r>
        <w:rPr>
          <w:rFonts w:ascii="Arial" w:cs="Arial" w:eastAsia="Arial" w:hAnsi="Arial"/>
          <w:sz w:val="18"/>
          <w:szCs w:val="18"/>
          <w:color w:val="000000"/>
        </w:rPr>
        <w:t xml:space="preserve"> $8.3 million of the unrealized losses were due to credit-related impairments.</w:t>
      </w:r>
    </w:p>
    <w:p>
      <w:pPr>
        <w:spacing w:after="0" w:line="84" w:lineRule="exact"/>
        <w:rPr>
          <w:sz w:val="20"/>
          <w:szCs w:val="20"/>
          <w:color w:val="auto"/>
        </w:rPr>
      </w:pPr>
    </w:p>
    <w:p>
      <w:pPr>
        <w:ind w:right="20" w:firstLine="364"/>
        <w:spacing w:after="0" w:line="275" w:lineRule="auto"/>
        <w:rPr>
          <w:sz w:val="20"/>
          <w:szCs w:val="20"/>
          <w:color w:val="auto"/>
        </w:rPr>
      </w:pPr>
      <w:r>
        <w:rPr>
          <w:rFonts w:ascii="Arial" w:cs="Arial" w:eastAsia="Arial" w:hAnsi="Arial"/>
          <w:sz w:val="17"/>
          <w:szCs w:val="17"/>
          <w:color w:val="auto"/>
        </w:rPr>
        <w:t xml:space="preserve">Fair values are measured in accordance with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The guidance establishes a framework for measuring fair value and a three-level hierarchy based upon the quality of inputs used to measure fair value. The three levels of the fair value hierarchy are: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68" w:lineRule="exact"/>
        <w:rPr>
          <w:sz w:val="20"/>
          <w:szCs w:val="20"/>
          <w:color w:val="auto"/>
        </w:rPr>
      </w:pPr>
    </w:p>
    <w:p>
      <w:pPr>
        <w:ind w:right="80" w:firstLine="364"/>
        <w:spacing w:after="0" w:line="293" w:lineRule="auto"/>
        <w:rPr>
          <w:sz w:val="20"/>
          <w:szCs w:val="20"/>
          <w:color w:val="auto"/>
        </w:rPr>
      </w:pPr>
      <w:r>
        <w:rPr>
          <w:rFonts w:ascii="Arial" w:cs="Arial" w:eastAsia="Arial" w:hAnsi="Arial"/>
          <w:sz w:val="16"/>
          <w:szCs w:val="16"/>
          <w:color w:val="auto"/>
        </w:rPr>
        <w:t>The fair values of fixed maturity securities and equity securities have been determined using fair value prices provided by our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6"/>
          <w:szCs w:val="16"/>
          <w:i w:val="1"/>
          <w:iCs w:val="1"/>
          <w:color w:val="auto"/>
        </w:rPr>
        <w:t>e.g.</w:t>
      </w:r>
      <w:r>
        <w:rPr>
          <w:rFonts w:ascii="Arial" w:cs="Arial" w:eastAsia="Arial" w:hAnsi="Arial"/>
          <w:sz w:val="16"/>
          <w:szCs w:val="16"/>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w:t>
      </w:r>
    </w:p>
    <w:p>
      <w:pPr>
        <w:spacing w:after="0" w:line="56"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The fair values of cash and cash equivalents, restricted cash equivalents (excluding those invested in funds with floating net asset values), and short-term investments approximate their carrying values due to their short-term maturity.</w:t>
      </w:r>
    </w:p>
    <w:p>
      <w:pPr>
        <w:spacing w:after="0" w:line="62" w:lineRule="exact"/>
        <w:rPr>
          <w:sz w:val="20"/>
          <w:szCs w:val="20"/>
          <w:color w:val="auto"/>
        </w:rPr>
      </w:pPr>
    </w:p>
    <w:p>
      <w:pPr>
        <w:ind w:right="60" w:firstLine="364"/>
        <w:spacing w:after="0" w:line="255" w:lineRule="auto"/>
        <w:rPr>
          <w:sz w:val="20"/>
          <w:szCs w:val="20"/>
          <w:color w:val="auto"/>
        </w:rPr>
      </w:pPr>
      <w:r>
        <w:rPr>
          <w:rFonts w:ascii="Arial" w:cs="Arial" w:eastAsia="Arial" w:hAnsi="Arial"/>
          <w:sz w:val="18"/>
          <w:szCs w:val="18"/>
          <w:color w:val="auto"/>
        </w:rPr>
        <w:t>In the determination of the fair value for bank loan participations and certain high yield bonds, the Company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Company determines that only one external pricing source is appropriate or if only one external price is available, the investment is generally recorded based on such price.</w:t>
      </w:r>
    </w:p>
    <w:p>
      <w:pPr>
        <w:spacing w:after="0" w:line="84" w:lineRule="exact"/>
        <w:rPr>
          <w:sz w:val="20"/>
          <w:szCs w:val="20"/>
          <w:color w:val="auto"/>
        </w:rPr>
      </w:pPr>
    </w:p>
    <w:p>
      <w:pPr>
        <w:ind w:firstLine="364"/>
        <w:spacing w:after="0" w:line="255" w:lineRule="auto"/>
        <w:rPr>
          <w:sz w:val="20"/>
          <w:szCs w:val="20"/>
          <w:color w:val="auto"/>
        </w:rPr>
      </w:pPr>
      <w:r>
        <w:rPr>
          <w:rFonts w:ascii="Arial" w:cs="Arial" w:eastAsia="Arial" w:hAnsi="Arial"/>
          <w:sz w:val="18"/>
          <w:szCs w:val="18"/>
          <w:color w:val="auto"/>
        </w:rPr>
        <w:t>Investments for which external sources are not available or are determined by an investment manager not to be representative of fair value are recorded at fair value as determined by the investment manager. In determining the fair value of such investments, the investment manager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bank loan participations for which external sources were unavailable to determine fair value at December 31, 2022 or 2021.</w:t>
      </w:r>
    </w:p>
    <w:p>
      <w:pPr>
        <w:spacing w:after="0" w:line="84" w:lineRule="exact"/>
        <w:rPr>
          <w:sz w:val="20"/>
          <w:szCs w:val="20"/>
          <w:color w:val="auto"/>
        </w:rPr>
      </w:pPr>
    </w:p>
    <w:p>
      <w:pPr>
        <w:ind w:right="20" w:firstLine="364"/>
        <w:spacing w:after="0" w:line="257" w:lineRule="auto"/>
        <w:rPr>
          <w:sz w:val="20"/>
          <w:szCs w:val="20"/>
          <w:color w:val="auto"/>
        </w:rPr>
      </w:pPr>
      <w:r>
        <w:rPr>
          <w:rFonts w:ascii="Arial" w:cs="Arial" w:eastAsia="Arial" w:hAnsi="Arial"/>
          <w:sz w:val="18"/>
          <w:szCs w:val="18"/>
          <w:color w:val="auto"/>
        </w:rPr>
        <w:t>We review fair value prices provided by our outside investment accounting service provider or our investment managers for reasonableness by comparing the fair values provided to those provided by our investment custodian. We conduct corroborative price testing comparing prices utilized for each security to those from an alternate reputable pricing service. We also review and monitor changes in fair values and unrealized gains and losses. We obtain an understanding of the methods, models, and inputs used by our investment managers and independent pricing services, and controls are in place to validate that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6" w:name="page77"/>
    <w:bookmarkEnd w:id="7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prices provided represent fair values. Our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accounting services provider and investment managers that obtain fair values from independent pricing services.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 xml:space="preserve">In August 2020, the FASB issued </w:t>
      </w:r>
      <w:r>
        <w:rPr>
          <w:rFonts w:ascii="Arial" w:cs="Arial" w:eastAsia="Arial" w:hAnsi="Arial"/>
          <w:sz w:val="17"/>
          <w:szCs w:val="17"/>
          <w:i w:val="1"/>
          <w:iCs w:val="1"/>
          <w:color w:val="auto"/>
        </w:rPr>
        <w:t>ASU 2020-06, 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the accounting for convertible debt instruments and convertible preferred stock and became effective for interim and annual periods beginning after December 15, 2021. The Company adopted the new standard concurrent with the issuance of our 7% Series A Perpetual Cumulative Convertible Preferred Shares on March 1, 2022. Under ASU 2020-06,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The new guidance also requires entities to use the if-converted method for all convertible instruments in the diluted earnings per share calculation and generally requires them to include the effect of potential share settlement for instruments that may be settled in cash or shares. Adoption of the new standard did not materially impact our financial position, results of operations, or earnings per share for the year ended December 31,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Company’s financial condition and results of operations were not materially impacted by the coronavirus (COVID-19) pandemic during 2022. However, we are continuing to monitor a number of risks that COVID-19 poses to the Company. For a description of these risks, see “Part I-Item 1A. Risk Factors” 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Events Including Higher Levels of Inflation and Rising Interest Rates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Current macroeconomic events including the war in Ukraine and sustained supply chain constraints stemming from the COVID-19 pandemic led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higher levels of inflation in 2022. The Federal Reserve, attempting to gain control of inflation, implemented a series of federal funds rate increases in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early 2023. Interest rates, in response, rose significantly in 2022 and fears of an impending economic slowdown have increased the likelihood of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economic recession, all of which negatively impacted financial markets. The immediate impacts to the Company were on our investment portfolio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investing results. Our investment portfolio is primarily comprised of fixed maturity investments (81.3% of total invested assets at December 31, 2022).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fixed maturities generally move inversely with interest rates, and unrealized losses associated with the declines in fair values are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 component of other comprehensive income (loss), contributing to declines in shareholders' equity and tangible equity.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other comprehensive loss, representing the after-tax impact of the unrealized losses on fixed maturity investments, was $193.0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are monitoring our portfolio for signs of credit-related impairments, and to date, we have concluded that the declines are primarily interest rate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market-driven with no allowance for credit losses considered necessary. As turnover has occurred in our portfolio and we invest cash generated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operations, we are benefiting from the higher yields now available on fixed maturities which is reflected in our investment income. Our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portfolio also contains investments in equity securities and bank loan participations (comprising 5.4% and 7.1% of total invested assets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2022, respectively) that are carried on our Balance Sheets at fair value. The fair values of these investments, the changes in which are recognized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unrealized gains and losses in our Statements of Income (Loss) and Comprehensive (Loss) Income, have been negatively impacted by the ongoing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macroeconomic events and associated declines in financial markets. Net realized and unrealized (losses) gains on investments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include unrealized losses of $11.2 million and $15.9 million, respectively, for the changes in fair values of equity securities and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participations. The rising interest rates have also increased interest expense on our outstanding variable rate senior and trust preferred debt.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 rates on our debt reset quarterly or semi-annually and are structured as LIBOR plus a margin or spread.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A Preferred Shares</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closed on the issuance and sale of 150,000 7% Series A Perpetual Cumulative Convertible Preferred Shares, par value $0.00125 per share (the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$1,000 liquidation preference per share (the “Liquidation Preference”) per annum, which may be paid in cash, in-kind in common shares or in Series A Preferred Shares, at the Company’s election. During 2022, cash dividends of $8.8 million were declared, of which $2.6 million was payable at December 31, 2022. Please see “Note 11. Series A Preferred Shares” in the Notes to our Consolidated Financial Statements in this Form 10-K.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Transfers</w:t>
      </w:r>
    </w:p>
    <w:p>
      <w:pPr>
        <w:spacing w:after="0" w:line="117"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Loss portfolio transfers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when they no longer meet the Company's appetite or are no longer aligned with our risk management guidelines.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Auto Loss Portfolio Transfer</w:t>
      </w:r>
    </w:p>
    <w:p>
      <w:pPr>
        <w:spacing w:after="0" w:line="11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6"/>
          <w:szCs w:val="16"/>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w:t>
      </w:r>
    </w:p>
    <w:p>
      <w:pPr>
        <w:ind w:right="160"/>
        <w:spacing w:after="0" w:line="273" w:lineRule="auto"/>
        <w:rPr>
          <w:sz w:val="20"/>
          <w:szCs w:val="20"/>
          <w:color w:val="auto"/>
        </w:rPr>
      </w:pPr>
      <w:r>
        <w:rPr>
          <w:rFonts w:ascii="Arial" w:cs="Arial" w:eastAsia="Arial" w:hAnsi="Arial"/>
          <w:sz w:val="17"/>
          <w:szCs w:val="17"/>
          <w:color w:val="auto"/>
        </w:rPr>
        <w:t>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structured to be fully collateralized, is not subject to an aggregate limit, and is subject to certain exclusions. A pre-tax loss of $29.6 million was recognized as adverse loss and loss adjustment reserve development in the Excess and Surplus Lines segment for the third quarter of 2021 associated with the loss portfolio transfer.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 Loss Portfolio Transfer</w:t>
      </w:r>
    </w:p>
    <w:p>
      <w:pPr>
        <w:spacing w:after="0" w:line="117" w:lineRule="exact"/>
        <w:rPr>
          <w:sz w:val="20"/>
          <w:szCs w:val="20"/>
          <w:color w:val="auto"/>
        </w:rPr>
      </w:pPr>
    </w:p>
    <w:p>
      <w:pPr>
        <w:ind w:right="60" w:firstLine="364"/>
        <w:spacing w:after="0" w:line="283" w:lineRule="auto"/>
        <w:rPr>
          <w:sz w:val="20"/>
          <w:szCs w:val="20"/>
          <w:color w:val="auto"/>
        </w:rPr>
      </w:pPr>
      <w:r>
        <w:rPr>
          <w:rFonts w:ascii="Arial" w:cs="Arial" w:eastAsia="Arial" w:hAnsi="Arial"/>
          <w:sz w:val="16"/>
          <w:szCs w:val="16"/>
          <w:color w:val="auto"/>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was adjusted for claims paid from October 1, 2021 to the Retrocession Closing Date. The Casualty Reinsurance segment incurred</w:t>
      </w:r>
    </w:p>
    <w:p>
      <w:pPr>
        <w:spacing w:after="0" w:line="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$6.8 million of net adverse reserve development in the three months ended March 31, 2022 associated with the Casualty Re LPT. The Funds Withheld Account balance was $213.6 million at December 31, 2022 and Funds Withheld Account crediting fees of $3.7 million are included in interest expense in our Statements of Income (Loss) and Comprehensive (Loss) Income for the year ended December 31,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Retroactive Reinsurance Accounting</w:t>
      </w:r>
    </w:p>
    <w:p>
      <w:pPr>
        <w:spacing w:after="0" w:line="117" w:lineRule="exact"/>
        <w:rPr>
          <w:sz w:val="20"/>
          <w:szCs w:val="20"/>
          <w:color w:val="auto"/>
        </w:rPr>
      </w:pPr>
    </w:p>
    <w:p>
      <w:pPr>
        <w:ind w:firstLine="364"/>
        <w:spacing w:after="0" w:line="271" w:lineRule="auto"/>
        <w:rPr>
          <w:sz w:val="20"/>
          <w:szCs w:val="20"/>
          <w:color w:val="auto"/>
        </w:rPr>
      </w:pPr>
      <w:r>
        <w:rPr>
          <w:rFonts w:ascii="Arial" w:cs="Arial" w:eastAsia="Arial" w:hAnsi="Arial"/>
          <w:sz w:val="17"/>
          <w:szCs w:val="17"/>
          <w:color w:val="auto"/>
        </w:rPr>
        <w:t>The Company periodically reevaluates the remaining reserves subject to the Commercial Auto LPT and the Casualty Re LPT (together, the “Loss Portfolio Transfers”). For the year ended December 31, 2022, due to adverse paid loss trends on the legacy Rasier business, the Company recognized adverse prior year development of $46.7 million on the reserves subject to the Commercial Auto LPT, resulting in a corresponding additional amount ceded under the Commercial Auto LPT. As a result, the cumulative amounts ceded under the Commercial Auto LPT exceed the consideration paid, moving the Commercial Auto LPT into a gain position and requiring retroactive reinsurance accounting. Similarly, due to adverse paid and reported loss trends on the business subject to the Casualty Re LPT, the Company ceded an additional $6.1 million of losses recoverable under the Casualty Re LPT for the year ended December 31, 2022, moving the Casualty Re LPT into a deferred gain position requiring retroactive reinsurance accounting. At December 31, 2022, the Company has $58.9 million of aggregate limit remaining under the Casualty Re LPT.</w:t>
      </w:r>
    </w:p>
    <w:p>
      <w:pPr>
        <w:spacing w:after="0" w:line="70" w:lineRule="exact"/>
        <w:rPr>
          <w:sz w:val="20"/>
          <w:szCs w:val="20"/>
          <w:color w:val="auto"/>
        </w:rPr>
      </w:pPr>
    </w:p>
    <w:p>
      <w:pPr>
        <w:ind w:right="160" w:firstLine="364"/>
        <w:spacing w:after="0" w:line="291" w:lineRule="auto"/>
        <w:rPr>
          <w:sz w:val="20"/>
          <w:szCs w:val="20"/>
          <w:color w:val="auto"/>
        </w:rPr>
      </w:pPr>
      <w:r>
        <w:rPr>
          <w:rFonts w:ascii="Arial" w:cs="Arial" w:eastAsia="Arial" w:hAnsi="Arial"/>
          <w:sz w:val="16"/>
          <w:szCs w:val="16"/>
          <w:color w:val="auto"/>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 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Consolidated Statements of Income (Loss) and Comprehensive (Loss) Income.</w:t>
      </w:r>
    </w:p>
    <w:p>
      <w:pPr>
        <w:spacing w:after="0" w:line="58"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Retroactive reinsurance benefits totaling $32.7 million ($31.0 million for the Commercial Auto LPT and $1.7 million for the Casualty Re LPT) were recorded in losses and loss adjustment expenses for the year ended December 31, 2022 using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recovery method. As of December 31, 2022, the cumulative amounts ceded under the Loss Portfolio Transfers was $732.9 million ($391.8 million under the Commercial Auto LPT and $341.1 million under the Casualty Re LPT). At December 31, 2021, $345.1 million was ceded under the Commercial Auto LPT. The total unrecognized deferred retroactive reinsurance gain of $20.1 million at December 31, 2022 under the Loss Portfolio Transfers ($15.7 million related to the Commercial Auto LPT and $4.4 million related to the Casualty Re LPT) is separately presented on the Company's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Suspension of Underwriting Activities in Casualty Reinsurance Segment</w:t>
      </w:r>
    </w:p>
    <w:p>
      <w:pPr>
        <w:spacing w:after="0" w:line="158" w:lineRule="exact"/>
        <w:rPr>
          <w:sz w:val="20"/>
          <w:szCs w:val="20"/>
          <w:color w:val="auto"/>
        </w:rPr>
      </w:pPr>
    </w:p>
    <w:p>
      <w:pPr>
        <w:ind w:right="280" w:firstLine="364"/>
        <w:spacing w:after="0" w:line="308" w:lineRule="auto"/>
        <w:rPr>
          <w:sz w:val="20"/>
          <w:szCs w:val="20"/>
          <w:color w:val="auto"/>
        </w:rPr>
      </w:pPr>
      <w:r>
        <w:rPr>
          <w:rFonts w:ascii="Arial" w:cs="Arial" w:eastAsia="Arial" w:hAnsi="Arial"/>
          <w:sz w:val="16"/>
          <w:szCs w:val="16"/>
          <w:color w:val="auto"/>
        </w:rPr>
        <w:t>In keeping with our previously announced plans to significantly shrink top-line writings of the Casualty Reinsurance segment, we have decided to suspend writing business in the Casualty Reinsurance segment, as we continue our focus on growing our higher returning U.S. insurance and fronting</w:t>
      </w:r>
    </w:p>
    <w:p>
      <w:pPr>
        <w:ind w:right="280"/>
        <w:spacing w:after="0" w:line="280" w:lineRule="auto"/>
        <w:rPr>
          <w:sz w:val="20"/>
          <w:szCs w:val="20"/>
          <w:color w:val="auto"/>
        </w:rPr>
      </w:pPr>
      <w:r>
        <w:rPr>
          <w:rFonts w:ascii="Arial" w:cs="Arial" w:eastAsia="Arial" w:hAnsi="Arial"/>
          <w:sz w:val="18"/>
          <w:szCs w:val="18"/>
          <w:color w:val="auto"/>
        </w:rPr>
        <w:t>businesses. We expect the Casualty Reinsurance segment to continue earning premium due to the nature of the earnings patterns in the reinsurance business, which can extend over multiple years. Aside from the suspension of underwriting activities, we plan for the Casualty Reinsurance segment to maintain its normal day-to-day operations, with a staff to continue servicing the business on its books and to facilitate compliance with its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9" w:name="page80"/>
    <w:bookmarkEnd w:id="7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for the years ended December 31,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1,496,580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1,507,299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Net retention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50.0 %</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49.4 %</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748,479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744,380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0.6 %</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i w:val="1"/>
                <w:iCs w:val="1"/>
                <w:color w:val="auto"/>
              </w:rPr>
              <w:t>10.1 %</w:t>
            </w: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766,161</w:t>
            </w:r>
          </w:p>
        </w:tc>
        <w:tc>
          <w:tcPr>
            <w:tcW w:w="100" w:type="dxa"/>
            <w:vAlign w:val="bottom"/>
          </w:tcPr>
          <w:p>
            <w:pPr>
              <w:spacing w:after="0"/>
              <w:rPr>
                <w:sz w:val="17"/>
                <w:szCs w:val="17"/>
                <w:color w:val="auto"/>
              </w:rPr>
            </w:pPr>
          </w:p>
        </w:tc>
        <w:tc>
          <w:tcPr>
            <w:tcW w:w="520" w:type="dxa"/>
            <w:vAlign w:val="bottom"/>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695,594</w:t>
            </w: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 excluding retroactive reinsurance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(524,723)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(792,352)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(33.8)%</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(191,796)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(160,188)</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19.7 %</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color w:val="auto"/>
              </w:rPr>
              <w:t>(1), (2)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49,642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(256,946)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(20,091)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71,111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56,865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25.1 %</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realized and unrealized investment (losses) gains</w:t>
            </w: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(28,318)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(2,232)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124.7 %</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(17,578)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(8,922)</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97.0 %</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49,387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(196,034)</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18,414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(23,235)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30,973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(172,799)</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Series A Preferred Shares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(8,750)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 available to common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22,223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(172,799)</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Adjusted net operating income (loss) </w:t>
            </w:r>
            <w:r>
              <w:rPr>
                <w:rFonts w:ascii="Arial" w:cs="Arial" w:eastAsia="Arial" w:hAnsi="Arial"/>
                <w:sz w:val="14"/>
                <w:szCs w:val="14"/>
                <w:color w:val="auto"/>
              </w:rPr>
              <w:t>(1)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69,542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(184,245)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Ratios: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Expense ratio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Accident year loss ratio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67.3 %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Accident year loss ratio ex-cat </w:t>
            </w:r>
            <w:r>
              <w:rPr>
                <w:rFonts w:ascii="Arial" w:cs="Arial" w:eastAsia="Arial" w:hAnsi="Arial"/>
                <w:sz w:val="14"/>
                <w:szCs w:val="14"/>
                <w:color w:val="auto"/>
              </w:rPr>
              <w:t>(3)</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Underwriting profit (loss) and adjusted net operating income (loss) are non-GAAP measures. See “Reconciliation of Non-GAAP Measures.”</w:t>
      </w:r>
    </w:p>
    <w:p>
      <w:pPr>
        <w:spacing w:after="0" w:line="128" w:lineRule="exact"/>
        <w:rPr>
          <w:rFonts w:ascii="Arial" w:cs="Arial" w:eastAsia="Arial" w:hAnsi="Arial"/>
          <w:sz w:val="17"/>
          <w:szCs w:val="17"/>
          <w:i w:val="1"/>
          <w:iCs w:val="1"/>
          <w:color w:val="auto"/>
        </w:rPr>
      </w:pPr>
    </w:p>
    <w:p>
      <w:pPr>
        <w:ind w:left="400" w:hanging="392"/>
        <w:spacing w:after="0"/>
        <w:tabs>
          <w:tab w:leader="none" w:pos="40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Underwriting results include gross fee income of $23.6 million and $22.7 million for the years ended December 31, 2022 and 2021, respectively.</w:t>
      </w:r>
    </w:p>
    <w:p>
      <w:pPr>
        <w:spacing w:after="0" w:line="128" w:lineRule="exact"/>
        <w:rPr>
          <w:rFonts w:ascii="Arial" w:cs="Arial" w:eastAsia="Arial" w:hAnsi="Arial"/>
          <w:sz w:val="17"/>
          <w:szCs w:val="17"/>
          <w:i w:val="1"/>
          <w:iCs w:val="1"/>
          <w:color w:val="auto"/>
        </w:rPr>
      </w:pPr>
    </w:p>
    <w:p>
      <w:pPr>
        <w:ind w:left="340" w:right="420" w:hanging="332"/>
        <w:spacing w:after="0" w:line="277" w:lineRule="auto"/>
        <w:tabs>
          <w:tab w:leader="none" w:pos="402"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excluding $5.0 million of net catastrophe losses related to Hurricane Ian in the year ended December 31, 2022 and $5.0 million of net catastrophe losses related to Hurricane Ida in the year ended December 31, 2021.</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produced an underwriting profit of $49.6 million and a combined ratio of 93.5% for the year ended December 31, 2022 compared to an underwriting loss of $256.9 million and a combined ratio of 136.9% for the year ended December 31, 2021.</w:t>
      </w:r>
    </w:p>
    <w:p>
      <w:pPr>
        <w:spacing w:after="0" w:line="62"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10.1% growth in consolidated net earned premiums was driven by attractive market conditions, particularly for our Excess and Surplus Lines segment, which reported net earned premium growth of $69.6 million or 14.3% compared to the prior year. The Excess and Surplus Lines segment is our largest segment, comprising 61.5% of consolidated gross written premiums and 72.5% of consolidated net earned premiums in 2022.</w:t>
      </w:r>
    </w:p>
    <w:p>
      <w:pPr>
        <w:spacing w:after="0" w:line="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loss ratio improved from 113.9% in the prior year to 68.5% in the current year. The improvement was primarily driven by net reserve development on prior accident years which was $9.1 million or 1.2 percentage points adverse for the year ended December 31, 2022 compared to $325.8 million or 46.8 percentage points adverse for the year ended December 31, 2021.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$9.1 million of net adverse reserve development for the year ended December 31, 2022 includes $210,000 of net favorable development from the Excess and Surplus Lines segment, $4.2 million of net favorable development from the Specialty Admitted Insurance segment, and $13.4 million of net adverse development from the Casualty Reinsurance segment, of which $6.8 million related to the Company's entrance into the Casualty Re LPT in March of 2022. The $325.8 million of net adverse reserve development for the year ended December 31, 2021 included $190.7 million of net adverse reserve development from the Excess and Surplus Lines segment almost entirely related to a previous commercial auto account, $2.5 million of net favorable development from the Specialty Admitted Insurance segment, and $137.6 million of net adverse reserve development from the Casualty Reinsurance segment. Refer to the discussion of segment underwriting results below for additional details on this adverse reserve development.</w:t>
      </w:r>
    </w:p>
    <w:p>
      <w:pPr>
        <w:spacing w:after="0" w:line="5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Current accident year losses in both years include $5.0 million of net catastrophe losses (Hurricane Ian in 2022 and Hurricane Ida in 2021) in our small Excess Property book within the Excess and Surplus Lines segment.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7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expense ratio increased relative to the prior year driven by higher expense ratios for our Specialty Admitted Insurance and Casualty Reinsurance segments and higher operating expenses for our Corporate and Other segment. The Specialty Admitted Insurance segment benefited from 4.3% growth in fee income, but the segment expense ratio was higher due to slightly lower net earned premiums and the net impact of commission, tax and assessment accrual adjustments in both years. The Casualty Reinsurance segment typically structures its reinsurance treaties with loss mitigation features including profit and sliding scale ceding commissions. Net adverse reserve development on treaties with such features reduced our commissions in 2021 by $11.8 million compared to $249,000 in 2022. Operating expenses for our Corporate and Other segment increased driven by higher compensation expenses due to the hiring of additional employees.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Underwriting results in the prior year were also negatively impacted by $8.1 million of reinstatement premium, including $6.4 million triggered by one claim on a 2019 excess of loss treaty in the Excess and Surplus Lines segment. The reinstatement premium reduced net written and net earned premium and increased the underwriting loss.</w:t>
      </w:r>
    </w:p>
    <w:p>
      <w:pPr>
        <w:spacing w:after="0" w:line="7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Our net income increased over the prior year due to the improved underwriting results and higher net investment income, with partially offsetting items including the $20.1 million of retroactive reinsurance losses and loss adjustment expenses under the loss portfolio transfers, the unfavorable swing in net realized and unrealized gains and losses on investments, and higher interest expense. As discussed above, the Company recognized adverse prior year development of $52.8 million on the reserves subject to the LPT Agreements in the year ended December 31, 2022, resulting in corresponding additional amounts ceded under the LPT Agreements, and requiring retroactive reinsurance accounting. Retroactive reinsurance benefits of $32.7 million were recorded in losses and loss adjustment expenses for the year ended December 31, 2022, resulting in a net impact of $20.1 million within our net losses and loss adjustment expenses. Higher interest rates in the current year boosted yields on fixed income investments and increased investment income, but also resulted in higher interest expense on our variable rate senior and trust preferred debt. Interest expense for the year ended December 31, 2022 also includes $3.7 million of crediting fees on the Funds Withheld Account balance under the Casualty Re LPT. The unfavorable swing in net realized and unrealized gains and losses on investments (see </w:t>
      </w:r>
      <w:r>
        <w:rPr>
          <w:rFonts w:ascii="Arial" w:cs="Arial" w:eastAsia="Arial" w:hAnsi="Arial"/>
          <w:sz w:val="17"/>
          <w:szCs w:val="17"/>
          <w:i w:val="1"/>
          <w:iCs w:val="1"/>
          <w:color w:val="auto"/>
        </w:rPr>
        <w:t>Investing Results</w:t>
      </w:r>
      <w:r>
        <w:rPr>
          <w:rFonts w:ascii="Arial" w:cs="Arial" w:eastAsia="Arial" w:hAnsi="Arial"/>
          <w:sz w:val="17"/>
          <w:szCs w:val="17"/>
          <w:color w:val="auto"/>
        </w:rPr>
        <w:t xml:space="preserve"> below) also had a negative impact on the comparative net results for the two years as market values of equity securities and bank loan participations have declined in the current year due to the effect of macroeconomic events on financial markets. Net income available to common shareholders for the year ended December 31, 2022 reflects the $8.8 million of current year dividends on the Series A Preferred Shares.</w:t>
      </w:r>
    </w:p>
    <w:p>
      <w:pPr>
        <w:spacing w:after="0" w:line="7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Adjusted net operating income (loss) improved from a $184.2 million loss in the year ended December 31, 2021 to income of $69.5 million in the year ended December 31, 2022. Tangible equity decreased by 1.2% in 2022 as net income of $31.0 million and proceeds from the Series A Preferred Share issuance of $144.9 million were offset by $193.0 million of unrealized losses on our fixed maturity investments in other comprehensive loss (see </w:t>
      </w:r>
      <w:r>
        <w:rPr>
          <w:rFonts w:ascii="Arial" w:cs="Arial" w:eastAsia="Arial" w:hAnsi="Arial"/>
          <w:sz w:val="16"/>
          <w:szCs w:val="16"/>
          <w:i w:val="1"/>
          <w:iCs w:val="1"/>
          <w:color w:val="auto"/>
        </w:rPr>
        <w:t>Investing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w:t>
      </w:r>
      <w:r>
        <w:rPr>
          <w:rFonts w:ascii="Arial" w:cs="Arial" w:eastAsia="Arial" w:hAnsi="Arial"/>
          <w:sz w:val="16"/>
          <w:szCs w:val="16"/>
          <w:color w:val="auto"/>
        </w:rPr>
        <w:t>below). Tangible equity per share decreased by 14.4% for the year reflecting the small decrease in tangible equity over a larger share count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 assumed conversion of the Series A Preferred Shares. Our adjusted net operating return on tangible equity of 13.5% for the year ended December 31, 2022 compares favorably to the prior year loss and reflects the turnaround in underwriting results and higher investment income.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w:t>
      </w:r>
    </w:p>
    <w:p>
      <w:pPr>
        <w:spacing w:after="0" w:line="117" w:lineRule="exact"/>
        <w:rPr>
          <w:sz w:val="20"/>
          <w:szCs w:val="20"/>
          <w:color w:val="auto"/>
        </w:rPr>
      </w:pPr>
    </w:p>
    <w:p>
      <w:pPr>
        <w:ind w:right="100" w:firstLine="364"/>
        <w:spacing w:after="0" w:line="257"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Contracts and policies written on a “losses occurring” basis cover claims that may occur during the term of the contract or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original term of the reinsurance contract, typically resulting in recognition of premiums earned over a 24-month period in proportion to the level of underlying exposure.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921,164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833,657</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10.5 %</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491,561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182,081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(53.2)%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1,496,580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1,507,299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17.5 %</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76,390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83,935</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159,195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(47.8)%</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748,479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744,380</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0.6 %</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earned premiums: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555,597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486,000</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14.3 %</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1.6 %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695,594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10.1 %</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Gross written premiums for the Excess and Surplus Lines segment (which represents 61.5% of our consolidated gross written premiums in 2022) increased 10.5% from the prior year. Total policy submissions for Core E&amp;S lines (excluding commercial auto) declined 4.9% in 2022, but renewal submissions increased 12.2% and our ratio of bound policies to quoted policies improved generating 1.5% more bound policies in the year ended December 31, 2022. Renewal rates for the Excess and Surplus Lines segment were up 9.9% compared to 2021 and the total number of policies in force grew by 4.2% in 2022. The change in gross written premiums was notable in several divisions as shown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Year Ended December 31,</w:t>
            </w: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285,082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173,574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140,608</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23.4 %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&amp; Contractors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Excess Property</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47,241</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10.3 %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Business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Sports &amp; Entertainment</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9,442</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47.6 %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Core E&amp;S divisions</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144,341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Core E&amp;S divisions</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883,190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799,027</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10.5 %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Auto</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Excess and Surplus Lines gross written premium</w:t>
            </w:r>
          </w:p>
        </w:tc>
        <w:tc>
          <w:tcPr>
            <w:tcW w:w="20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921,164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833,657</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10.5 %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60" w:type="dxa"/>
            <w:vAlign w:val="bottom"/>
            <w:vMerge w:val="restart"/>
          </w:tcPr>
          <w:p>
            <w:pPr>
              <w:jc w:val="right"/>
              <w:ind w:right="790"/>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32.8% of our 2022 consolidated gross written premiums)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Fronting and program premium</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434,165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0.7 %</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Individual risk workers’ compensation premium</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gross written premium</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490,208</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491,561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fronting written premium increased slightly from the prior year driven by new fronting relationships in the current year and the continued expansion of existing fronting relationships (together representing an increase of $50.8 million for the year ended December 31, 2022), and partially offset by the loss of one relationship from merger and acquisition activity at a general agent and a decline of $13.2 million or 10.6% in written premium for our largest workers' compensation program due to a very competitive workers' compensation market in California. Our two largest fronting relationships represented $231.8 million or 47.3% of segment gross written premium in 2022 compared to $213.6 million or 43.5% in 2021. Individual risk workers' compensation premium declined in 2022 due to the soft market conditions currently present for workers' compensation.</w:t>
      </w:r>
    </w:p>
    <w:p>
      <w:pPr>
        <w:spacing w:after="0" w:line="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written premiums for the Casualty Reinsurance segment (which represents 5.7% of our consolidated gross written premiums in 2022) decreased 53.2% in 2022 reflecting our current strategic focus on downsizing the Casualty Reinsurance third party book, which resulted in the nonrenewal of several treaties in the current year and lower participations on certain renewing treaties.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Retention</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by segment is as follows:</w:t>
      </w:r>
    </w:p>
    <w:p>
      <w:pPr>
        <w:spacing w:after="0" w:line="94"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60.1 %</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15.6 %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17.1 %</w:t>
            </w: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87.4 %</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50.0 %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49.4 %</w:t>
            </w:r>
          </w:p>
        </w:tc>
      </w:tr>
    </w:tbl>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net premium retention for the Excess and Surplus Lines segment increased in 2022 largely driven by the segment's Excess Casualty division, which comprises approximately one-third of the segment's gross written premiums in the years ended December 31, 2022 and 2021. The Excess Casualty division cedes a high percentage of written premiums under a reinsurance treaty and changes in growth rates for this division can impact comparable premium retention ratios for the segment. In the third quarter of 2022, we increased our retention on the reinsurance treaty applicable to the Excess Casualty division. Net retention for the Excess Casualty division was 20.3% in 2022 compared to 14.1% in 2021. In addition, net retention for the segment in 2021 was impacted by $8.1 million of reinstatement premium in the prior year third quarter which reduced net written premium and the net retention for that year.</w:t>
      </w:r>
    </w:p>
    <w:p>
      <w:pPr>
        <w:spacing w:after="0" w:line="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net premium retention for the Specialty Admitted Insurance segment decreased in 2022 primarily due to a lower retention in the fronting business reflecting the mix of business and changes in reinsurance coverage as treaties renew. The net retention on the segment’s fronting business was 13.9% and 15.7% in the years ended December 31, 2022 and 2021, respectively. The net retention on the workers’ compensation business was 29.8% and 27.3% for the years ended December 31, 2022 and 2021, respectively. The renewal of the workers' compensation quota share treaty on January 1, 2022 resulted in a higher retention for this business.</w:t>
      </w:r>
    </w:p>
    <w:p>
      <w:pPr>
        <w:spacing w:after="0" w:line="8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Casualty Reinsurance segment previously wrote a retrocessional treaty/fronting arrangement under which 100% of the premiums were ceded. The treaty was nonrenewed for 2022 and higher net retention in the current year reflects adjustments to prior year assumed and ceded written premiums on the treaty.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our combined ratios by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5"/>
          </w:tcPr>
          <w:p>
            <w:pPr>
              <w:jc w:val="right"/>
              <w:ind w:right="73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87.2 %</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187.6 %</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136.9 %</w:t>
            </w:r>
          </w:p>
        </w:tc>
        <w:tc>
          <w:tcPr>
            <w:tcW w:w="0" w:type="dxa"/>
            <w:vAlign w:val="bottom"/>
          </w:tcPr>
          <w:p>
            <w:pPr>
              <w:spacing w:after="0"/>
              <w:rPr>
                <w:sz w:val="1"/>
                <w:szCs w:val="1"/>
                <w:color w:val="auto"/>
              </w:rPr>
            </w:pPr>
          </w:p>
        </w:tc>
      </w:tr>
      <w:tr>
        <w:trPr>
          <w:trHeight w:val="418"/>
        </w:trPr>
        <w:tc>
          <w:tcPr>
            <w:tcW w:w="6380" w:type="dxa"/>
            <w:vAlign w:val="bottom"/>
          </w:tcPr>
          <w:p>
            <w:pPr>
              <w:spacing w:after="0"/>
              <w:rPr>
                <w:sz w:val="20"/>
                <w:szCs w:val="20"/>
                <w:color w:val="auto"/>
              </w:rPr>
            </w:pPr>
            <w:r>
              <w:rPr>
                <w:rFonts w:ascii="Arial" w:cs="Arial" w:eastAsia="Arial" w:hAnsi="Arial"/>
                <w:sz w:val="18"/>
                <w:szCs w:val="18"/>
                <w:i w:val="1"/>
                <w:iCs w:val="1"/>
                <w:color w:val="auto"/>
              </w:rPr>
              <w:t>Excess and Surplus Lines Segment</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80" w:type="dxa"/>
            <w:vAlign w:val="bottom"/>
          </w:tcPr>
          <w:p>
            <w:pPr>
              <w:ind w:left="380"/>
              <w:spacing w:after="0"/>
              <w:rPr>
                <w:sz w:val="20"/>
                <w:szCs w:val="20"/>
                <w:color w:val="auto"/>
              </w:rPr>
            </w:pPr>
            <w:r>
              <w:rPr>
                <w:rFonts w:ascii="Arial" w:cs="Arial" w:eastAsia="Arial" w:hAnsi="Arial"/>
                <w:sz w:val="18"/>
                <w:szCs w:val="18"/>
                <w:color w:val="auto"/>
              </w:rPr>
              <w:t>Results for the Excess and Surplus Lines segment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7"/>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921,164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833,657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10.5 %</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6"/>
              <w:spacing w:after="0" w:line="203" w:lineRule="exact"/>
              <w:rPr>
                <w:sz w:val="20"/>
                <w:szCs w:val="20"/>
                <w:color w:val="auto"/>
              </w:rPr>
            </w:pPr>
            <w:r>
              <w:rPr>
                <w:rFonts w:ascii="Arial" w:cs="Arial" w:eastAsia="Arial" w:hAnsi="Arial"/>
                <w:sz w:val="18"/>
                <w:szCs w:val="18"/>
                <w:color w:val="auto"/>
              </w:rPr>
              <w:t>589,056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4"/>
              <w:spacing w:after="0" w:line="203" w:lineRule="exact"/>
              <w:rPr>
                <w:sz w:val="20"/>
                <w:szCs w:val="20"/>
                <w:color w:val="auto"/>
              </w:rPr>
            </w:pPr>
            <w:r>
              <w:rPr>
                <w:rFonts w:ascii="Arial" w:cs="Arial" w:eastAsia="Arial" w:hAnsi="Arial"/>
                <w:sz w:val="18"/>
                <w:szCs w:val="18"/>
                <w:color w:val="auto"/>
              </w:rPr>
              <w:t>501,250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i w:val="1"/>
                <w:iCs w:val="1"/>
                <w:color w:val="auto"/>
              </w:rPr>
              <w:t>17.5 %</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555,597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486,000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14.3 %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(366,352)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(516,299)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i w:val="1"/>
                <w:iCs w:val="1"/>
                <w:color w:val="auto"/>
              </w:rPr>
              <w:t>(29.0)%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(106,194)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(91,179)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line="223" w:lineRule="exact"/>
              <w:rPr>
                <w:sz w:val="20"/>
                <w:szCs w:val="20"/>
                <w:color w:val="auto"/>
              </w:rPr>
            </w:pPr>
            <w:r>
              <w:rPr>
                <w:rFonts w:ascii="Arial" w:cs="Arial" w:eastAsia="Arial" w:hAnsi="Arial"/>
                <w:sz w:val="18"/>
                <w:szCs w:val="18"/>
                <w:color w:val="auto"/>
              </w:rPr>
              <w:t>Underwriting profit (loss)</w:t>
            </w:r>
            <w:r>
              <w:rPr>
                <w:rFonts w:ascii="Arial" w:cs="Arial" w:eastAsia="Arial" w:hAnsi="Arial"/>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83,051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(121,478)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ind w:right="13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65.9 %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106.2 %</w:t>
            </w:r>
          </w:p>
        </w:tc>
        <w:tc>
          <w:tcPr>
            <w:tcW w:w="16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640" w:type="dxa"/>
            <w:vAlign w:val="bottom"/>
            <w:shd w:val="clear" w:color="auto" w:fill="CCEEFF"/>
          </w:tcPr>
          <w:p>
            <w:pPr>
              <w:spacing w:after="0"/>
              <w:rPr>
                <w:sz w:val="19"/>
                <w:szCs w:val="19"/>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85.1 %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125.0 %</w:t>
            </w:r>
          </w:p>
        </w:tc>
        <w:tc>
          <w:tcPr>
            <w:tcW w:w="16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67.0 %</w:t>
            </w:r>
          </w:p>
        </w:tc>
        <w:tc>
          <w:tcPr>
            <w:tcW w:w="1640" w:type="dxa"/>
            <w:vAlign w:val="bottom"/>
            <w:shd w:val="clear" w:color="auto" w:fill="CCEEFF"/>
          </w:tcPr>
          <w:p>
            <w:pPr>
              <w:spacing w:after="0"/>
              <w:rPr>
                <w:sz w:val="19"/>
                <w:szCs w:val="19"/>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 xml:space="preserve">Accident year loss ratio ex-cat </w:t>
            </w:r>
            <w:r>
              <w:rPr>
                <w:rFonts w:ascii="Arial" w:cs="Arial" w:eastAsia="Arial" w:hAnsi="Arial"/>
                <w:sz w:val="14"/>
                <w:szCs w:val="14"/>
                <w:i w:val="1"/>
                <w:iCs w:val="1"/>
                <w:color w:val="auto"/>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66.0 %</w:t>
            </w:r>
          </w:p>
        </w:tc>
        <w:tc>
          <w:tcPr>
            <w:tcW w:w="1640" w:type="dxa"/>
            <w:vAlign w:val="bottom"/>
          </w:tcPr>
          <w:p>
            <w:pPr>
              <w:spacing w:after="0"/>
              <w:rPr>
                <w:sz w:val="21"/>
                <w:szCs w:val="21"/>
                <w:color w:val="auto"/>
              </w:rPr>
            </w:pPr>
          </w:p>
        </w:tc>
      </w:tr>
    </w:tbl>
    <w:p>
      <w:pPr>
        <w:spacing w:after="0" w:line="200" w:lineRule="exact"/>
        <w:rPr>
          <w:sz w:val="20"/>
          <w:szCs w:val="20"/>
          <w:color w:val="auto"/>
        </w:rPr>
      </w:pPr>
    </w:p>
    <w:p>
      <w:pPr>
        <w:spacing w:after="0" w:line="326"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(Loss) is a non-GAAP Measure. See “Reconciliation of Non-GAAP Measures.”</w:t>
      </w:r>
    </w:p>
    <w:p>
      <w:pPr>
        <w:spacing w:after="0" w:line="117" w:lineRule="exact"/>
        <w:rPr>
          <w:rFonts w:ascii="Arial" w:cs="Arial" w:eastAsia="Arial" w:hAnsi="Arial"/>
          <w:sz w:val="18"/>
          <w:szCs w:val="18"/>
          <w:i w:val="1"/>
          <w:iCs w:val="1"/>
          <w:color w:val="auto"/>
        </w:rPr>
      </w:pPr>
    </w:p>
    <w:p>
      <w:pPr>
        <w:ind w:left="340" w:right="420" w:hanging="332"/>
        <w:spacing w:after="0" w:line="277" w:lineRule="auto"/>
        <w:tabs>
          <w:tab w:leader="none" w:pos="402"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excluding $5.0 million of net catastrophe losses related to Hurricane Ian in the year ended December 31, 2022 and $5.0 million of net catastrophe losses related to Hurricane Ida in the year ended December 31, 2021.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Excess and Surplus Lines segment produced an underwriting profit of $83.1 million and combined ratio of 85.1%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compared to an underwriting loss of $121.5 million and a combined ratio of 125.0% for the year ended December 31, 2021. The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ratio of 65.9% for the year ended December 31, 2022 includes $210,000 of net favorable reserve development (excluding adverse prior year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the legacy Rasier business and the impact of retroactive reinsurance - see </w:t>
      </w:r>
      <w:r>
        <w:rPr>
          <w:rFonts w:ascii="Arial" w:cs="Arial" w:eastAsia="Arial" w:hAnsi="Arial"/>
          <w:sz w:val="16"/>
          <w:szCs w:val="16"/>
          <w:i w:val="1"/>
          <w:iCs w:val="1"/>
          <w:color w:val="auto"/>
        </w:rPr>
        <w:t>Commercial Auto Loss Portfolio Transfer</w:t>
      </w:r>
      <w:r>
        <w:rPr>
          <w:rFonts w:ascii="Arial" w:cs="Arial" w:eastAsia="Arial" w:hAnsi="Arial"/>
          <w:sz w:val="16"/>
          <w:szCs w:val="16"/>
          <w:color w:val="auto"/>
        </w:rPr>
        <w:t xml:space="preserve"> in </w:t>
      </w:r>
      <w:r>
        <w:rPr>
          <w:rFonts w:ascii="Arial" w:cs="Arial" w:eastAsia="Arial" w:hAnsi="Arial"/>
          <w:sz w:val="16"/>
          <w:szCs w:val="16"/>
          <w:i w:val="1"/>
          <w:iCs w:val="1"/>
          <w:color w:val="auto"/>
        </w:rPr>
        <w:t>Strategic Actions</w:t>
      </w:r>
      <w:r>
        <w:rPr>
          <w:rFonts w:ascii="Arial" w:cs="Arial" w:eastAsia="Arial" w:hAnsi="Arial"/>
          <w:sz w:val="16"/>
          <w:szCs w:val="16"/>
          <w:color w:val="auto"/>
        </w:rPr>
        <w:t>) in our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estimates for prior accident years. The loss ratio of 106.2% for the year ended December 31, 2021 included $190.7 million of net adverse reserve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(39.2 percentage points) in our loss estimates for prior accident years, including $200.1 million of net adverse reserve development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auto business that was almost entirely related to the legacy Rasier business that has been in runoff since 2019. We had expected that reported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losses on this terminated commercial auto account would decline as the account moved further into runoff, but the continued heavy reported loss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emergence in 2021 indicated more inherent severity than anticipated. In response, we meaningfully adjusted our actuarial methodology, resulting in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significant strengthening of reserves for this account.</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accident year losses in both 2022 and 2021 include $5.0 million of net catastrophe losses (Hurricane Ian in 2022 and Hurricane Ida in 2021) in our small Excess Property book within the Excess and Surplus Lines segment.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7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Written and earned premiums for our Excess and Surplus Lines segment grew due to attractive market conditions. Net earned premiums increased $69.6 million or 14.3% over the prior year, including growth in lines that have meaningful ceding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commissions. The segment expense ratio increased slightly over the prior year primarily due to higher compensation related expenses.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Underwriting results in the prior year were also negatively impacted by $8.1 million of reinstatement premium, including $6.4 million triggered by one claim on a 2019 excess of loss treaty in the Excess and Surplus Lines segment. The reinstatement premium reduced net written and net earned premium in the prior year quarter and year to date and increased the underwriting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490,208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491,561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line="203" w:lineRule="exact"/>
              <w:rPr>
                <w:sz w:val="20"/>
                <w:szCs w:val="20"/>
                <w:color w:val="auto"/>
              </w:rPr>
            </w:pPr>
            <w:r>
              <w:rPr>
                <w:rFonts w:ascii="Arial" w:cs="Arial" w:eastAsia="Arial" w:hAnsi="Arial"/>
                <w:sz w:val="18"/>
                <w:szCs w:val="18"/>
                <w:color w:val="auto"/>
              </w:rPr>
              <w:t>76,390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83,935</w:t>
            </w:r>
          </w:p>
        </w:tc>
        <w:tc>
          <w:tcPr>
            <w:tcW w:w="1640" w:type="dxa"/>
            <w:vAlign w:val="bottom"/>
            <w:gridSpan w:val="2"/>
          </w:tcPr>
          <w:p>
            <w:pPr>
              <w:jc w:val="right"/>
              <w:spacing w:after="0" w:line="203" w:lineRule="exact"/>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74,137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75,371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(58,548)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(55,875)</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4.8 %</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(11,355)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(9,829)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15.5 %</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line="223" w:lineRule="exact"/>
              <w:rPr>
                <w:sz w:val="20"/>
                <w:szCs w:val="20"/>
                <w:color w:val="auto"/>
              </w:rPr>
            </w:pPr>
            <w:r>
              <w:rPr>
                <w:rFonts w:ascii="Arial" w:cs="Arial" w:eastAsia="Arial" w:hAnsi="Arial"/>
                <w:sz w:val="18"/>
                <w:szCs w:val="18"/>
                <w:color w:val="auto"/>
              </w:rPr>
              <w:t>Underwriting profit</w:t>
            </w:r>
            <w:r>
              <w:rPr>
                <w:rFonts w:ascii="Arial" w:cs="Arial" w:eastAsia="Arial" w:hAnsi="Arial"/>
                <w:sz w:val="23"/>
                <w:szCs w:val="23"/>
                <w:color w:val="auto"/>
                <w:vertAlign w:val="superscript"/>
              </w:rPr>
              <w:t>(1), (2)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9,667</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(56.2)%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79.0 %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74.1 %</w:t>
            </w:r>
          </w:p>
        </w:tc>
        <w:tc>
          <w:tcPr>
            <w:tcW w:w="164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64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94.3 %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87.2 %</w:t>
            </w:r>
          </w:p>
        </w:tc>
        <w:tc>
          <w:tcPr>
            <w:tcW w:w="164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77.5 %</w:t>
            </w:r>
          </w:p>
        </w:tc>
        <w:tc>
          <w:tcPr>
            <w:tcW w:w="16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39"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w:t>
      </w:r>
    </w:p>
    <w:p>
      <w:pPr>
        <w:spacing w:after="0" w:line="117" w:lineRule="exact"/>
        <w:rPr>
          <w:rFonts w:ascii="Arial" w:cs="Arial" w:eastAsia="Arial" w:hAnsi="Arial"/>
          <w:sz w:val="18"/>
          <w:szCs w:val="18"/>
          <w:i w:val="1"/>
          <w:iCs w:val="1"/>
          <w:color w:val="auto"/>
        </w:rPr>
      </w:pPr>
    </w:p>
    <w:p>
      <w:pPr>
        <w:ind w:left="400" w:hanging="392"/>
        <w:spacing w:after="0"/>
        <w:tabs>
          <w:tab w:leader="none" w:pos="40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Underwriting profit includes fee income of $23.6 million and $22.7 million for the years ended December 31, 2022 and 2021, respectively.</w:t>
      </w:r>
    </w:p>
    <w:p>
      <w:pPr>
        <w:spacing w:after="0" w:line="1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Specialty Admitted Insurance segment generated underwriting profits of $4.2 million and $9.7 million (combined ratios of 94.3% and 87.2%) for the years ended December 31, 2022 and 2021, respectively. The loss ratios of 79.0% and 74.1% for the years ended December 31, 2022 and 2021 include $4.2 million and $2.5 million (5.6 and 3.3 percentage points, respectively) of net favorable development on prior accident years. The favorable development in both 2022 and 2021 reflects the fact that actual loss emergence of the workers’ compensation book for prior accident years has been better than expected. The higher current accident year loss ratio in 2022 (84.6% compared to 77.5% in the prior year) reflects current actuarial indications and higher loss trends in the business.</w:t>
      </w:r>
    </w:p>
    <w:p>
      <w:pPr>
        <w:spacing w:after="0" w:line="84" w:lineRule="exact"/>
        <w:rPr>
          <w:sz w:val="20"/>
          <w:szCs w:val="20"/>
          <w:color w:val="auto"/>
        </w:rPr>
      </w:pPr>
    </w:p>
    <w:p>
      <w:pPr>
        <w:ind w:firstLine="364"/>
        <w:spacing w:after="0" w:line="286" w:lineRule="auto"/>
        <w:rPr>
          <w:sz w:val="20"/>
          <w:szCs w:val="20"/>
          <w:color w:val="auto"/>
        </w:rPr>
      </w:pPr>
      <w:r>
        <w:rPr>
          <w:rFonts w:ascii="Arial" w:cs="Arial" w:eastAsia="Arial" w:hAnsi="Arial"/>
          <w:sz w:val="17"/>
          <w:szCs w:val="17"/>
          <w:color w:val="auto"/>
        </w:rPr>
        <w:t>The expense ratio of the Specialty Admitted Insurance segment was 15.3% for the year ended December 31, 2022 compared to the prior year ratio of 13.1%, reflecting slightly lower net earned premiums, higher compensation related expenses, and the net impact of commission, tax and assessment accrual adjustments. The segment also benefited from growth in our fronting business which led to a 4.3% increase in fee income.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85,208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182,081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(53.2)%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line="203" w:lineRule="exact"/>
              <w:rPr>
                <w:sz w:val="20"/>
                <w:szCs w:val="20"/>
                <w:color w:val="auto"/>
              </w:rPr>
            </w:pPr>
            <w:r>
              <w:rPr>
                <w:rFonts w:ascii="Arial" w:cs="Arial" w:eastAsia="Arial" w:hAnsi="Arial"/>
                <w:sz w:val="18"/>
                <w:szCs w:val="18"/>
                <w:color w:val="auto"/>
              </w:rPr>
              <w:t>83,033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159,195</w:t>
            </w:r>
          </w:p>
        </w:tc>
        <w:tc>
          <w:tcPr>
            <w:tcW w:w="1640" w:type="dxa"/>
            <w:vAlign w:val="bottom"/>
            <w:gridSpan w:val="2"/>
          </w:tcPr>
          <w:p>
            <w:pPr>
              <w:jc w:val="right"/>
              <w:spacing w:after="0" w:line="203" w:lineRule="exact"/>
              <w:rPr>
                <w:sz w:val="20"/>
                <w:szCs w:val="20"/>
                <w:color w:val="auto"/>
              </w:rPr>
            </w:pPr>
            <w:r>
              <w:rPr>
                <w:rFonts w:ascii="Arial" w:cs="Arial" w:eastAsia="Arial" w:hAnsi="Arial"/>
                <w:sz w:val="18"/>
                <w:szCs w:val="18"/>
                <w:i w:val="1"/>
                <w:iCs w:val="1"/>
                <w:color w:val="auto"/>
              </w:rPr>
              <w:t>(47.8)%</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136,427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134,223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(99,823)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(220,178)</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(54.7)%</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(42,987)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(31,571)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36.2 %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line="223" w:lineRule="exact"/>
              <w:rPr>
                <w:sz w:val="20"/>
                <w:szCs w:val="20"/>
                <w:color w:val="auto"/>
              </w:rPr>
            </w:pPr>
            <w:r>
              <w:rPr>
                <w:rFonts w:ascii="Arial" w:cs="Arial" w:eastAsia="Arial" w:hAnsi="Arial"/>
                <w:sz w:val="18"/>
                <w:szCs w:val="18"/>
                <w:color w:val="auto"/>
              </w:rPr>
              <w:t>Underwriting loss</w:t>
            </w:r>
            <w:r>
              <w:rPr>
                <w:rFonts w:ascii="Arial" w:cs="Arial" w:eastAsia="Arial" w:hAnsi="Arial"/>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(6,383)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(117,526)</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(94.6)%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73.2 %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164.0 %</w:t>
            </w:r>
          </w:p>
        </w:tc>
        <w:tc>
          <w:tcPr>
            <w:tcW w:w="164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640" w:type="dxa"/>
            <w:vAlign w:val="bottom"/>
            <w:shd w:val="clear" w:color="auto" w:fill="CCEEFF"/>
          </w:tcPr>
          <w:p>
            <w:pPr>
              <w:spacing w:after="0"/>
              <w:rPr>
                <w:sz w:val="19"/>
                <w:szCs w:val="19"/>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104.7 %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187.6 %</w:t>
            </w:r>
          </w:p>
        </w:tc>
        <w:tc>
          <w:tcPr>
            <w:tcW w:w="16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61.5 %</w:t>
            </w:r>
          </w:p>
        </w:tc>
        <w:tc>
          <w:tcPr>
            <w:tcW w:w="164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is a non-GAAP Measure. See “Reconciliation of Non-GAAP Measures.”</w:t>
      </w:r>
    </w:p>
    <w:p>
      <w:pPr>
        <w:spacing w:after="0" w:line="117" w:lineRule="exact"/>
        <w:rPr>
          <w:sz w:val="20"/>
          <w:szCs w:val="20"/>
          <w:color w:val="auto"/>
        </w:rPr>
      </w:pPr>
    </w:p>
    <w:p>
      <w:pPr>
        <w:ind w:right="100" w:firstLine="364"/>
        <w:spacing w:after="0" w:line="269" w:lineRule="auto"/>
        <w:rPr>
          <w:sz w:val="20"/>
          <w:szCs w:val="20"/>
          <w:color w:val="auto"/>
        </w:rPr>
      </w:pPr>
      <w:r>
        <w:rPr>
          <w:rFonts w:ascii="Arial" w:cs="Arial" w:eastAsia="Arial" w:hAnsi="Arial"/>
          <w:sz w:val="17"/>
          <w:szCs w:val="17"/>
          <w:color w:val="auto"/>
        </w:rPr>
        <w:t>The Casualty Reinsurance segment produced underwriting losses of $6.4 million and $117.5 million (combined ratios of 104.7% and 187.6%) for the years ended December 31, 2022 and 2021, respectively. The loss ratio of 73.2% for the year ended December 31, 2022 includes net adverse reserve development of $13.4 million or 9.8 points (including $6.8 million of net adverse reserve development on prior accident years recognized in the three months ended March 31, 2022 associated with the Casualty Re LPT). The loss ratio of 164.0% for the year ended December 31, 2021 includes $137.6 million, or 102.5 percentage points, of net adverse development in our loss estimates for prior accident years. Actual reported and paid losses in the Casualty Reinsurance segment significantly exceeded expectations in 2021, particularly in the fourth quarter of 2021, causing us to refine some of the assumptions used to determine our best estimate of ultimate losses for this segment. Specifically, we responded to this highly elevated loss emergence by making significant adjustments to our assumed tail factors, other development factors, initial expected loss ratios, and weights given to various actuarial methods. In particular, we gave significantly more weight to incurred loss development methods and Bornhuetter – Ferguson incurred loss development methods than had been done previously. These actuarial refinements resulted in material deterioration in ultimate loss selections for underwriting years 2014 through 2018.</w:t>
      </w:r>
    </w:p>
    <w:p>
      <w:pPr>
        <w:spacing w:after="0" w:line="74"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The Casualty Reinsurance segment focuses on proportional reinsurance which requires larger ceding commissions resulting in a higher commission expense than in our other segments. The segment typically structures its reinsurance treaties with loss mitigation features including sliding scale ceding commissions. Net adverse reserve development on treaties with such features reduced our commissions by $11.8 million (8.8 percentage points) for the year ended December 31, 2021 compared to $249,000 for the year ended December 31,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117"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were not reimbursed by our subsidiaries, including costs associated with our internal quota share, rating agencies and strategic initiatives. The expenses are included in our calculation of consolidated underwriting profit, and in our consolidated expense ratio and combined ratio.</w:t>
      </w:r>
    </w:p>
    <w:p>
      <w:pPr>
        <w:spacing w:after="0" w:line="7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Total operating expenses of the Corporate and Other segment were $31.3 million and $27.6 million for the years ended December 31, 2022 and 2021, respectively. The higher current year expenses as compared to the prior year were largely driven by higher compensation expenses due to the hiring of additional employees.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Results</w:t>
      </w:r>
    </w:p>
    <w:p>
      <w:pPr>
        <w:spacing w:after="0" w:line="117" w:lineRule="exact"/>
        <w:rPr>
          <w:sz w:val="20"/>
          <w:szCs w:val="20"/>
          <w:color w:val="auto"/>
        </w:rPr>
      </w:pPr>
    </w:p>
    <w:p>
      <w:pPr>
        <w:ind w:firstLine="364"/>
        <w:spacing w:after="0" w:line="279" w:lineRule="auto"/>
        <w:rPr>
          <w:sz w:val="20"/>
          <w:szCs w:val="20"/>
          <w:color w:val="auto"/>
        </w:rPr>
      </w:pPr>
      <w:r>
        <w:rPr>
          <w:rFonts w:ascii="Arial" w:cs="Arial" w:eastAsia="Arial" w:hAnsi="Arial"/>
          <w:sz w:val="17"/>
          <w:szCs w:val="17"/>
          <w:color w:val="auto"/>
        </w:rPr>
        <w:t>Net investment income was $71.1 million for the year ended December 31, 2022 compared to $56.9 million in the prior year. The Company's private investments generated income of $3.4 million and $2.2 million for the years ended December 31, 2022 and 2021, respectively. Excluding private investments, our net investment income for the year ended December 31, 2022 increased 23.9% over the prior year principally due to higher yields on fixed maturities, bank loan participations, short-term investments, and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5"/>
          </w:tcPr>
          <w:p>
            <w:pPr>
              <w:ind w:left="800"/>
              <w:spacing w:after="0"/>
              <w:rPr>
                <w:sz w:val="20"/>
                <w:szCs w:val="20"/>
                <w:color w:val="auto"/>
              </w:rPr>
            </w:pPr>
            <w:r>
              <w:rPr>
                <w:rFonts w:ascii="Arial" w:cs="Arial" w:eastAsia="Arial" w:hAnsi="Arial"/>
                <w:sz w:val="14"/>
                <w:szCs w:val="14"/>
                <w:b w:val="1"/>
                <w:bCs w:val="1"/>
                <w:i w:val="1"/>
                <w:iCs w:val="1"/>
                <w:color w:val="auto"/>
                <w:w w:val="93"/>
              </w:rPr>
              <w:t>(in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42,968</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12,639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10,571</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Renewable energy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private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w w:val="91"/>
              </w:rPr>
              <w:t>(1,000)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4,853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w w:val="91"/>
              </w:rPr>
              <w:t>(4,116)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The following table summarizes our investment returns: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gross investment yield on:</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Average cash and invested assets</w:t>
            </w:r>
          </w:p>
        </w:tc>
        <w:tc>
          <w:tcPr>
            <w:tcW w:w="260" w:type="dxa"/>
            <w:vAlign w:val="bottom"/>
          </w:tcPr>
          <w:p>
            <w:pPr>
              <w:spacing w:after="0"/>
              <w:rPr>
                <w:sz w:val="19"/>
                <w:szCs w:val="19"/>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5"/>
              </w:rPr>
              <w:t>3.1 %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Average fixed maturity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3.1 %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364"/>
        <w:spacing w:after="0" w:line="272" w:lineRule="auto"/>
        <w:rPr>
          <w:sz w:val="20"/>
          <w:szCs w:val="20"/>
          <w:color w:val="auto"/>
        </w:rPr>
      </w:pPr>
      <w:r>
        <w:rPr>
          <w:rFonts w:ascii="Arial" w:cs="Arial" w:eastAsia="Arial" w:hAnsi="Arial"/>
          <w:sz w:val="17"/>
          <w:szCs w:val="17"/>
          <w:color w:val="auto"/>
        </w:rPr>
        <w:t>Of our total cash and invested assets of $2,365.5 million at December 31, 2022 (excluding restricted cash equivalents), $173.2 million represents the cash and cash equivalents portion of the portfolio. The majority of the portfolio, or $1,783.4 million, is comprised of fixed maturity securities that are classified as available-for-sale and carried at fair value with unrealized gains and losses on these securities reported, net of applicable taxes, as a separate component of accumulated comprehensive income or loss. The fair values of our fixed maturity securities were negatively impacted in 2022 by a heightened inflationary environment and rate actions of the Federal Reserve, which led to higher interest rates and lower fair values of our fixed maturity securities. Unrealized losses on fixed maturities recognized in other comprehensive (loss) income resulted in a $193.0 million reduction in accumulated other comprehensive (loss) income in the year ended December 31, 2022.</w:t>
      </w:r>
    </w:p>
    <w:p>
      <w:pPr>
        <w:spacing w:after="0" w:line="69" w:lineRule="exact"/>
        <w:rPr>
          <w:sz w:val="20"/>
          <w:szCs w:val="20"/>
          <w:color w:val="auto"/>
        </w:rPr>
      </w:pPr>
    </w:p>
    <w:p>
      <w:pPr>
        <w:ind w:right="440" w:firstLine="364"/>
        <w:spacing w:after="0" w:line="277" w:lineRule="auto"/>
        <w:rPr>
          <w:sz w:val="20"/>
          <w:szCs w:val="20"/>
          <w:color w:val="auto"/>
        </w:rPr>
      </w:pPr>
      <w:r>
        <w:rPr>
          <w:rFonts w:ascii="Arial" w:cs="Arial" w:eastAsia="Arial" w:hAnsi="Arial"/>
          <w:sz w:val="18"/>
          <w:szCs w:val="18"/>
          <w:color w:val="auto"/>
        </w:rPr>
        <w:t>Also included in our investments are $155.0 million of bank loan participations, $118.6 million of equity securities, $107.8 million of short-term investments, and $27.4 million of other invested assets.</w:t>
      </w:r>
    </w:p>
    <w:p>
      <w:pPr>
        <w:spacing w:after="0" w:line="6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Arial" w:cs="Arial" w:eastAsia="Arial" w:hAnsi="Arial"/>
          <w:sz w:val="18"/>
          <w:szCs w:val="18"/>
          <w:color w:val="231F20"/>
        </w:rPr>
        <w:t>Bank loan participations are measured at fair value pursuant to the Company's election of</w:t>
      </w:r>
      <w:r>
        <w:rPr>
          <w:rFonts w:ascii="Arial" w:cs="Arial" w:eastAsia="Arial" w:hAnsi="Arial"/>
          <w:sz w:val="18"/>
          <w:szCs w:val="18"/>
          <w:color w:val="auto"/>
        </w:rPr>
        <w:t xml:space="preserve"> </w:t>
      </w:r>
      <w:r>
        <w:rPr>
          <w:rFonts w:ascii="Arial" w:cs="Arial" w:eastAsia="Arial" w:hAnsi="Arial"/>
          <w:sz w:val="18"/>
          <w:szCs w:val="18"/>
          <w:color w:val="231F20"/>
        </w:rPr>
        <w:t xml:space="preserve">the fair value option, and changes in unrealized gains and losses in bank loan participations are reported in our income statement as net realized and unrealized gains (losses) on investments. </w:t>
      </w:r>
      <w:r>
        <w:rPr>
          <w:rFonts w:ascii="Arial" w:cs="Arial" w:eastAsia="Arial" w:hAnsi="Arial"/>
          <w:sz w:val="18"/>
          <w:szCs w:val="18"/>
          <w:color w:val="000000"/>
        </w:rPr>
        <w:t>At December 31, 2022 and 2021, the fair value of these securities was $155.0 million and $156.0 million,</w:t>
      </w:r>
      <w:r>
        <w:rPr>
          <w:rFonts w:ascii="Arial" w:cs="Arial" w:eastAsia="Arial" w:hAnsi="Arial"/>
          <w:sz w:val="18"/>
          <w:szCs w:val="18"/>
          <w:color w:val="231F20"/>
        </w:rPr>
        <w:t xml:space="preserve"> </w:t>
      </w:r>
      <w:r>
        <w:rPr>
          <w:rFonts w:ascii="Arial" w:cs="Arial" w:eastAsia="Arial" w:hAnsi="Arial"/>
          <w:sz w:val="18"/>
          <w:szCs w:val="18"/>
          <w:color w:val="000000"/>
        </w:rPr>
        <w:t>respectively.</w:t>
      </w:r>
    </w:p>
    <w:p>
      <w:pPr>
        <w:spacing w:after="0" w:line="84" w:lineRule="exact"/>
        <w:rPr>
          <w:sz w:val="20"/>
          <w:szCs w:val="20"/>
          <w:color w:val="auto"/>
        </w:rPr>
      </w:pPr>
    </w:p>
    <w:p>
      <w:pPr>
        <w:ind w:right="80" w:firstLine="364"/>
        <w:spacing w:after="0" w:line="270" w:lineRule="auto"/>
        <w:rPr>
          <w:sz w:val="20"/>
          <w:szCs w:val="20"/>
          <w:color w:val="auto"/>
        </w:rPr>
      </w:pPr>
      <w:r>
        <w:rPr>
          <w:rFonts w:ascii="Arial" w:cs="Arial" w:eastAsia="Arial" w:hAnsi="Arial"/>
          <w:sz w:val="17"/>
          <w:szCs w:val="17"/>
          <w:color w:val="auto"/>
        </w:rPr>
        <w:t>The Company invests selectively in private debt and equity opportunities. These investments comprise the Company’s other invested assets and are primarily focused in renewable energy, limited partnerships, and bank holding companies. Equity interests in various renewable energy LLCs generated investment income of $3.8 million and losses of $1.4 million for the years ended December 31, 2022 and 2021, respectively. The LLCs are managed by an entity for which two of our former directors serve as officers, and the Company’s Non-Executive Chairman has invested in certain of these LLCs. During the fourth quarter of 2022, the underlying projects in two of our LLCs were sold at the manager's discretion. We received proceeds of $20.2 million, and could receive additional contingent payments in the future according to terms of the transaction. The remaining investments had a carrying value of $9.2 million at December 31, 2022. Investments in loans for renewable energy projects had investment income of $607,000 and $939,000 for the years ended December 31, 2022 and 2021, respectively. During 2022, the Company received principal repayments of $2.5 million on the notes receivable. These investments had 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carrying value of $2.7 million at December 31, 2022. Two of our former directors are officers of the entities that issued the loans. The Company has invested in several limited partnerships that invest in concentrated portfolios of publicly traded small cap equities, loans of middle market private equity sponsored companies, equity tranches of collateralized loan obligations (CLOs), and tranches of distressed home loans. Investment losses from these partnerships were $1.3 million in 2022 compared to income of $2.4 million in 2021. Together, these limited partnerships had a carrying value of $11.1 million at December 31, 2022. Income from the Company’s investments in renewable energy LLCs and limited partnerships is recognized under the equity method of accounting. The Company also holds $4.5 million of subordinated notes issued by a bank holding company. Interest income from the notes was $343,000 in each of the years ended December 31, 2022 and 2021. The Company’s Non-Executive Chairman was previously the Lead Independent Director of the bank holding company and an investor in the bank holding company.</w:t>
      </w:r>
    </w:p>
    <w:p>
      <w:pPr>
        <w:spacing w:after="0" w:line="70" w:lineRule="exact"/>
        <w:rPr>
          <w:sz w:val="20"/>
          <w:szCs w:val="20"/>
          <w:color w:val="auto"/>
        </w:rPr>
      </w:pPr>
    </w:p>
    <w:p>
      <w:pPr>
        <w:ind w:right="140" w:firstLine="364"/>
        <w:spacing w:after="0" w:line="259" w:lineRule="auto"/>
        <w:rPr>
          <w:sz w:val="20"/>
          <w:szCs w:val="20"/>
          <w:color w:val="auto"/>
        </w:rPr>
      </w:pPr>
      <w:r>
        <w:rPr>
          <w:rFonts w:ascii="Arial" w:cs="Arial" w:eastAsia="Arial" w:hAnsi="Arial"/>
          <w:sz w:val="18"/>
          <w:szCs w:val="18"/>
          <w:color w:val="auto"/>
        </w:rPr>
        <w:t>For the year ended December 31, 2022, the Company recognized net realized and unrealized investment losses of $28.3 million, including $275,000 of net realized investment gains on the sale of fixed maturity securities, $1.2 million of net realized investment losses on the sale of bank loans securities, $254,000 of net realized investment losses on the sale of equity securities, $15.9 million of losses for the change in fair value of bank loans, and $11.2 million of losses for the change in fair value of equity securities.</w:t>
      </w:r>
    </w:p>
    <w:p>
      <w:pPr>
        <w:spacing w:after="0" w:line="79"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For the year ended December 31, 2021, the Company recognized net realized and unrealized investment gains of $15.6 million, including $4.9 million of net realized investment gains on the sale of fixed maturity securities, $833,000 of net realized investment losses on the sale of bank loans, $543,000 of net realized investment losses on the sale of equity securities, $6.7 million of gains for the change in fair value of bank loans, and $5.4 million of gains for the change in fair value of equity securities.</w:t>
      </w:r>
    </w:p>
    <w:p>
      <w:pPr>
        <w:spacing w:after="0" w:line="79" w:lineRule="exact"/>
        <w:rPr>
          <w:sz w:val="20"/>
          <w:szCs w:val="20"/>
          <w:color w:val="auto"/>
        </w:rPr>
      </w:pPr>
    </w:p>
    <w:p>
      <w:pPr>
        <w:ind w:right="460" w:firstLine="364"/>
        <w:spacing w:after="0" w:line="277" w:lineRule="auto"/>
        <w:rPr>
          <w:sz w:val="20"/>
          <w:szCs w:val="20"/>
          <w:color w:val="auto"/>
        </w:rPr>
      </w:pPr>
      <w:r>
        <w:rPr>
          <w:rFonts w:ascii="Arial" w:cs="Arial" w:eastAsia="Arial" w:hAnsi="Arial"/>
          <w:sz w:val="18"/>
          <w:szCs w:val="18"/>
          <w:color w:val="auto"/>
        </w:rPr>
        <w:t>In conjunction with its outside investment managers, the Company performs quarterly reviews of all securities within its investment portfolio to determine whether any impairment has occurred.</w:t>
      </w:r>
    </w:p>
    <w:p>
      <w:pPr>
        <w:spacing w:after="0" w:line="62" w:lineRule="exact"/>
        <w:rPr>
          <w:sz w:val="20"/>
          <w:szCs w:val="20"/>
          <w:color w:val="auto"/>
        </w:rPr>
      </w:pPr>
    </w:p>
    <w:p>
      <w:pPr>
        <w:jc w:val="both"/>
        <w:ind w:right="160" w:firstLine="364"/>
        <w:spacing w:after="0" w:line="286" w:lineRule="auto"/>
        <w:rPr>
          <w:sz w:val="20"/>
          <w:szCs w:val="20"/>
          <w:color w:val="auto"/>
        </w:rPr>
      </w:pPr>
      <w:r>
        <w:rPr>
          <w:rFonts w:ascii="Arial" w:cs="Arial" w:eastAsia="Arial" w:hAnsi="Arial"/>
          <w:sz w:val="17"/>
          <w:szCs w:val="17"/>
          <w:color w:val="auto"/>
        </w:rPr>
        <w:t>Management concluded that none of the fixed maturity securities with an unrealized loss at December 31, 2022 or 2021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57"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At December 31, 2022, our available-for-sale fixed maturity securities had net unrealized losses of $186.4 million representing 9.5% of the amortized cost of the portfolio. Additionally, at December 31, 2022, 99.8% of our fixed maturity security portfolio was rated “BBB-” or better (“investment grade”) by Standard &amp; Poor’s or had an equivalent rating from another nationally recognized statistical rating organization. The average duration of our invested assets and cash, excluding restricted cash, was 4.1 years at December 31, 2022.</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2022</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of Total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Cost or</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3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 available-for-sale: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40"/>
              <w:spacing w:after="0"/>
              <w:rPr>
                <w:sz w:val="20"/>
                <w:szCs w:val="20"/>
                <w:color w:val="auto"/>
              </w:rPr>
            </w:pPr>
            <w:r>
              <w:rPr>
                <w:rFonts w:ascii="Arial" w:cs="Arial" w:eastAsia="Arial" w:hAnsi="Arial"/>
                <w:sz w:val="16"/>
                <w:szCs w:val="16"/>
                <w:color w:val="auto"/>
              </w:rPr>
              <w:t>State and municipal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386,456</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330,852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18.6 %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323,773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333,717</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19.9 %</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437,702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401,249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246,631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14.7 %</w:t>
            </w:r>
          </w:p>
        </w:tc>
        <w:tc>
          <w:tcPr>
            <w:tcW w:w="0" w:type="dxa"/>
            <w:vAlign w:val="bottom"/>
          </w:tcPr>
          <w:p>
            <w:pPr>
              <w:spacing w:after="0"/>
              <w:rPr>
                <w:sz w:val="1"/>
                <w:szCs w:val="1"/>
                <w:color w:val="auto"/>
              </w:rPr>
            </w:pPr>
          </w:p>
        </w:tc>
      </w:tr>
      <w:tr>
        <w:trPr>
          <w:trHeight w:val="213"/>
        </w:trPr>
        <w:tc>
          <w:tcPr>
            <w:tcW w:w="3540" w:type="dxa"/>
            <w:vAlign w:val="bottom"/>
          </w:tcPr>
          <w:p>
            <w:pPr>
              <w:ind w:left="140"/>
              <w:spacing w:after="0"/>
              <w:rPr>
                <w:sz w:val="20"/>
                <w:szCs w:val="20"/>
                <w:color w:val="auto"/>
              </w:rPr>
            </w:pPr>
            <w:r>
              <w:rPr>
                <w:rFonts w:ascii="Arial" w:cs="Arial" w:eastAsia="Arial" w:hAnsi="Arial"/>
                <w:sz w:val="16"/>
                <w:szCs w:val="16"/>
                <w:color w:val="auto"/>
              </w:rPr>
              <w:t>Corporate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734,976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670,212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37.6 %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732,335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43.7 %</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mortgage and asset-backed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309,015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304,488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18.2 %</w:t>
            </w:r>
          </w:p>
        </w:tc>
        <w:tc>
          <w:tcPr>
            <w:tcW w:w="0" w:type="dxa"/>
            <w:vAlign w:val="bottom"/>
          </w:tcPr>
          <w:p>
            <w:pPr>
              <w:spacing w:after="0"/>
              <w:rPr>
                <w:sz w:val="1"/>
                <w:szCs w:val="1"/>
                <w:color w:val="auto"/>
              </w:rPr>
            </w:pPr>
          </w:p>
        </w:tc>
      </w:tr>
      <w:tr>
        <w:trPr>
          <w:trHeight w:val="166"/>
        </w:trPr>
        <w:tc>
          <w:tcPr>
            <w:tcW w:w="3540" w:type="dxa"/>
            <w:vAlign w:val="bottom"/>
          </w:tcPr>
          <w:p>
            <w:pPr>
              <w:ind w:left="140"/>
              <w:spacing w:after="0" w:line="166" w:lineRule="exact"/>
              <w:rPr>
                <w:sz w:val="20"/>
                <w:szCs w:val="20"/>
                <w:color w:val="auto"/>
              </w:rPr>
            </w:pPr>
            <w:r>
              <w:rPr>
                <w:rFonts w:ascii="Arial" w:cs="Arial" w:eastAsia="Arial" w:hAnsi="Arial"/>
                <w:sz w:val="16"/>
                <w:szCs w:val="16"/>
                <w:color w:val="auto"/>
                <w:w w:val="91"/>
              </w:rPr>
              <w:t>U.S. Treasury securities and obligations guaranteed</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75,583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72,089</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4.0 %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60,329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60,390</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3.5 %</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by the U.S. government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fixed maturity securities, available-for-sale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1,969,783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1,783,417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1,643,865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1,677,561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100.0 %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composition of the Company’s portfolio of fixed maturity securities by rating as of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6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520" w:type="dxa"/>
            <w:vAlign w:val="bottom"/>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26"/>
        </w:trPr>
        <w:tc>
          <w:tcPr>
            <w:tcW w:w="8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176"/>
        </w:trPr>
        <w:tc>
          <w:tcPr>
            <w:tcW w:w="8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3"/>
          </w:tcPr>
          <w:p>
            <w:pPr>
              <w:jc w:val="right"/>
              <w:ind w:right="940"/>
              <w:spacing w:after="0"/>
              <w:rPr>
                <w:sz w:val="20"/>
                <w:szCs w:val="20"/>
                <w:color w:val="auto"/>
              </w:rPr>
            </w:pPr>
            <w:r>
              <w:rPr>
                <w:rFonts w:ascii="Arial" w:cs="Arial" w:eastAsia="Arial" w:hAnsi="Arial"/>
                <w:sz w:val="14"/>
                <w:szCs w:val="14"/>
                <w:b w:val="1"/>
                <w:bCs w:val="1"/>
                <w:i w:val="1"/>
                <w:iCs w:val="1"/>
                <w:color w:val="auto"/>
              </w:rPr>
              <w:t>($ in thousands)</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735,336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41.2 %</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27.4 %</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BBB</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162,742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1,783,417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1"/>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firstLine="364"/>
        <w:spacing w:after="0" w:line="277" w:lineRule="auto"/>
        <w:rPr>
          <w:sz w:val="20"/>
          <w:szCs w:val="20"/>
          <w:color w:val="auto"/>
        </w:rPr>
      </w:pPr>
      <w:r>
        <w:rPr>
          <w:rFonts w:ascii="Arial" w:cs="Arial" w:eastAsia="Arial" w:hAnsi="Arial"/>
          <w:sz w:val="18"/>
          <w:szCs w:val="18"/>
          <w:color w:val="auto"/>
        </w:rPr>
        <w:t>At December 31, 2022, our portfolio of available-for-sale fixed maturity securities contained corporate fixed maturity securities with a fair value of $670.2 million. A summary of these securities by industry segment is shown below as of December 31,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Industry</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Pr>
          <w:p>
            <w:pPr>
              <w:jc w:val="right"/>
              <w:ind w:right="352"/>
              <w:spacing w:after="0"/>
              <w:rPr>
                <w:sz w:val="20"/>
                <w:szCs w:val="20"/>
                <w:color w:val="auto"/>
              </w:rPr>
            </w:pPr>
            <w:r>
              <w:rPr>
                <w:rFonts w:ascii="Arial" w:cs="Arial" w:eastAsia="Arial" w:hAnsi="Arial"/>
                <w:sz w:val="14"/>
                <w:szCs w:val="14"/>
                <w:b w:val="1"/>
                <w:bCs w:val="1"/>
                <w:color w:val="auto"/>
              </w:rPr>
              <w:t>% of Total</w:t>
            </w:r>
          </w:p>
        </w:tc>
      </w:tr>
      <w:tr>
        <w:trPr>
          <w:trHeight w:val="26"/>
        </w:trPr>
        <w:tc>
          <w:tcPr>
            <w:tcW w:w="8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176"/>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3"/>
          </w:tcPr>
          <w:p>
            <w:pPr>
              <w:jc w:val="right"/>
              <w:ind w:right="932"/>
              <w:spacing w:after="0"/>
              <w:rPr>
                <w:sz w:val="20"/>
                <w:szCs w:val="20"/>
                <w:color w:val="auto"/>
              </w:rPr>
            </w:pPr>
            <w:r>
              <w:rPr>
                <w:rFonts w:ascii="Arial" w:cs="Arial" w:eastAsia="Arial" w:hAnsi="Arial"/>
                <w:sz w:val="14"/>
                <w:szCs w:val="14"/>
                <w:b w:val="1"/>
                <w:bCs w:val="1"/>
                <w:i w:val="1"/>
                <w:iCs w:val="1"/>
                <w:color w:val="auto"/>
              </w:rPr>
              <w:t>($ in thousands)</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Industrials and other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Consumer Discretionary</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90,202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Health Care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Staples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29"/>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Utilities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670,212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firstLine="364"/>
        <w:spacing w:after="0" w:line="277" w:lineRule="auto"/>
        <w:rPr>
          <w:sz w:val="20"/>
          <w:szCs w:val="20"/>
          <w:color w:val="auto"/>
        </w:rPr>
      </w:pPr>
      <w:r>
        <w:rPr>
          <w:rFonts w:ascii="Arial" w:cs="Arial" w:eastAsia="Arial" w:hAnsi="Arial"/>
          <w:sz w:val="18"/>
          <w:szCs w:val="18"/>
          <w:color w:val="auto"/>
        </w:rPr>
        <w:t>Corporate available-for-sale fixed maturity securities include public traded securities and privately placed bonds as shown below as of December 31,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Public/Private</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Pr>
          <w:p>
            <w:pPr>
              <w:jc w:val="right"/>
              <w:ind w:right="355"/>
              <w:spacing w:after="0"/>
              <w:rPr>
                <w:sz w:val="20"/>
                <w:szCs w:val="20"/>
                <w:color w:val="auto"/>
              </w:rPr>
            </w:pPr>
            <w:r>
              <w:rPr>
                <w:rFonts w:ascii="Arial" w:cs="Arial" w:eastAsia="Arial" w:hAnsi="Arial"/>
                <w:sz w:val="14"/>
                <w:szCs w:val="14"/>
                <w:b w:val="1"/>
                <w:bCs w:val="1"/>
                <w:color w:val="auto"/>
              </w:rPr>
              <w:t>% of Total</w:t>
            </w:r>
          </w:p>
        </w:tc>
      </w:tr>
      <w:tr>
        <w:trPr>
          <w:trHeight w:val="25"/>
        </w:trPr>
        <w:tc>
          <w:tcPr>
            <w:tcW w:w="8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176"/>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3"/>
          </w:tcPr>
          <w:p>
            <w:pPr>
              <w:jc w:val="right"/>
              <w:ind w:right="935"/>
              <w:spacing w:after="0"/>
              <w:rPr>
                <w:sz w:val="20"/>
                <w:szCs w:val="20"/>
                <w:color w:val="auto"/>
              </w:rPr>
            </w:pPr>
            <w:r>
              <w:rPr>
                <w:rFonts w:ascii="Arial" w:cs="Arial" w:eastAsia="Arial" w:hAnsi="Arial"/>
                <w:sz w:val="14"/>
                <w:szCs w:val="14"/>
                <w:b w:val="1"/>
                <w:bCs w:val="1"/>
                <w:i w:val="1"/>
                <w:iCs w:val="1"/>
                <w:color w:val="auto"/>
              </w:rPr>
              <w:t>($ in thousands)</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Publicly traded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88.6 %</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Privately placed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670,212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Pr>
          <w:p>
            <w:pPr>
              <w:jc w:val="right"/>
              <w:ind w:right="354"/>
              <w:spacing w:after="0" w:line="13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8"/>
              </w:rPr>
              <w:t>($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53,202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52,229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2.9 %</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26.2 %</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366,853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320,871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18.0 %</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232,046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13.1 %</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1,197,015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1,073,153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60.2 %</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22.5 %</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309,015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17.3 %</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1,783,417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9" w:name="page90"/>
    <w:bookmarkEnd w:id="8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 xml:space="preserve">Other income and expense primarily consists of non-operating expenses of $6.0 million and $2.6 million for the years ended December 31, 2022 and 2021, respectively. </w:t>
      </w:r>
      <w:r>
        <w:rPr>
          <w:rFonts w:ascii="Arial" w:cs="Arial" w:eastAsia="Arial" w:hAnsi="Arial"/>
          <w:sz w:val="17"/>
          <w:szCs w:val="17"/>
          <w:color w:val="231F20"/>
        </w:rPr>
        <w:t>Non-operating expenses</w:t>
      </w:r>
      <w:r>
        <w:rPr>
          <w:rFonts w:ascii="Arial" w:cs="Arial" w:eastAsia="Arial" w:hAnsi="Arial"/>
          <w:sz w:val="17"/>
          <w:szCs w:val="17"/>
          <w:color w:val="auto"/>
        </w:rPr>
        <w:t xml:space="preserve"> include legal fees related to a purported class action lawsuit, legal and other professional fees related to the Company's May 2021 common share offering, legal and other professional fees and other expenses related to various strategic initiatives including loss portfolio transfers accounted for as retroactive reinsurance, and employee severance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364"/>
        <w:spacing w:after="0" w:line="279" w:lineRule="auto"/>
        <w:rPr>
          <w:sz w:val="20"/>
          <w:szCs w:val="20"/>
          <w:color w:val="auto"/>
        </w:rPr>
      </w:pPr>
      <w:r>
        <w:rPr>
          <w:rFonts w:ascii="Arial" w:cs="Arial" w:eastAsia="Arial" w:hAnsi="Arial"/>
          <w:sz w:val="17"/>
          <w:szCs w:val="17"/>
          <w:color w:val="auto"/>
        </w:rPr>
        <w:t>Interest expense was $17.6 million and $8.9 million for the years ended December 31, 2022 and 2021, respectively. Interest expense for the year ended December 31, 2022 includes $3.7 million of crediting fees on the Funds Withheld Account balance under the Casualty Re LPT. The impact of rising interest rates on our variable rate senior and trust preferred debt also contributed to the higher current year interest expense. See “—Liquidity and Capital Resources—Sources and Uses of Funds” for information regarding our senior debt facilities and trust preferred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recorded $363,000 of amortization of intangibles in each of the years ended December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Impairment</w:t>
      </w:r>
    </w:p>
    <w:p>
      <w:pPr>
        <w:spacing w:after="0" w:line="117" w:lineRule="exact"/>
        <w:rPr>
          <w:sz w:val="20"/>
          <w:szCs w:val="20"/>
          <w:color w:val="auto"/>
        </w:rPr>
      </w:pPr>
    </w:p>
    <w:p>
      <w:pPr>
        <w:ind w:right="80" w:firstLine="364"/>
        <w:spacing w:after="0" w:line="259" w:lineRule="auto"/>
        <w:rPr>
          <w:sz w:val="20"/>
          <w:szCs w:val="20"/>
          <w:color w:val="auto"/>
        </w:rPr>
      </w:pPr>
      <w:r>
        <w:rPr>
          <w:rFonts w:ascii="Arial" w:cs="Arial" w:eastAsia="Arial" w:hAnsi="Arial"/>
          <w:sz w:val="18"/>
          <w:szCs w:val="18"/>
          <w:color w:val="auto"/>
        </w:rPr>
        <w:t>We test goodwill and other intangible assets in each operating segment for impairment at least annually. The fair value of the reporting units is determined by weighting the results of a discounted cash flow analysis and a valuation derived from a market-based approach. Intangible assets are valued using various methodologies. The projection of future cash flows is dependent upon assumptions on the future levels of income as well as business trends, prospects and market and economic conditions.</w:t>
      </w:r>
    </w:p>
    <w:p>
      <w:pPr>
        <w:spacing w:after="0" w:line="79" w:lineRule="exact"/>
        <w:rPr>
          <w:sz w:val="20"/>
          <w:szCs w:val="20"/>
          <w:color w:val="auto"/>
        </w:rPr>
      </w:pPr>
    </w:p>
    <w:p>
      <w:pPr>
        <w:ind w:right="40" w:firstLine="364"/>
        <w:spacing w:after="0" w:line="263" w:lineRule="auto"/>
        <w:rPr>
          <w:sz w:val="20"/>
          <w:szCs w:val="20"/>
          <w:color w:val="auto"/>
        </w:rPr>
      </w:pPr>
      <w:r>
        <w:rPr>
          <w:rFonts w:ascii="Arial" w:cs="Arial" w:eastAsia="Arial" w:hAnsi="Arial"/>
          <w:sz w:val="18"/>
          <w:szCs w:val="18"/>
          <w:color w:val="auto"/>
        </w:rPr>
        <w:t>We perform this assessment to determine whether there has been any impairment in the value of goodwill or intangible assets by comparing its fair value to the net carrying value of the reporting units. If the carrying value exceeds its estimated fair value, an impairment loss is recognized and the asset is written down accordingly.</w:t>
      </w:r>
    </w:p>
    <w:p>
      <w:pPr>
        <w:spacing w:after="0" w:line="76" w:lineRule="exact"/>
        <w:rPr>
          <w:sz w:val="20"/>
          <w:szCs w:val="20"/>
          <w:color w:val="auto"/>
        </w:rPr>
      </w:pPr>
    </w:p>
    <w:p>
      <w:pPr>
        <w:ind w:right="300" w:firstLine="364"/>
        <w:spacing w:after="0" w:line="277" w:lineRule="auto"/>
        <w:rPr>
          <w:sz w:val="20"/>
          <w:szCs w:val="20"/>
          <w:color w:val="auto"/>
        </w:rPr>
      </w:pPr>
      <w:r>
        <w:rPr>
          <w:rFonts w:ascii="Arial" w:cs="Arial" w:eastAsia="Arial" w:hAnsi="Arial"/>
          <w:sz w:val="18"/>
          <w:szCs w:val="18"/>
          <w:color w:val="auto"/>
        </w:rPr>
        <w:t>The Company completed its impairment tests and fair value analysis for goodwill and other intangible assets during the fourth quarter of 2022 and 2021. No impairment was present for the years ended December 31, 2022 or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0" w:firstLine="364"/>
        <w:spacing w:after="0" w:line="271"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the year ended December 31, 2022, our effective tax rate was 37.3%. For the year ended December 31, 2021, we had an effective tax benefit that was 11.9% of our pre-tax loss for the year. Bermuda had losses in both years due to significant adverse development on U.S. commercial auto reserves ceded from the U.S. to Bermuda under the internal quota share reinsurance in 2021 and because of the unprofitable underwriting results at JRG Re and the non-deductible Bermuda holding company expenses in both 2021 and 2022. The Company does not receive a U.S. tax deduction for losses in Bermuda.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spacing w:after="0" w:line="70" w:lineRule="exact"/>
        <w:rPr>
          <w:sz w:val="20"/>
          <w:szCs w:val="20"/>
          <w:color w:val="auto"/>
        </w:rPr>
      </w:pPr>
    </w:p>
    <w:p>
      <w:pPr>
        <w:ind w:firstLine="364"/>
        <w:spacing w:after="0" w:line="271" w:lineRule="auto"/>
        <w:rPr>
          <w:sz w:val="20"/>
          <w:szCs w:val="20"/>
          <w:color w:val="auto"/>
        </w:rPr>
      </w:pPr>
      <w:r>
        <w:rPr>
          <w:rFonts w:ascii="Arial" w:cs="Arial" w:eastAsia="Arial" w:hAnsi="Arial"/>
          <w:sz w:val="17"/>
          <w:szCs w:val="17"/>
          <w:color w:val="auto"/>
        </w:rPr>
        <w:t>The Company has a deferred tax asset of $23.3 million at December 31, 2022 associated with unrealized losses in the Company’s available-for-sale fixed maturity securities portfolio. The unrealized losses are attributable to rising market interest rates and other economic factors rather than credit-related factors of the issuers. The Company does not intend to sell available-for-sale debt securities in an unrealized loss position, and it is not “more likely than not” that the Company will be required to sell these securities before a recovery in their fair value to their amortized cost basis occurs. The Company’s hold to recovery assertion related to investments in an unrealized loss position is considered a tax planning strategy. Both the cash generated by the Company from operating activities and the unused capacity on the Company’s unsecured revolving credit facilities reduce the likelihood of having to sell debt securities in an unrealized loss position. As a result, the Company has concluded that no valuation allowance is required for the deferred tax asset associated with unrealized losses on its investments at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117" w:lineRule="exact"/>
        <w:rPr>
          <w:sz w:val="20"/>
          <w:szCs w:val="20"/>
          <w:color w:val="auto"/>
        </w:rPr>
      </w:pPr>
    </w:p>
    <w:p>
      <w:pPr>
        <w:ind w:right="220" w:firstLine="364"/>
        <w:spacing w:after="0" w:line="277" w:lineRule="auto"/>
        <w:rPr>
          <w:sz w:val="20"/>
          <w:szCs w:val="20"/>
          <w:color w:val="auto"/>
        </w:rPr>
      </w:pPr>
      <w:r>
        <w:rPr>
          <w:rFonts w:ascii="Arial" w:cs="Arial" w:eastAsia="Arial" w:hAnsi="Arial"/>
          <w:sz w:val="18"/>
          <w:szCs w:val="18"/>
          <w:color w:val="auto"/>
        </w:rPr>
        <w:t>For a discussion of our results for the year ended December 31, 2021 as compared to year ended December 31, 2020, please refer to our 2021 Form 10-K filed with the SEC on March 1,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ind w:right="40" w:firstLine="364"/>
        <w:spacing w:after="0" w:line="257" w:lineRule="auto"/>
        <w:rPr>
          <w:sz w:val="20"/>
          <w:szCs w:val="20"/>
          <w:color w:val="auto"/>
        </w:rPr>
      </w:pPr>
      <w:r>
        <w:rPr>
          <w:rFonts w:ascii="Arial" w:cs="Arial" w:eastAsia="Arial" w:hAnsi="Arial"/>
          <w:sz w:val="18"/>
          <w:szCs w:val="18"/>
          <w:color w:val="auto"/>
        </w:rPr>
        <w:t>Our sources of funds consist primarily of premiums written, investment income, reinsurance recoveries, proceeds from sales and redemptions of investments, borrowings on our credit facilities, and the issuance of common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activities (excluding restricted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221,524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(155,631)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65,414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(175,991)</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65,925</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(44,652)</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restricted cash equivalents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(339,244)</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(383,896)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Cash provided by operating activities excluding restricted cash equivalents of $221.5 million for the year ended December 31, 2022 was driven by the growth in our U.S. segments and the collection of premiums receivable at a quicker rate than payments of loss and loss adjustment expenses. Cash used in operating activities excluding restricted cash equivalents of $155.6 million for the year ended December 31, 2021 primarily reflects the outflow of funds to effect the Commercial Auto LPT in the third quarter of that year. For the year ended December 31, 2020, cash provided by operations of $65.4 million was impacted by the run-off of Rasier. There were no associated premiums collected in 2020 for the Rasier policies terminated on December 31, 2019, but claim payments associated with the run-off continued in 2020.</w:t>
      </w:r>
    </w:p>
    <w:p>
      <w:pPr>
        <w:spacing w:after="0" w:line="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2022 and 2020, cash used in investing activities of $328.2 million and $176.0 million reflects our efforts to enhance the yield in our investment portfolio by investing available cash and cash equivalents into higher yielding investments. Cash provided by investing activities of $35.8 million for the year ended December 31, 2021 was primarily due to the investments sold and funds withdrawn from our investment portfolio to effect the Commercial Auto LPT in the third quarter of that year. Cash and cash equivalents (excluding restricted cash equivalents) comprised 7.3%, 8.2%, and 6.9% of total cash and invested assets at December 31, 2022, 2021, and 2020, respectively.</w:t>
      </w:r>
    </w:p>
    <w:p>
      <w:pPr>
        <w:spacing w:after="0" w:line="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Cash provided by financing activities of $89.7 million for the year ended December 31, 2022 includes $144.9 million of net proceeds (after expenses) from the issuance and sale of 150,000 Series A Preferred Shares on March 1, 2022. The proceeds were used for general corporate purposes and to repay $40.0 million of loans outstanding on the 2017 Facility (as defined below) on March 28, 2022. Financing activities for the year ended December 31, 2022 includes $6.1 million of dividends paid on the Series A Preferred Shares. Cash provided by financing activities also includes dividends paid to common shareholders of $7.8 million in 2022, $43.2 million in 2021, and $37.1 million in 2020. On May 10, 2021, the Company closed on a public offering of its common shares. The Company received net proceeds (before expenses) of $192.1 million. The proceeds were used for general corporate purposes. In 2020, net draws on our senior credit facilities of $104.0 million were used to help support our growth.</w:t>
      </w:r>
    </w:p>
    <w:p>
      <w:pPr>
        <w:spacing w:after="0" w:line="69" w:lineRule="exact"/>
        <w:rPr>
          <w:sz w:val="20"/>
          <w:szCs w:val="20"/>
          <w:color w:val="auto"/>
        </w:rPr>
      </w:pPr>
    </w:p>
    <w:p>
      <w:pPr>
        <w:ind w:right="100" w:firstLine="364"/>
        <w:spacing w:after="0" w:line="259" w:lineRule="auto"/>
        <w:rPr>
          <w:sz w:val="20"/>
          <w:szCs w:val="20"/>
          <w:color w:val="auto"/>
        </w:rPr>
      </w:pPr>
      <w:r>
        <w:rPr>
          <w:rFonts w:ascii="Arial" w:cs="Arial" w:eastAsia="Arial" w:hAnsi="Arial"/>
          <w:sz w:val="18"/>
          <w:szCs w:val="18"/>
          <w:color w:val="auto"/>
        </w:rPr>
        <w:t xml:space="preserve">As permitted under the agreements establishing the Indemnity Trust and the LPT Trust, we have withdrawn collateral from the Indemnity Trust and the LPT Trust to fund the Loss Fund Trust as required under the Administrative Services Agreement. Amounts on deposit in the Loss Fund Trust are included in restricted cash equivalents on the Company's consolidated balance sheet. See </w:t>
      </w:r>
      <w:r>
        <w:rPr>
          <w:rFonts w:ascii="Arial" w:cs="Arial" w:eastAsia="Arial" w:hAnsi="Arial"/>
          <w:sz w:val="18"/>
          <w:szCs w:val="18"/>
          <w:i w:val="1"/>
          <w:iCs w:val="1"/>
          <w:color w:val="auto"/>
        </w:rPr>
        <w:t>Amounts Recoverable from an Indemnifying Party and Reinsurer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Legacy Commercial Auto Book </w:t>
      </w:r>
      <w:r>
        <w:rPr>
          <w:rFonts w:ascii="Arial" w:cs="Arial" w:eastAsia="Arial" w:hAnsi="Arial"/>
          <w:sz w:val="18"/>
          <w:szCs w:val="18"/>
          <w:color w:val="auto"/>
        </w:rPr>
        <w:t>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20" w:firstLine="36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firstLine="364"/>
        <w:spacing w:after="0" w:line="272"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“Regulation—U.S. Insurance Regulation—State Regulation” for additional information. The maximum amount of dividends available to the U.S. holding company from our U.S. insurance subsidiaries during 2023 without regulatory approval is $53.7 million.</w:t>
      </w:r>
    </w:p>
    <w:p>
      <w:pPr>
        <w:spacing w:after="0" w:line="69" w:lineRule="exact"/>
        <w:rPr>
          <w:sz w:val="20"/>
          <w:szCs w:val="20"/>
          <w:color w:val="auto"/>
        </w:rPr>
      </w:pPr>
    </w:p>
    <w:p>
      <w:pPr>
        <w:ind w:right="40" w:firstLine="364"/>
        <w:spacing w:after="0" w:line="272" w:lineRule="auto"/>
        <w:rPr>
          <w:sz w:val="20"/>
          <w:szCs w:val="20"/>
          <w:color w:val="auto"/>
        </w:rPr>
      </w:pPr>
      <w:r>
        <w:rPr>
          <w:rFonts w:ascii="Arial" w:cs="Arial" w:eastAsia="Arial" w:hAnsi="Arial"/>
          <w:sz w:val="17"/>
          <w:szCs w:val="17"/>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“Regulation- Bermuda Insurance Regulation- Restrictions on Dividends and Distributions” for additional information. Based on that calculation, the maximum amount of dividends available to us from JRG Re without regulatory approval in 2023 is calculated to be approximately $93.9 million. However, any dividend payment is contingent upon continued compliance with Bermuda regulatory requirements, including but not limited to the enhanced solvency requirement calculations.</w:t>
      </w:r>
    </w:p>
    <w:p>
      <w:pPr>
        <w:spacing w:after="0" w:line="69" w:lineRule="exact"/>
        <w:rPr>
          <w:sz w:val="20"/>
          <w:szCs w:val="20"/>
          <w:color w:val="auto"/>
        </w:rPr>
      </w:pPr>
    </w:p>
    <w:p>
      <w:pPr>
        <w:ind w:firstLine="364"/>
        <w:spacing w:after="0" w:line="279" w:lineRule="auto"/>
        <w:rPr>
          <w:sz w:val="20"/>
          <w:szCs w:val="20"/>
          <w:color w:val="auto"/>
        </w:rPr>
      </w:pPr>
      <w:r>
        <w:rPr>
          <w:rFonts w:ascii="Arial" w:cs="Arial" w:eastAsia="Arial" w:hAnsi="Arial"/>
          <w:sz w:val="17"/>
          <w:szCs w:val="17"/>
          <w:color w:val="auto"/>
        </w:rPr>
        <w:t>Holders of the Series A Preferred Shares are entitled to a dividend at the initial rate of 7% of the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and are payable quarterly. During 2022, cash dividends of $8.8 million were declared, of which $2.6 million was payable at December 31, 2022.</w:t>
      </w:r>
    </w:p>
    <w:p>
      <w:pPr>
        <w:spacing w:after="0" w:line="63"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At December 31, 2022, our Bermuda holding company had $277,000 of cash and cash equivalent assets. Our U.S. holding company had $28.1 million of cash and invested assets at December 31, 2022, comprised of cash and cash equivalents of $15.5 million, short-term investments of $10.0 million and other invested assets of $2.6 million, which are not subject to regulatory restrictions. Additionally, our U.K. intermediate holding company had no invested assets and cash of less than $10,000 at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December 31, 2022:</w:t>
      </w:r>
    </w:p>
    <w:p>
      <w:pPr>
        <w:spacing w:after="0" w:line="62" w:lineRule="exact"/>
        <w:rPr>
          <w:sz w:val="20"/>
          <w:szCs w:val="20"/>
          <w:color w:val="auto"/>
        </w:rPr>
      </w:pPr>
    </w:p>
    <w:p>
      <w:pPr>
        <w:ind w:left="660" w:right="80" w:hanging="328"/>
        <w:spacing w:after="0" w:line="263" w:lineRule="auto"/>
        <w:tabs>
          <w:tab w:leader="none" w:pos="5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$102.5 million secured revolving facility utilized by JRG Re to issue letters of credit for the benefit of third-party reinsureds. This portion of our credit facility is secured by our investment securities. At December 31, 2022, the Company had $44.5 million of letters of credit issued under the secured facility.</w:t>
      </w:r>
    </w:p>
    <w:p>
      <w:pPr>
        <w:spacing w:after="0" w:line="75" w:lineRule="exact"/>
        <w:rPr>
          <w:rFonts w:ascii="Arial" w:cs="Arial" w:eastAsia="Arial" w:hAnsi="Arial"/>
          <w:sz w:val="18"/>
          <w:szCs w:val="18"/>
          <w:color w:val="auto"/>
        </w:rPr>
      </w:pPr>
    </w:p>
    <w:p>
      <w:pPr>
        <w:ind w:left="660" w:right="380" w:hanging="328"/>
        <w:spacing w:after="0" w:line="259" w:lineRule="auto"/>
        <w:tabs>
          <w:tab w:leader="none" w:pos="5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at December 31, 2022 was 1.5% and is subject to change according to terms in the credit agreement. At December 31, 2022 and 2021, the Company had a drawn balance of $185.8 million outstanding on the unsecured revolver.</w:t>
      </w:r>
    </w:p>
    <w:p>
      <w:pPr>
        <w:spacing w:after="0" w:line="79" w:lineRule="exact"/>
        <w:rPr>
          <w:sz w:val="20"/>
          <w:szCs w:val="20"/>
          <w:color w:val="auto"/>
        </w:rPr>
      </w:pPr>
    </w:p>
    <w:p>
      <w:pPr>
        <w:ind w:right="120" w:firstLine="364"/>
        <w:spacing w:after="0" w:line="259"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79"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December 31, 2022.</w:t>
      </w:r>
    </w:p>
    <w:p>
      <w:pPr>
        <w:spacing w:after="0" w:line="62" w:lineRule="exact"/>
        <w:rPr>
          <w:sz w:val="20"/>
          <w:szCs w:val="20"/>
          <w:color w:val="auto"/>
        </w:rPr>
      </w:pPr>
    </w:p>
    <w:p>
      <w:pPr>
        <w:ind w:right="80" w:firstLine="364"/>
        <w:spacing w:after="0" w:line="272" w:lineRule="auto"/>
        <w:rPr>
          <w:sz w:val="20"/>
          <w:szCs w:val="20"/>
          <w:color w:val="auto"/>
        </w:rPr>
      </w:pPr>
      <w:r>
        <w:rPr>
          <w:rFonts w:ascii="Arial" w:cs="Arial" w:eastAsia="Arial" w:hAnsi="Arial"/>
          <w:sz w:val="17"/>
          <w:szCs w:val="17"/>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(LIBOR plus a margin of 1.5% at December 31, 2022) and will mature 30 days after notice of termination from the lender. The 2017 Facility contains certain financial and other covenants with which we are in compliance at December 31, 2022. The loans and letters of credit made or issued under the revolving line of credit of the 2017 Facility may be used to finance the borrowers' general corporate purposes. The 2017 Facility has been amended from time to time since its inception in 2017. On November 8, 2019, the Company entered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into a First Amendment to Credit Agreement which, among other things, lowered the applicable interest rate and modified certain negative covenants to be less restrictive. At December 31, 2022, unsecured loans of $21.5 million and secured letters of credit totaling $22.9 million were outstanding on the 2017 Facility. During the three months ended March 31, 2022, the Company repaid $40.0 million of loans that were outstanding under the 2017 Facility.</w:t>
      </w:r>
    </w:p>
    <w:p>
      <w:pPr>
        <w:spacing w:after="0" w:line="41" w:lineRule="exact"/>
        <w:rPr>
          <w:sz w:val="20"/>
          <w:szCs w:val="20"/>
          <w:color w:val="auto"/>
        </w:rPr>
      </w:pPr>
    </w:p>
    <w:p>
      <w:pPr>
        <w:ind w:right="40" w:firstLine="364"/>
        <w:spacing w:after="0" w:line="296" w:lineRule="auto"/>
        <w:rPr>
          <w:sz w:val="20"/>
          <w:szCs w:val="20"/>
          <w:color w:val="auto"/>
        </w:rPr>
      </w:pPr>
      <w:r>
        <w:rPr>
          <w:rFonts w:ascii="Arial" w:cs="Arial" w:eastAsia="Arial" w:hAnsi="Arial"/>
          <w:sz w:val="16"/>
          <w:szCs w:val="16"/>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December 31, 2022, and which, among other things, restrict our ability to assume senior indebtedness secured by our U.S. holding company's common stock or its subsidiaries' capital stock or to issue shares of its subsidiaries' capital stock.</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76"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December 31, 2022 (including the Company’s repurchase of a portion of these trust preferred securities):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39"/>
        </w:trPr>
        <w:tc>
          <w:tcPr>
            <w:tcW w:w="30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5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Capital</w:t>
            </w: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Trust IV</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Issue date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May 26, 2004</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December 15, 2004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June 15, 2006</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December 11, 2007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January 10, 2008</w:t>
            </w: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Principal amount of trust preferred securities</w:t>
            </w: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$7,000</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$15,000</w:t>
            </w: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$20,000</w:t>
            </w:r>
          </w:p>
        </w:tc>
        <w:tc>
          <w:tcPr>
            <w:tcW w:w="1740" w:type="dxa"/>
            <w:vAlign w:val="bottom"/>
          </w:tcPr>
          <w:p>
            <w:pPr>
              <w:jc w:val="center"/>
              <w:spacing w:after="0"/>
              <w:rPr>
                <w:sz w:val="20"/>
                <w:szCs w:val="20"/>
                <w:color w:val="auto"/>
              </w:rPr>
            </w:pPr>
            <w:r>
              <w:rPr>
                <w:rFonts w:ascii="Arial" w:cs="Arial" w:eastAsia="Arial" w:hAnsi="Arial"/>
                <w:sz w:val="14"/>
                <w:szCs w:val="14"/>
                <w:color w:val="auto"/>
                <w:w w:val="94"/>
              </w:rPr>
              <w:t>$54,000</w:t>
            </w: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$30,000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amount of junior subordinated debt</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$7,217</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$20,619</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$55,670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$30,928</w:t>
            </w:r>
          </w:p>
        </w:tc>
        <w:tc>
          <w:tcPr>
            <w:tcW w:w="0" w:type="dxa"/>
            <w:vAlign w:val="bottom"/>
          </w:tcPr>
          <w:p>
            <w:pPr>
              <w:spacing w:after="0"/>
              <w:rPr>
                <w:sz w:val="1"/>
                <w:szCs w:val="1"/>
                <w:color w:val="auto"/>
              </w:rPr>
            </w:pPr>
          </w:p>
        </w:tc>
      </w:tr>
      <w:tr>
        <w:trPr>
          <w:trHeight w:val="143"/>
        </w:trPr>
        <w:tc>
          <w:tcPr>
            <w:tcW w:w="3040" w:type="dxa"/>
            <w:vAlign w:val="bottom"/>
          </w:tcPr>
          <w:p>
            <w:pPr>
              <w:ind w:left="20"/>
              <w:spacing w:after="0" w:line="143" w:lineRule="exact"/>
              <w:rPr>
                <w:sz w:val="20"/>
                <w:szCs w:val="20"/>
                <w:color w:val="auto"/>
              </w:rPr>
            </w:pPr>
            <w:r>
              <w:rPr>
                <w:rFonts w:ascii="Arial" w:cs="Arial" w:eastAsia="Arial" w:hAnsi="Arial"/>
                <w:sz w:val="14"/>
                <w:szCs w:val="14"/>
                <w:color w:val="auto"/>
                <w:w w:val="96"/>
              </w:rPr>
              <w:t>Carrying amount of junior subordinated debt net of</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3"/>
              </w:rPr>
              <w:t>$7,217</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90"/>
              </w:rPr>
              <w:t>$20,619</w:t>
            </w:r>
          </w:p>
        </w:tc>
        <w:tc>
          <w:tcPr>
            <w:tcW w:w="1740" w:type="dxa"/>
            <w:vAlign w:val="bottom"/>
            <w:vMerge w:val="restart"/>
          </w:tcPr>
          <w:p>
            <w:pPr>
              <w:jc w:val="center"/>
              <w:spacing w:after="0"/>
              <w:rPr>
                <w:sz w:val="20"/>
                <w:szCs w:val="20"/>
                <w:color w:val="auto"/>
              </w:rPr>
            </w:pPr>
            <w:r>
              <w:rPr>
                <w:rFonts w:ascii="Arial" w:cs="Arial" w:eastAsia="Arial" w:hAnsi="Arial"/>
                <w:sz w:val="14"/>
                <w:szCs w:val="14"/>
                <w:color w:val="auto"/>
                <w:w w:val="94"/>
              </w:rPr>
              <w:t>$44,827</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94"/>
              </w:rPr>
              <w:t>$15,928</w:t>
            </w:r>
          </w:p>
        </w:tc>
        <w:tc>
          <w:tcPr>
            <w:tcW w:w="0" w:type="dxa"/>
            <w:vAlign w:val="bottom"/>
          </w:tcPr>
          <w:p>
            <w:pPr>
              <w:spacing w:after="0"/>
              <w:rPr>
                <w:sz w:val="1"/>
                <w:szCs w:val="1"/>
                <w:color w:val="auto"/>
              </w:rPr>
            </w:pPr>
          </w:p>
        </w:tc>
      </w:tr>
      <w:tr>
        <w:trPr>
          <w:trHeight w:val="188"/>
        </w:trPr>
        <w:tc>
          <w:tcPr>
            <w:tcW w:w="304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150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Maturity date of junior subordinated debt, unless</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May 24, 2034</w:t>
            </w: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15, 2034</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15, 2036</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15, 2037</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March 15, 2038</w:t>
            </w: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accelerated earlier</w:t>
            </w:r>
          </w:p>
        </w:tc>
        <w:tc>
          <w:tcPr>
            <w:tcW w:w="1500" w:type="dxa"/>
            <w:vAlign w:val="bottom"/>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Trust common stock</w:t>
            </w: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$217</w:t>
            </w:r>
          </w:p>
        </w:tc>
        <w:tc>
          <w:tcPr>
            <w:tcW w:w="1780" w:type="dxa"/>
            <w:vAlign w:val="bottom"/>
          </w:tcPr>
          <w:p>
            <w:pPr>
              <w:jc w:val="center"/>
              <w:spacing w:after="0"/>
              <w:rPr>
                <w:sz w:val="20"/>
                <w:szCs w:val="20"/>
                <w:color w:val="auto"/>
              </w:rPr>
            </w:pPr>
            <w:r>
              <w:rPr>
                <w:rFonts w:ascii="Arial" w:cs="Arial" w:eastAsia="Arial" w:hAnsi="Arial"/>
                <w:sz w:val="14"/>
                <w:szCs w:val="14"/>
                <w:color w:val="auto"/>
                <w:w w:val="89"/>
              </w:rPr>
              <w:t>$464</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$619</w:t>
            </w:r>
          </w:p>
        </w:tc>
        <w:tc>
          <w:tcPr>
            <w:tcW w:w="1740" w:type="dxa"/>
            <w:vAlign w:val="bottom"/>
          </w:tcPr>
          <w:p>
            <w:pPr>
              <w:jc w:val="center"/>
              <w:spacing w:after="0"/>
              <w:rPr>
                <w:sz w:val="20"/>
                <w:szCs w:val="20"/>
                <w:color w:val="auto"/>
              </w:rPr>
            </w:pPr>
            <w:r>
              <w:rPr>
                <w:rFonts w:ascii="Arial" w:cs="Arial" w:eastAsia="Arial" w:hAnsi="Arial"/>
                <w:sz w:val="14"/>
                <w:szCs w:val="14"/>
                <w:color w:val="auto"/>
                <w:w w:val="93"/>
              </w:rPr>
              <w:t>$1,670</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$928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Interest rate, per annum</w:t>
            </w:r>
          </w:p>
        </w:tc>
        <w:tc>
          <w:tcPr>
            <w:tcW w:w="15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Three-Month</w:t>
            </w:r>
          </w:p>
        </w:tc>
        <w:tc>
          <w:tcPr>
            <w:tcW w:w="17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Three-Month</w:t>
            </w:r>
          </w:p>
        </w:tc>
        <w:tc>
          <w:tcPr>
            <w:tcW w:w="15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Three-Month</w:t>
            </w:r>
          </w:p>
        </w:tc>
        <w:tc>
          <w:tcPr>
            <w:tcW w:w="17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Three-Month</w:t>
            </w:r>
          </w:p>
        </w:tc>
        <w:tc>
          <w:tcPr>
            <w:tcW w:w="15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Three-Month</w:t>
            </w:r>
          </w:p>
        </w:tc>
        <w:tc>
          <w:tcPr>
            <w:tcW w:w="0" w:type="dxa"/>
            <w:vAlign w:val="bottom"/>
          </w:tcPr>
          <w:p>
            <w:pPr>
              <w:spacing w:after="0"/>
              <w:rPr>
                <w:sz w:val="1"/>
                <w:szCs w:val="1"/>
                <w:color w:val="auto"/>
              </w:rPr>
            </w:pPr>
          </w:p>
        </w:tc>
      </w:tr>
      <w:tr>
        <w:trPr>
          <w:trHeight w:val="140"/>
        </w:trPr>
        <w:tc>
          <w:tcPr>
            <w:tcW w:w="304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rPr>
              <w:t>LIBOR plus</w:t>
            </w:r>
          </w:p>
        </w:tc>
        <w:tc>
          <w:tcPr>
            <w:tcW w:w="1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LIBOR plus</w:t>
            </w:r>
          </w:p>
        </w:tc>
        <w:tc>
          <w:tcPr>
            <w:tcW w:w="15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LIBOR plus</w:t>
            </w:r>
          </w:p>
        </w:tc>
        <w:tc>
          <w:tcPr>
            <w:tcW w:w="17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LIBOR plus</w:t>
            </w:r>
          </w:p>
        </w:tc>
        <w:tc>
          <w:tcPr>
            <w:tcW w:w="15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rPr>
              <w:t>LIBOR plus</w:t>
            </w: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junior subordinated debt contains certain covenants with which we are in compliance as of December 31, 2022.</w:t>
      </w:r>
    </w:p>
    <w:p>
      <w:pPr>
        <w:spacing w:after="0" w:line="117" w:lineRule="exact"/>
        <w:rPr>
          <w:sz w:val="20"/>
          <w:szCs w:val="20"/>
          <w:color w:val="auto"/>
        </w:rPr>
      </w:pPr>
    </w:p>
    <w:p>
      <w:pPr>
        <w:ind w:right="60" w:firstLine="364"/>
        <w:spacing w:after="0" w:line="275" w:lineRule="auto"/>
        <w:rPr>
          <w:sz w:val="20"/>
          <w:szCs w:val="20"/>
          <w:color w:val="auto"/>
        </w:rPr>
      </w:pPr>
      <w:r>
        <w:rPr>
          <w:rFonts w:ascii="Arial" w:cs="Arial" w:eastAsia="Arial" w:hAnsi="Arial"/>
          <w:sz w:val="17"/>
          <w:szCs w:val="17"/>
          <w:color w:val="auto"/>
        </w:rPr>
        <w:t>At December 31, 2022 and December 31, 2021, the Company's leverage ratio was 22.9% and 31.1%, respectively. The leverage ratio is defined in our senior credit agreements as the ratio of adjusted consolidated debt to total capital. Adjusted consolidated debt treats trust preferred securities as equity capital up to 15% of total capital. Total capital is defined as total debt plus tangible equity excluding accumulated other comprehensive income. The maximum leverage ratio permitted by the agreements is 35.0%. Having debt as part of our capital structure allows us to generate a higher return on equity and greater book value per share results than we could by using equity capital alone.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years ended December 31, 2022, 2021, and 2020 our net premium retention was 50.0%, 49.4% and 51.5%,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Excess and Surplus Lines segment’s ceded reinsurance in place as of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Line of Business</w:t>
            </w:r>
          </w:p>
        </w:tc>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Company Retention</w:t>
            </w:r>
          </w:p>
        </w:tc>
      </w:tr>
      <w:tr>
        <w:trPr>
          <w:trHeight w:val="26"/>
        </w:trPr>
        <w:tc>
          <w:tcPr>
            <w:tcW w:w="37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Casualty</w:t>
            </w:r>
          </w:p>
        </w:tc>
        <w:tc>
          <w:tcPr>
            <w:tcW w:w="360" w:type="dxa"/>
            <w:vAlign w:val="bottom"/>
          </w:tcPr>
          <w:p>
            <w:pPr>
              <w:spacing w:after="0"/>
              <w:rPr>
                <w:sz w:val="19"/>
                <w:szCs w:val="19"/>
                <w:color w:val="auto"/>
              </w:rPr>
            </w:pPr>
          </w:p>
        </w:tc>
        <w:tc>
          <w:tcPr>
            <w:tcW w:w="7080" w:type="dxa"/>
            <w:vAlign w:val="bottom"/>
          </w:tcPr>
          <w:p>
            <w:pPr>
              <w:spacing w:after="0"/>
              <w:rPr>
                <w:sz w:val="19"/>
                <w:szCs w:val="19"/>
                <w:color w:val="auto"/>
              </w:rPr>
            </w:pPr>
          </w:p>
        </w:tc>
      </w:tr>
      <w:tr>
        <w:trPr>
          <w:trHeight w:val="176"/>
        </w:trPr>
        <w:tc>
          <w:tcPr>
            <w:tcW w:w="41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Primary Specialty Casualty, including</w:t>
            </w:r>
          </w:p>
        </w:tc>
        <w:tc>
          <w:tcPr>
            <w:tcW w:w="7080" w:type="dxa"/>
            <w:vAlign w:val="bottom"/>
            <w:shd w:val="clear" w:color="auto" w:fill="CCEEFF"/>
          </w:tcPr>
          <w:p>
            <w:pPr>
              <w:spacing w:after="0"/>
              <w:rPr>
                <w:sz w:val="15"/>
                <w:szCs w:val="15"/>
                <w:color w:val="auto"/>
              </w:rPr>
            </w:pPr>
          </w:p>
        </w:tc>
      </w:tr>
      <w:tr>
        <w:trPr>
          <w:trHeight w:val="243"/>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Professional Liability</w:t>
            </w:r>
          </w:p>
        </w:tc>
        <w:tc>
          <w:tcPr>
            <w:tcW w:w="70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Up to $1.0 million per occurrence, subject to a $1.0 million aggregate deductible.</w:t>
            </w:r>
            <w:r>
              <w:rPr>
                <w:rFonts w:ascii="Arial" w:cs="Arial" w:eastAsia="Arial" w:hAnsi="Arial"/>
                <w:sz w:val="23"/>
                <w:szCs w:val="23"/>
                <w:color w:val="auto"/>
                <w:vertAlign w:val="superscript"/>
              </w:rPr>
              <w:t>(1)</w:t>
            </w:r>
          </w:p>
        </w:tc>
      </w:tr>
      <w:tr>
        <w:trPr>
          <w:trHeight w:val="230"/>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Primary Casualty</w:t>
            </w:r>
          </w:p>
        </w:tc>
        <w:tc>
          <w:tcPr>
            <w:tcW w:w="7080" w:type="dxa"/>
            <w:vAlign w:val="bottom"/>
          </w:tcPr>
          <w:p>
            <w:pPr>
              <w:ind w:left="20"/>
              <w:spacing w:after="0" w:line="230" w:lineRule="exact"/>
              <w:rPr>
                <w:sz w:val="20"/>
                <w:szCs w:val="20"/>
                <w:color w:val="auto"/>
              </w:rPr>
            </w:pPr>
            <w:r>
              <w:rPr>
                <w:rFonts w:ascii="Arial" w:cs="Arial" w:eastAsia="Arial" w:hAnsi="Arial"/>
                <w:sz w:val="18"/>
                <w:szCs w:val="18"/>
                <w:color w:val="auto"/>
              </w:rPr>
              <w:t>Up to $2.0 million per occurrence.</w:t>
            </w:r>
            <w:r>
              <w:rPr>
                <w:rFonts w:ascii="Arial" w:cs="Arial" w:eastAsia="Arial" w:hAnsi="Arial"/>
                <w:sz w:val="23"/>
                <w:szCs w:val="23"/>
                <w:color w:val="auto"/>
                <w:vertAlign w:val="superscript"/>
              </w:rPr>
              <w:t>(2)</w:t>
            </w:r>
          </w:p>
        </w:tc>
      </w:tr>
      <w:tr>
        <w:trPr>
          <w:trHeight w:val="229"/>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Casualty</w:t>
            </w:r>
          </w:p>
        </w:tc>
        <w:tc>
          <w:tcPr>
            <w:tcW w:w="7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Up to $2.0 million per occurrence.</w:t>
            </w:r>
            <w:r>
              <w:rPr>
                <w:rFonts w:ascii="Arial" w:cs="Arial" w:eastAsia="Arial" w:hAnsi="Arial"/>
                <w:sz w:val="23"/>
                <w:szCs w:val="23"/>
                <w:color w:val="auto"/>
                <w:vertAlign w:val="superscript"/>
              </w:rPr>
              <w:t>(3)</w:t>
            </w:r>
          </w:p>
        </w:tc>
      </w:tr>
      <w:tr>
        <w:trPr>
          <w:trHeight w:val="304"/>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7080" w:type="dxa"/>
            <w:vAlign w:val="bottom"/>
          </w:tcPr>
          <w:p>
            <w:pPr>
              <w:ind w:left="20"/>
              <w:spacing w:after="0"/>
              <w:rPr>
                <w:sz w:val="20"/>
                <w:szCs w:val="20"/>
                <w:color w:val="auto"/>
              </w:rPr>
            </w:pPr>
            <w:r>
              <w:rPr>
                <w:rFonts w:ascii="Arial" w:cs="Arial" w:eastAsia="Arial" w:hAnsi="Arial"/>
                <w:sz w:val="18"/>
                <w:szCs w:val="18"/>
                <w:color w:val="auto"/>
              </w:rPr>
              <w:t>Up to $5.0 million per event.</w:t>
            </w:r>
            <w:r>
              <w:rPr>
                <w:rFonts w:ascii="Arial" w:cs="Arial" w:eastAsia="Arial" w:hAnsi="Arial"/>
                <w:sz w:val="23"/>
                <w:szCs w:val="23"/>
                <w:color w:val="auto"/>
                <w:vertAlign w:val="superscript"/>
              </w:rPr>
              <w:t>(4)</w:t>
            </w:r>
          </w:p>
        </w:tc>
      </w:tr>
    </w:tbl>
    <w:p>
      <w:pPr>
        <w:spacing w:after="0" w:line="113"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23" w:lineRule="exact"/>
        <w:rPr>
          <w:rFonts w:ascii="Arial" w:cs="Arial" w:eastAsia="Arial" w:hAnsi="Arial"/>
          <w:sz w:val="18"/>
          <w:szCs w:val="18"/>
          <w:i w:val="1"/>
          <w:iCs w:val="1"/>
          <w:color w:val="auto"/>
        </w:rPr>
      </w:pPr>
    </w:p>
    <w:p>
      <w:pPr>
        <w:ind w:left="400" w:hanging="392"/>
        <w:spacing w:after="0"/>
        <w:tabs>
          <w:tab w:leader="none" w:pos="4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9" w:lineRule="exact"/>
        <w:rPr>
          <w:rFonts w:ascii="Arial" w:cs="Arial" w:eastAsia="Arial" w:hAnsi="Arial"/>
          <w:sz w:val="18"/>
          <w:szCs w:val="18"/>
          <w:i w:val="1"/>
          <w:iCs w:val="1"/>
          <w:color w:val="auto"/>
        </w:rPr>
      </w:pPr>
    </w:p>
    <w:p>
      <w:pPr>
        <w:ind w:left="400" w:hanging="392"/>
        <w:spacing w:after="0"/>
        <w:tabs>
          <w:tab w:leader="none" w:pos="40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$2.0 million.</w:t>
      </w:r>
    </w:p>
    <w:p>
      <w:pPr>
        <w:spacing w:after="0" w:line="20" w:lineRule="exact"/>
        <w:rPr>
          <w:rFonts w:ascii="Arial" w:cs="Arial" w:eastAsia="Arial" w:hAnsi="Arial"/>
          <w:sz w:val="17"/>
          <w:szCs w:val="17"/>
          <w:i w:val="1"/>
          <w:iCs w:val="1"/>
          <w:color w:val="auto"/>
        </w:rPr>
      </w:pPr>
    </w:p>
    <w:p>
      <w:pPr>
        <w:ind w:left="400" w:hanging="392"/>
        <w:spacing w:after="0"/>
        <w:tabs>
          <w:tab w:leader="none" w:pos="4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$55.0 million with one reinstatement.</w:t>
      </w:r>
    </w:p>
    <w:p>
      <w:pPr>
        <w:spacing w:after="0" w:line="103" w:lineRule="exact"/>
        <w:rPr>
          <w:sz w:val="20"/>
          <w:szCs w:val="20"/>
          <w:color w:val="auto"/>
        </w:rPr>
      </w:pPr>
    </w:p>
    <w:p>
      <w:pPr>
        <w:jc w:val="both"/>
        <w:ind w:right="160" w:firstLine="364"/>
        <w:spacing w:after="0" w:line="311"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41" w:lineRule="exact"/>
        <w:rPr>
          <w:sz w:val="20"/>
          <w:szCs w:val="20"/>
          <w:color w:val="auto"/>
        </w:rPr>
      </w:pPr>
    </w:p>
    <w:p>
      <w:pPr>
        <w:ind w:right="120" w:firstLine="36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ind w:right="100" w:firstLine="364"/>
        <w:spacing w:after="0" w:line="259"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at the 1 in 1000 year PML to exhaust our $60.0 million property catastrophe reinsurance. In the event of a catastrophe loss exhausting our $60.0 million property catastrophe reinsurance, we estimate our pre-tax cost would not exceed 2.5% of shareholders’ equity, including reinstatement premiums payable and net retentions. In addition to this retention, we would retain any losses in excess of our reinsurance coverage limits.</w:t>
      </w:r>
    </w:p>
    <w:p>
      <w:pPr>
        <w:spacing w:after="0" w:line="79" w:lineRule="exact"/>
        <w:rPr>
          <w:sz w:val="20"/>
          <w:szCs w:val="20"/>
          <w:color w:val="auto"/>
        </w:rPr>
      </w:pPr>
    </w:p>
    <w:p>
      <w:pPr>
        <w:jc w:val="both"/>
        <w:ind w:right="100" w:firstLine="364"/>
        <w:spacing w:after="0" w:line="263" w:lineRule="auto"/>
        <w:rPr>
          <w:sz w:val="20"/>
          <w:szCs w:val="20"/>
          <w:color w:val="auto"/>
        </w:rPr>
      </w:pPr>
      <w:r>
        <w:rPr>
          <w:rFonts w:ascii="Arial" w:cs="Arial" w:eastAsia="Arial" w:hAnsi="Arial"/>
          <w:sz w:val="18"/>
          <w:szCs w:val="18"/>
          <w:color w:val="auto"/>
        </w:rPr>
        <w:t>On September 27, 2021, James River entered into the Commercial Auto LPT with Aleka to reinsure substantially all of the Excess and Surplus Lines segment’s legacy portfolio of commercial auto policies previously issued to Rasier. See “</w:t>
      </w:r>
      <w:r>
        <w:rPr>
          <w:rFonts w:ascii="Arial" w:cs="Arial" w:eastAsia="Arial" w:hAnsi="Arial"/>
          <w:sz w:val="18"/>
          <w:szCs w:val="18"/>
          <w:i w:val="1"/>
          <w:iCs w:val="1"/>
          <w:color w:val="auto"/>
        </w:rPr>
        <w:t>Amounts Recoverable from an Indemnifying Party and Reinsurer</w:t>
      </w:r>
      <w:r>
        <w:rPr>
          <w:rFonts w:ascii="Arial" w:cs="Arial" w:eastAsia="Arial" w:hAnsi="Arial"/>
          <w:sz w:val="18"/>
          <w:szCs w:val="18"/>
          <w:color w:val="auto"/>
        </w:rPr>
        <w:t xml:space="preserve"> </w:t>
      </w:r>
      <w:r>
        <w:rPr>
          <w:rFonts w:ascii="Arial" w:cs="Arial" w:eastAsia="Arial" w:hAnsi="Arial"/>
          <w:sz w:val="18"/>
          <w:szCs w:val="18"/>
          <w:i w:val="1"/>
          <w:iCs w:val="1"/>
          <w:color w:val="auto"/>
        </w:rPr>
        <w:t>on the Legacy Commercial Auto Book</w:t>
      </w:r>
      <w:r>
        <w:rPr>
          <w:rFonts w:ascii="Arial" w:cs="Arial" w:eastAsia="Arial" w:hAnsi="Arial"/>
          <w:sz w:val="18"/>
          <w:szCs w:val="18"/>
          <w:color w:val="auto"/>
        </w:rPr>
        <w:t>” below for further information on this reinsurance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4" w:name="page95"/>
    <w:bookmarkEnd w:id="9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180"/>
              <w:spacing w:after="0"/>
              <w:rPr>
                <w:sz w:val="20"/>
                <w:szCs w:val="20"/>
                <w:color w:val="auto"/>
              </w:rPr>
            </w:pPr>
            <w:r>
              <w:rPr>
                <w:rFonts w:ascii="Arial" w:cs="Arial" w:eastAsia="Arial" w:hAnsi="Arial"/>
                <w:sz w:val="14"/>
                <w:szCs w:val="14"/>
                <w:b w:val="1"/>
                <w:bCs w:val="1"/>
                <w:color w:val="auto"/>
              </w:rPr>
              <w:t>Line of Business</w:t>
            </w:r>
          </w:p>
        </w:tc>
        <w:tc>
          <w:tcPr>
            <w:tcW w:w="7420" w:type="dxa"/>
            <w:vAlign w:val="bottom"/>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6"/>
        </w:trPr>
        <w:tc>
          <w:tcPr>
            <w:tcW w:w="33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Casualty</w:t>
            </w:r>
          </w:p>
        </w:tc>
        <w:tc>
          <w:tcPr>
            <w:tcW w:w="42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176"/>
        </w:trPr>
        <w:tc>
          <w:tcPr>
            <w:tcW w:w="378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Quota share coverage for 65.5% of the first $1.0 million.</w:t>
            </w:r>
            <w:r>
              <w:rPr>
                <w:rFonts w:ascii="Arial" w:cs="Arial" w:eastAsia="Arial" w:hAnsi="Arial"/>
                <w:sz w:val="20"/>
                <w:szCs w:val="20"/>
                <w:color w:val="auto"/>
                <w:vertAlign w:val="superscript"/>
              </w:rPr>
              <w:t>(1)(2)</w:t>
            </w:r>
          </w:p>
        </w:tc>
      </w:tr>
      <w:tr>
        <w:trPr>
          <w:trHeight w:val="243"/>
        </w:trPr>
        <w:tc>
          <w:tcPr>
            <w:tcW w:w="3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3"/>
                <w:szCs w:val="23"/>
                <w:color w:val="auto"/>
                <w:vertAlign w:val="superscript"/>
              </w:rPr>
              <w:t>(1)(2)</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Auto Programs</w:t>
            </w:r>
          </w:p>
        </w:tc>
        <w:tc>
          <w:tcPr>
            <w:tcW w:w="7420" w:type="dxa"/>
            <w:vAlign w:val="bottom"/>
          </w:tcPr>
          <w:p>
            <w:pPr>
              <w:ind w:left="20"/>
              <w:spacing w:after="0" w:line="176" w:lineRule="exact"/>
              <w:rPr>
                <w:sz w:val="20"/>
                <w:szCs w:val="20"/>
                <w:color w:val="auto"/>
              </w:rPr>
            </w:pPr>
            <w:r>
              <w:rPr>
                <w:rFonts w:ascii="Arial" w:cs="Arial" w:eastAsia="Arial" w:hAnsi="Arial"/>
                <w:sz w:val="18"/>
                <w:szCs w:val="18"/>
                <w:color w:val="auto"/>
                <w:w w:val="97"/>
              </w:rPr>
              <w:t>Quota share coverage for 62.5-90% of limits up to $1.5 million liability and $7.5 million physical</w:t>
            </w:r>
          </w:p>
        </w:tc>
      </w:tr>
      <w:tr>
        <w:trPr>
          <w:trHeight w:val="237"/>
        </w:trPr>
        <w:tc>
          <w:tcPr>
            <w:tcW w:w="3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damage per occurrence.</w:t>
            </w:r>
          </w:p>
        </w:tc>
      </w:tr>
      <w:tr>
        <w:trPr>
          <w:trHeight w:val="182"/>
        </w:trPr>
        <w:tc>
          <w:tcPr>
            <w:tcW w:w="378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General Liability &amp; Professional Liability –</w:t>
            </w:r>
          </w:p>
        </w:tc>
        <w:tc>
          <w:tcPr>
            <w:tcW w:w="74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Quota share coverage for 62.5%-100% of limits up to $3.0 million per occurrence.</w:t>
            </w:r>
          </w:p>
        </w:tc>
      </w:tr>
      <w:tr>
        <w:trPr>
          <w:trHeight w:val="243"/>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Programs</w:t>
            </w:r>
          </w:p>
        </w:tc>
        <w:tc>
          <w:tcPr>
            <w:tcW w:w="7420" w:type="dxa"/>
            <w:vAlign w:val="bottom"/>
            <w:shd w:val="clear" w:color="auto" w:fill="CCEEFF"/>
          </w:tcPr>
          <w:p>
            <w:pPr>
              <w:spacing w:after="0"/>
              <w:rPr>
                <w:sz w:val="21"/>
                <w:szCs w:val="21"/>
                <w:color w:val="auto"/>
              </w:rPr>
            </w:pPr>
          </w:p>
        </w:tc>
      </w:tr>
      <w:tr>
        <w:trPr>
          <w:trHeight w:val="175"/>
        </w:trPr>
        <w:tc>
          <w:tcPr>
            <w:tcW w:w="37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20"/>
              <w:spacing w:after="0" w:line="176" w:lineRule="exact"/>
              <w:rPr>
                <w:sz w:val="20"/>
                <w:szCs w:val="20"/>
                <w:color w:val="auto"/>
              </w:rPr>
            </w:pPr>
            <w:r>
              <w:rPr>
                <w:rFonts w:ascii="Arial" w:cs="Arial" w:eastAsia="Arial" w:hAnsi="Arial"/>
                <w:sz w:val="18"/>
                <w:szCs w:val="18"/>
                <w:color w:val="auto"/>
                <w:w w:val="90"/>
              </w:rPr>
              <w:t>Quota share coverage for at least 65% of limits up to $10.0 million per occurrence, and 75% of excess</w:t>
            </w:r>
          </w:p>
        </w:tc>
      </w:tr>
      <w:tr>
        <w:trPr>
          <w:trHeight w:val="237"/>
        </w:trPr>
        <w:tc>
          <w:tcPr>
            <w:tcW w:w="3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of loss coverage for $5.0 million in excess of $10.0 million.</w:t>
            </w:r>
          </w:p>
        </w:tc>
      </w:tr>
      <w:tr>
        <w:trPr>
          <w:trHeight w:val="23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20" w:type="dxa"/>
            <w:vAlign w:val="bottom"/>
            <w:shd w:val="clear" w:color="auto" w:fill="CCEEFF"/>
          </w:tcPr>
          <w:p>
            <w:pPr>
              <w:spacing w:after="0"/>
              <w:rPr>
                <w:sz w:val="20"/>
                <w:szCs w:val="20"/>
                <w:color w:val="auto"/>
              </w:rPr>
            </w:pPr>
          </w:p>
        </w:tc>
      </w:tr>
      <w:tr>
        <w:trPr>
          <w:trHeight w:val="229"/>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Property within Package - Programs</w:t>
            </w:r>
          </w:p>
        </w:tc>
        <w:tc>
          <w:tcPr>
            <w:tcW w:w="7420" w:type="dxa"/>
            <w:vAlign w:val="bottom"/>
          </w:tcPr>
          <w:p>
            <w:pPr>
              <w:ind w:left="20"/>
              <w:spacing w:after="0"/>
              <w:rPr>
                <w:sz w:val="20"/>
                <w:szCs w:val="20"/>
                <w:color w:val="auto"/>
              </w:rPr>
            </w:pPr>
            <w:r>
              <w:rPr>
                <w:rFonts w:ascii="Arial" w:cs="Arial" w:eastAsia="Arial" w:hAnsi="Arial"/>
                <w:sz w:val="18"/>
                <w:szCs w:val="18"/>
                <w:color w:val="auto"/>
              </w:rPr>
              <w:t>Quota share coverage for 100% of limits up to $40.0 million per occurrence.</w:t>
            </w:r>
          </w:p>
        </w:tc>
      </w:tr>
      <w:tr>
        <w:trPr>
          <w:trHeight w:val="23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$16.9 million.</w:t>
            </w: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Catastrophe Coverage</w:t>
            </w:r>
          </w:p>
        </w:tc>
        <w:tc>
          <w:tcPr>
            <w:tcW w:w="7420" w:type="dxa"/>
            <w:vAlign w:val="bottom"/>
          </w:tcPr>
          <w:p>
            <w:pPr>
              <w:ind w:left="20"/>
              <w:spacing w:after="0"/>
              <w:rPr>
                <w:sz w:val="20"/>
                <w:szCs w:val="20"/>
                <w:color w:val="auto"/>
              </w:rPr>
            </w:pPr>
            <w:r>
              <w:rPr>
                <w:rFonts w:ascii="Arial" w:cs="Arial" w:eastAsia="Arial" w:hAnsi="Arial"/>
                <w:sz w:val="18"/>
                <w:szCs w:val="18"/>
                <w:color w:val="auto"/>
              </w:rPr>
              <w:t>Excess of Loss coverage for $59.0 million in excess of $1.0 million per occurrence.</w:t>
            </w:r>
          </w:p>
        </w:tc>
      </w:tr>
      <w:tr>
        <w:trPr>
          <w:trHeight w:val="215"/>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80% of limits up to $20 million liability and $2.5 million hull per</w:t>
            </w:r>
          </w:p>
        </w:tc>
      </w:tr>
      <w:tr>
        <w:trPr>
          <w:trHeight w:val="216"/>
        </w:trPr>
        <w:tc>
          <w:tcPr>
            <w:tcW w:w="3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occurrence, each aircraft; and excess of loss coverage for up to $8.7 million excess of $300,000 of our</w:t>
            </w:r>
          </w:p>
        </w:tc>
      </w:tr>
      <w:tr>
        <w:trPr>
          <w:trHeight w:val="244"/>
        </w:trPr>
        <w:tc>
          <w:tcPr>
            <w:tcW w:w="3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 share of the quota share each occurrence.</w:t>
            </w:r>
          </w:p>
        </w:tc>
      </w:tr>
    </w:tbl>
    <w:p>
      <w:pPr>
        <w:spacing w:after="0" w:line="188" w:lineRule="exact"/>
        <w:rPr>
          <w:sz w:val="20"/>
          <w:szCs w:val="20"/>
          <w:color w:val="auto"/>
        </w:rPr>
      </w:pPr>
    </w:p>
    <w:p>
      <w:pPr>
        <w:ind w:left="340" w:hanging="332"/>
        <w:spacing w:after="0" w:line="277" w:lineRule="auto"/>
        <w:tabs>
          <w:tab w:leader="none" w:pos="408"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84% of the first $1.0 million per occurrence and excess of loss coverage for $49.0 million in excess of $1.0 million per occurrence.</w:t>
      </w:r>
    </w:p>
    <w:p>
      <w:pPr>
        <w:spacing w:after="0" w:line="8" w:lineRule="exact"/>
        <w:rPr>
          <w:rFonts w:ascii="Arial" w:cs="Arial" w:eastAsia="Arial" w:hAnsi="Arial"/>
          <w:sz w:val="18"/>
          <w:szCs w:val="18"/>
          <w:i w:val="1"/>
          <w:iCs w:val="1"/>
          <w:color w:val="auto"/>
        </w:rPr>
      </w:pPr>
    </w:p>
    <w:p>
      <w:pPr>
        <w:ind w:left="400" w:hanging="392"/>
        <w:spacing w:after="0"/>
        <w:tabs>
          <w:tab w:leader="none" w:pos="40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7" w:lineRule="exact"/>
        <w:rPr>
          <w:sz w:val="20"/>
          <w:szCs w:val="20"/>
          <w:color w:val="auto"/>
        </w:rPr>
      </w:pPr>
    </w:p>
    <w:p>
      <w:pPr>
        <w:ind w:right="20" w:firstLine="36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$59.0 million in excess of $1.0 million per occurrence to manage its property exposure to an approximate 1 in 1,000 year PML.</w:t>
      </w:r>
    </w:p>
    <w:p>
      <w:pPr>
        <w:spacing w:after="0" w:line="63" w:lineRule="exact"/>
        <w:rPr>
          <w:sz w:val="20"/>
          <w:szCs w:val="20"/>
          <w:color w:val="auto"/>
        </w:rPr>
      </w:pPr>
    </w:p>
    <w:p>
      <w:pPr>
        <w:ind w:right="220" w:firstLine="364"/>
        <w:spacing w:after="0" w:line="263" w:lineRule="auto"/>
        <w:rPr>
          <w:sz w:val="20"/>
          <w:szCs w:val="20"/>
          <w:color w:val="auto"/>
        </w:rPr>
      </w:pPr>
      <w:r>
        <w:rPr>
          <w:rFonts w:ascii="Arial" w:cs="Arial" w:eastAsia="Arial" w:hAnsi="Arial"/>
          <w:sz w:val="18"/>
          <w:szCs w:val="18"/>
          <w:color w:val="auto"/>
        </w:rPr>
        <w:t>In our Casualty Reinsurance segment, we also have limited property catastrophe exposure on treaties in run-off, primarily through auto physical damage coverage. In the aggregate, we believe our pre-tax group-wide PML from a 1 in 1,000 year property catastrophe event would not exceed 2.5% of shareholders’ equity, inclusive of reinstatement premiums payable.</w:t>
      </w:r>
    </w:p>
    <w:p>
      <w:pPr>
        <w:spacing w:after="0" w:line="7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On February 23, 2022, JRG Re entered into the Casualty Re LPT with FRL to reinsure the majority of the segment risk, which closed on March 31, 2022. See “</w:t>
      </w:r>
      <w:r>
        <w:rPr>
          <w:rFonts w:ascii="Arial" w:cs="Arial" w:eastAsia="Arial" w:hAnsi="Arial"/>
          <w:sz w:val="18"/>
          <w:szCs w:val="18"/>
          <w:i w:val="1"/>
          <w:iCs w:val="1"/>
          <w:color w:val="auto"/>
        </w:rPr>
        <w:t>Strategic Actions – Loss Portfolio Transfers - Casualty Re Loss Portfolio Transfer”</w:t>
      </w:r>
      <w:r>
        <w:rPr>
          <w:rFonts w:ascii="Arial" w:cs="Arial" w:eastAsia="Arial" w:hAnsi="Arial"/>
          <w:sz w:val="18"/>
          <w:szCs w:val="18"/>
          <w:color w:val="auto"/>
        </w:rPr>
        <w:t xml:space="preserve"> above for further information on this retrocession agreement.</w:t>
      </w:r>
    </w:p>
    <w:p>
      <w:pPr>
        <w:spacing w:after="0" w:line="7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We also had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covered $10.0 million in excess of a $2.0 million retention for loss occurrences within the treaty term. This coverage was put into runoff effective July 1, 2022. As of December 31, 2022, our average net retained limit per risk is $2.5 million.</w:t>
      </w:r>
    </w:p>
    <w:p>
      <w:pPr>
        <w:spacing w:after="0" w:line="79"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Effective January 1, 2020, we purchased an additional $10.0 million in claims made coverage for excess policy limits and extra contractual obligations exposures above the clash and contingency treaty for the period 2014 to present. This treaty had one reinstatement and expired on December 31, 2022.</w:t>
      </w:r>
    </w:p>
    <w:p>
      <w:pPr>
        <w:spacing w:after="0" w:line="16" w:lineRule="exact"/>
        <w:rPr>
          <w:sz w:val="20"/>
          <w:szCs w:val="20"/>
          <w:color w:val="auto"/>
        </w:rPr>
      </w:pPr>
    </w:p>
    <w:p>
      <w:pPr>
        <w:ind w:right="100" w:firstLine="364"/>
        <w:spacing w:after="0" w:line="270"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December 31, 2022, the allowance for credit losses on reinsurance recoverables was $612,000.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regard to insurance companies who act as reinsurers for us in such arrangements. We customarily require a collateral trust arrangement to secure the obligations of the insurance entity for whom we are fronting.</w:t>
      </w:r>
    </w:p>
    <w:p>
      <w:pPr>
        <w:spacing w:after="0" w:line="62" w:lineRule="exact"/>
        <w:rPr>
          <w:sz w:val="20"/>
          <w:szCs w:val="20"/>
          <w:color w:val="auto"/>
        </w:rPr>
      </w:pPr>
    </w:p>
    <w:p>
      <w:pPr>
        <w:jc w:val="both"/>
        <w:ind w:right="420" w:firstLine="364"/>
        <w:spacing w:after="0" w:line="311" w:lineRule="auto"/>
        <w:rPr>
          <w:sz w:val="20"/>
          <w:szCs w:val="20"/>
          <w:color w:val="auto"/>
        </w:rPr>
      </w:pPr>
      <w:r>
        <w:rPr>
          <w:rFonts w:ascii="Arial" w:cs="Arial" w:eastAsia="Arial" w:hAnsi="Arial"/>
          <w:sz w:val="16"/>
          <w:szCs w:val="16"/>
          <w:color w:val="auto"/>
        </w:rPr>
        <w:t>At December 31, 2022, we had reinsurance recoverables on unpaid losses of $1,520.1 million (net of a $612,000 allowance for credit losses) and reinsurance recoverables on paid losses of $114.2 million, and all material recoverable amounts were from companies with A.M. Best ratings of “A-" (Excellent) or better, or are collateralized by the reinsurer for our benefit through letters of credit or funds on deposit in trust accounts.</w:t>
      </w:r>
    </w:p>
    <w:p>
      <w:pPr>
        <w:spacing w:after="0" w:line="41" w:lineRule="exact"/>
        <w:rPr>
          <w:sz w:val="20"/>
          <w:szCs w:val="20"/>
          <w:color w:val="auto"/>
        </w:rPr>
      </w:pPr>
    </w:p>
    <w:p>
      <w:pPr>
        <w:ind w:right="480" w:firstLine="364"/>
        <w:spacing w:after="0" w:line="277" w:lineRule="auto"/>
        <w:rPr>
          <w:sz w:val="20"/>
          <w:szCs w:val="20"/>
          <w:color w:val="auto"/>
        </w:rPr>
      </w:pPr>
      <w:r>
        <w:rPr>
          <w:rFonts w:ascii="Arial" w:cs="Arial" w:eastAsia="Arial" w:hAnsi="Arial"/>
          <w:sz w:val="18"/>
          <w:szCs w:val="18"/>
          <w:color w:val="auto"/>
        </w:rPr>
        <w:t>The following table sets forth our most significant reinsurers by amount of reinsurance recoverables and the amount of reinsurance recoverables pertaining to each such reinsurer as well as its A.M. Best rating as of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Reinsurance</w:t>
            </w: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 Best Rating</w:t>
            </w:r>
          </w:p>
        </w:tc>
        <w:tc>
          <w:tcPr>
            <w:tcW w:w="0" w:type="dxa"/>
            <w:vAlign w:val="bottom"/>
          </w:tcPr>
          <w:p>
            <w:pPr>
              <w:spacing w:after="0"/>
              <w:rPr>
                <w:sz w:val="1"/>
                <w:szCs w:val="1"/>
                <w:color w:val="auto"/>
              </w:rPr>
            </w:pPr>
          </w:p>
        </w:tc>
      </w:tr>
      <w:tr>
        <w:trPr>
          <w:trHeight w:val="144"/>
        </w:trPr>
        <w:tc>
          <w:tcPr>
            <w:tcW w:w="8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Reinsurer</w:t>
            </w:r>
          </w:p>
        </w:tc>
        <w:tc>
          <w:tcPr>
            <w:tcW w:w="160" w:type="dxa"/>
            <w:vAlign w:val="bottom"/>
          </w:tcPr>
          <w:p>
            <w:pPr>
              <w:spacing w:after="0"/>
              <w:rPr>
                <w:sz w:val="12"/>
                <w:szCs w:val="12"/>
                <w:color w:val="auto"/>
              </w:rPr>
            </w:pPr>
          </w:p>
        </w:tc>
        <w:tc>
          <w:tcPr>
            <w:tcW w:w="142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auto"/>
                <w:w w:val="90"/>
              </w:rPr>
              <w:t>Recoverable as of</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82"/>
        </w:trPr>
        <w:tc>
          <w:tcPr>
            <w:tcW w:w="8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Swiss Reinsurance America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340,393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Fortitude Re (Casualty Re LPT)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244,657</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Aleka Insurance Company (Commercial Auto LPT)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Unrated</w:t>
            </w:r>
            <w:r>
              <w:rPr>
                <w:rFonts w:ascii="Arial" w:cs="Arial" w:eastAsia="Arial" w:hAnsi="Arial"/>
                <w:sz w:val="23"/>
                <w:szCs w:val="23"/>
                <w:color w:val="auto"/>
                <w:w w:val="86"/>
                <w:vertAlign w:val="superscript"/>
              </w:rPr>
              <w:t>(1)</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Berkley Insurance Company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130,860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Hannover Ruck 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Safety National Casualty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46,769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A++</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Endurance Assurance Corporation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American European Insurance Company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38,891</w:t>
            </w:r>
          </w:p>
        </w:tc>
        <w:tc>
          <w:tcPr>
            <w:tcW w:w="100" w:type="dxa"/>
            <w:vAlign w:val="bottom"/>
          </w:tcPr>
          <w:p>
            <w:pPr>
              <w:spacing w:after="0"/>
              <w:rPr>
                <w:sz w:val="19"/>
                <w:szCs w:val="19"/>
                <w:color w:val="auto"/>
              </w:rPr>
            </w:pPr>
          </w:p>
        </w:tc>
        <w:tc>
          <w:tcPr>
            <w:tcW w:w="144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B</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Munich Reinsurance America</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Aioi Nissay Dowa Insurance Company</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Top 10 Total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431,148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1,520,113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50749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74920" cy="154305"/>
                    </a:xfrm>
                    <a:prstGeom prst="rect">
                      <a:avLst/>
                    </a:prstGeom>
                    <a:noFill/>
                  </pic:spPr>
                </pic:pic>
              </a:graphicData>
            </a:graphic>
          </wp:anchor>
        </w:drawing>
      </w:r>
    </w:p>
    <w:p>
      <w:pPr>
        <w:spacing w:after="0" w:line="168"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This reinsurer is unrated. All material reinsurance amounts from this reinsurer are collateralized.</w:t>
      </w:r>
    </w:p>
    <w:p>
      <w:pPr>
        <w:spacing w:after="0" w:line="117" w:lineRule="exact"/>
        <w:rPr>
          <w:rFonts w:ascii="Arial" w:cs="Arial" w:eastAsia="Arial" w:hAnsi="Arial"/>
          <w:sz w:val="18"/>
          <w:szCs w:val="18"/>
          <w:i w:val="1"/>
          <w:iCs w:val="1"/>
          <w:color w:val="auto"/>
        </w:rPr>
      </w:pPr>
    </w:p>
    <w:p>
      <w:pPr>
        <w:ind w:left="400" w:hanging="392"/>
        <w:spacing w:after="0"/>
        <w:tabs>
          <w:tab w:leader="none" w:pos="4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This reinsurer is below A-. All material reinsurance recoverable amounts from this reinsurer are collateralized.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7" w:lineRule="exact"/>
        <w:rPr>
          <w:sz w:val="20"/>
          <w:szCs w:val="20"/>
          <w:color w:val="auto"/>
        </w:rPr>
      </w:pPr>
    </w:p>
    <w:p>
      <w:pPr>
        <w:ind w:right="60" w:firstLine="364"/>
        <w:spacing w:after="0" w:line="288" w:lineRule="auto"/>
        <w:rPr>
          <w:sz w:val="20"/>
          <w:szCs w:val="20"/>
          <w:color w:val="auto"/>
        </w:rPr>
      </w:pPr>
      <w:r>
        <w:rPr>
          <w:rFonts w:ascii="Arial" w:cs="Arial" w:eastAsia="Arial" w:hAnsi="Arial"/>
          <w:sz w:val="16"/>
          <w:szCs w:val="16"/>
          <w:color w:val="auto"/>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For the year ended December 31, 2022, due to adverse paid loss trends on the legacy Rasier business, the Company recognized adverse prior year development of $46.7 million on the reserves subject to the Commercial Auto LPT, bringing the cumulative amount ceded under the Commercial Auto LPT to $391.8 million at December 31, 2022.</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Commercial Auto LPT:</w:t>
      </w:r>
    </w:p>
    <w:p>
      <w:pPr>
        <w:spacing w:after="0" w:line="117" w:lineRule="exact"/>
        <w:rPr>
          <w:sz w:val="20"/>
          <w:szCs w:val="20"/>
          <w:color w:val="auto"/>
        </w:rPr>
      </w:pPr>
    </w:p>
    <w:p>
      <w:pPr>
        <w:ind w:right="60" w:firstLine="372"/>
        <w:spacing w:after="0" w:line="272" w:lineRule="auto"/>
        <w:tabs>
          <w:tab w:leader="none" w:pos="6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2022, the balance in the Indemnity Trust was $267.0 million, and, together with the balance of the Loss Fund Trust (as defined below) attributable to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Indemnity Agreements as described below, the total balance of collateral securing Rasier’s obligations under the Indemnity Agreements was $336.2 million.</w:t>
      </w:r>
    </w:p>
    <w:p>
      <w:pPr>
        <w:spacing w:after="0" w:line="62" w:lineRule="exact"/>
        <w:rPr>
          <w:sz w:val="20"/>
          <w:szCs w:val="20"/>
          <w:color w:val="auto"/>
        </w:rPr>
      </w:pPr>
    </w:p>
    <w:p>
      <w:pPr>
        <w:ind w:right="40" w:firstLine="372"/>
        <w:spacing w:after="0" w:line="254" w:lineRule="auto"/>
        <w:tabs>
          <w:tab w:leader="none" w:pos="6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Pursuant to the Commercial Auto LPT, Aleka is required to post collateral equal to 102% of James River's estimate of Aleka's obligations under the Commercial Auto LPT, calculated in accordance with standard actuarial principles and based on reserves recorded in our statutory financial statements. The collateral is provided through a collateral trust arrangement (the “LPT Trust”) established in favor of James River by Aleka. At December 31, 2022, the balance in the LPT Trust was $121.9 million, and, together with the balance of the Loss Fund Trust (as defined below) attributable to the Commercial Auto LPT as described below, the total balance of collateral securing Aleka’s obligations under the Commercial Auto LPT was $150.0 million. At December 31, 2022, the total reinsurance recoverables under the Commercial Auto LPT was $145.2 million (including $132.0 million of unpaid recoverables and $13.2 million of paid recoverables).</w:t>
      </w:r>
    </w:p>
    <w:p>
      <w:pPr>
        <w:spacing w:after="0" w:line="87" w:lineRule="exact"/>
        <w:rPr>
          <w:sz w:val="20"/>
          <w:szCs w:val="20"/>
          <w:color w:val="auto"/>
        </w:rPr>
      </w:pPr>
    </w:p>
    <w:p>
      <w:pPr>
        <w:ind w:right="40" w:firstLine="364"/>
        <w:spacing w:after="0" w:line="288" w:lineRule="auto"/>
        <w:rPr>
          <w:sz w:val="20"/>
          <w:szCs w:val="20"/>
          <w:color w:val="auto"/>
        </w:rPr>
      </w:pPr>
      <w:r>
        <w:rPr>
          <w:rFonts w:ascii="Arial" w:cs="Arial" w:eastAsia="Arial" w:hAnsi="Arial"/>
          <w:sz w:val="16"/>
          <w:szCs w:val="16"/>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2022, the balance in the Loss Fund Trust was $103.2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w:t>
      </w:r>
    </w:p>
    <w:p>
      <w:pPr>
        <w:spacing w:after="0" w:line="60" w:lineRule="exact"/>
        <w:rPr>
          <w:sz w:val="20"/>
          <w:szCs w:val="20"/>
          <w:color w:val="auto"/>
        </w:rPr>
      </w:pPr>
    </w:p>
    <w:p>
      <w:pPr>
        <w:ind w:firstLine="364"/>
        <w:spacing w:after="0" w:line="291" w:lineRule="auto"/>
        <w:rPr>
          <w:sz w:val="20"/>
          <w:szCs w:val="20"/>
          <w:color w:val="auto"/>
        </w:rPr>
      </w:pPr>
      <w:r>
        <w:rPr>
          <w:rFonts w:ascii="Arial" w:cs="Arial" w:eastAsia="Arial" w:hAnsi="Arial"/>
          <w:sz w:val="16"/>
          <w:szCs w:val="16"/>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121" w:lineRule="exact"/>
        <w:rPr>
          <w:sz w:val="20"/>
          <w:szCs w:val="20"/>
          <w:color w:val="auto"/>
        </w:rPr>
      </w:pPr>
    </w:p>
    <w:p>
      <w:pPr>
        <w:ind w:firstLine="364"/>
        <w:spacing w:after="0" w:line="287" w:lineRule="auto"/>
        <w:rPr>
          <w:sz w:val="20"/>
          <w:szCs w:val="20"/>
          <w:color w:val="auto"/>
        </w:rPr>
      </w:pPr>
      <w:r>
        <w:rPr>
          <w:rFonts w:ascii="Arial" w:cs="Arial" w:eastAsia="Arial" w:hAnsi="Arial"/>
          <w:sz w:val="16"/>
          <w:szCs w:val="16"/>
          <w:color w:val="auto"/>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On May 7, 2021, following the Company's announcement of $168.7 million of further adverse development in the first quarter of 2021 on reserves for losses and loss adjustment expenses in our Excess and Surplus Lines segment, inclusive of $170.0 million of unfavorable development in our commercial auto business, A.M. Best announced a downgrade of our financial strength rating to “A-” (Excellent) and maintained a negative outlook on our regulated insurance subsidiaries. The Company's outlook was upgraded to stable by A.M. Best in the third quarter of 2021 following the closing of the Commercial Auto LPT which reinsures substantially all of the legacy commercial auto business.</w:t>
      </w:r>
    </w:p>
    <w:p>
      <w:pPr>
        <w:spacing w:after="0" w:line="60"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117"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Company issued 97,171 common shares in the twelve months ended December 31, 2022 related to vesting of restricted share units (“RSUs”), increasing the total common shares outstanding from 37,373,066 at December 31, 2021 to 37,470,237 at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years ended December 31, 2022, 2021, and 2020, the Company recognized $8.1 million, $6.7 million and $7.6 million, respectively, of share based compensation expense. As of December 31, 2022, the Company had $11.2 million of unrecognized share based compensation expense expected to be charged to earnings over a weighted-average period of 1.8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option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7"/>
              <w:spacing w:after="0" w:line="13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7"/>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7"/>
              <w:spacing w:after="0" w:line="13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6"/>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(48,552)</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Pr>
          <w:p>
            <w:pPr>
              <w:ind w:left="20"/>
              <w:spacing w:after="0" w:line="203" w:lineRule="exact"/>
              <w:rPr>
                <w:sz w:val="20"/>
                <w:szCs w:val="20"/>
                <w:color w:val="auto"/>
              </w:rPr>
            </w:pPr>
            <w:r>
              <w:rPr>
                <w:rFonts w:ascii="Arial" w:cs="Arial" w:eastAsia="Arial" w:hAnsi="Arial"/>
                <w:sz w:val="18"/>
                <w:szCs w:val="18"/>
                <w:color w:val="auto"/>
              </w:rPr>
              <w:t>Exercisable, end of year</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35.26</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287,974</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35.26</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vested over three years and have a contractual life of seven years from the original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RSU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9"/>
        </w:trPr>
        <w:tc>
          <w:tcPr>
            <w:tcW w:w="2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8"/>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3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
        </w:trPr>
        <w:tc>
          <w:tcPr>
            <w:tcW w:w="2780" w:type="dxa"/>
            <w:vAlign w:val="bottom"/>
            <w:vMerge w:val="restart"/>
          </w:tcPr>
          <w:p>
            <w:pPr>
              <w:ind w:left="20"/>
              <w:spacing w:after="0"/>
              <w:rPr>
                <w:sz w:val="20"/>
                <w:szCs w:val="20"/>
                <w:color w:val="auto"/>
              </w:rPr>
            </w:pPr>
            <w:r>
              <w:rPr>
                <w:rFonts w:ascii="Arial" w:cs="Arial" w:eastAsia="Arial" w:hAnsi="Arial"/>
                <w:sz w:val="18"/>
                <w:szCs w:val="18"/>
                <w:color w:val="auto"/>
              </w:rPr>
              <w:t>Unvested, beginning of year</w:t>
            </w: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80" w:type="dxa"/>
            <w:vAlign w:val="bottom"/>
            <w:vMerge w:val="continue"/>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292,135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399,856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340,368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560,680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272,608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(147,530)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(194,157)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(165,344)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Unvested, end of year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665,458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Outstanding RSUs granted to employees generally vest ratably over a three year vesting period. RSUs granted to non-employee directors have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believe the cash generating capability of our operations, together with our revolving credit facilities, and ability to raise capital through future equity offerings, will be adequate to meet our short and long-term cash requirements and provide the financial strength necessary to support our business growth.</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illustrates our material cash requirements by due date as of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2024-2025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2026-2027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Thereafter</w:t>
            </w:r>
          </w:p>
        </w:tc>
      </w:tr>
      <w:tr>
        <w:trPr>
          <w:trHeight w:val="182"/>
        </w:trPr>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Reserve for losses and loss adjustment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199,802</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Junior subordinated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104,055</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on debt obligations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85,723</w:t>
            </w: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426,080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The reserve for losses and loss adjustment expenses represent management’s estimate of the ultimate cost of settling losses. As more fully discussed in “—Critical Accounting Policies—Reserves for Losses and Loss Adjustment Expenses” above, the estimation of losses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in any such period can be significantly different from the amounts disclosed above.</w:t>
      </w:r>
    </w:p>
    <w:p>
      <w:pPr>
        <w:spacing w:after="0" w:line="69" w:lineRule="exact"/>
        <w:rPr>
          <w:sz w:val="20"/>
          <w:szCs w:val="20"/>
          <w:color w:val="auto"/>
        </w:rPr>
      </w:pPr>
    </w:p>
    <w:p>
      <w:pPr>
        <w:ind w:right="220" w:firstLine="364"/>
        <w:spacing w:after="0" w:line="263" w:lineRule="auto"/>
        <w:rPr>
          <w:sz w:val="20"/>
          <w:szCs w:val="20"/>
          <w:color w:val="auto"/>
        </w:rPr>
      </w:pPr>
      <w:r>
        <w:rPr>
          <w:rFonts w:ascii="Arial" w:cs="Arial" w:eastAsia="Arial" w:hAnsi="Arial"/>
          <w:sz w:val="18"/>
          <w:szCs w:val="18"/>
          <w:color w:val="auto"/>
        </w:rPr>
        <w:t>The amounts in the above table represent our gross estimates of known liabilities as of December 31, 2022 and do not include any allowance for claims for future events within the time period specified. Accordingly, it is highly likely that the total amounts paid out in the time periods shown will be greater than those indicated in the table.</w:t>
      </w:r>
    </w:p>
    <w:p>
      <w:pPr>
        <w:spacing w:after="0" w:line="76" w:lineRule="exact"/>
        <w:rPr>
          <w:sz w:val="20"/>
          <w:szCs w:val="20"/>
          <w:color w:val="auto"/>
        </w:rPr>
      </w:pPr>
    </w:p>
    <w:p>
      <w:pPr>
        <w:ind w:right="240" w:firstLine="364"/>
        <w:spacing w:after="0" w:line="277" w:lineRule="auto"/>
        <w:rPr>
          <w:sz w:val="20"/>
          <w:szCs w:val="20"/>
          <w:color w:val="auto"/>
        </w:rPr>
      </w:pPr>
      <w:r>
        <w:rPr>
          <w:rFonts w:ascii="Arial" w:cs="Arial" w:eastAsia="Arial" w:hAnsi="Arial"/>
          <w:sz w:val="18"/>
          <w:szCs w:val="18"/>
          <w:color w:val="auto"/>
        </w:rPr>
        <w:t>Interest on debt obligations was calculated using the LIBOR rate as of December 31, 2022 with the assumption that interest rates would remain flat over the remainder of the period that the debt was outstanding.</w:t>
      </w:r>
    </w:p>
    <w:p>
      <w:pPr>
        <w:spacing w:after="0" w:line="62" w:lineRule="exact"/>
        <w:rPr>
          <w:sz w:val="20"/>
          <w:szCs w:val="20"/>
          <w:color w:val="auto"/>
        </w:rPr>
      </w:pPr>
    </w:p>
    <w:p>
      <w:pPr>
        <w:ind w:right="240" w:firstLine="364"/>
        <w:spacing w:after="0" w:line="259" w:lineRule="auto"/>
        <w:rPr>
          <w:sz w:val="20"/>
          <w:szCs w:val="20"/>
          <w:color w:val="auto"/>
        </w:rPr>
      </w:pPr>
      <w:r>
        <w:rPr>
          <w:rFonts w:ascii="Arial" w:cs="Arial" w:eastAsia="Arial" w:hAnsi="Arial"/>
          <w:sz w:val="18"/>
          <w:szCs w:val="18"/>
          <w:color w:val="auto"/>
        </w:rPr>
        <w:t>The Company owns investments in limited partnerships that invest in concentrated portfolios including publicly traded small cap equities, loans of middle market private equity sponsored companies, private equity general partnership interests, commercial mortgage-backed securities, and tranches of distressed home loans. At December 31, 2022, the Company’s Excess and Surplus Lines segment has outstanding commitments to invest another $5.3 million in these limited partnerships.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do not have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Performance Ratios</w:t>
      </w:r>
    </w:p>
    <w:p>
      <w:pPr>
        <w:spacing w:after="0" w:line="117"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The following table provides the underwriting performance ratios of the Company inclusive of the business subject to retroactive reinsurance accounting for loss portfolio transfers. There is no economic impact to the Company over the life of a loss portfolio transfer contract so long as any additional losses subject to the contract are within the limit of the loss portfolio transfer and the counterparty performs under the contract. Retroactive reinsurance accounting is not indicative of our current and ongoing operations. Management believes that providing loss ratios and combined ratios on business not subject to retroactive reinsurance accounting for loss portfolio transfers gives the users of our financial statements useful information in evaluating our current and ongoing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1540" w:type="dxa"/>
            <w:vAlign w:val="bottom"/>
          </w:tcPr>
          <w:p>
            <w:pPr>
              <w:spacing w:after="0"/>
              <w:rPr>
                <w:sz w:val="16"/>
                <w:szCs w:val="16"/>
                <w:color w:val="auto"/>
              </w:rPr>
            </w:pPr>
          </w:p>
        </w:tc>
      </w:tr>
      <w:tr>
        <w:trPr>
          <w:trHeight w:val="26"/>
        </w:trPr>
        <w:tc>
          <w:tcPr>
            <w:tcW w:w="64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64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66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Excess and Surplus Lines:</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520" w:type="dxa"/>
            <w:vAlign w:val="bottom"/>
          </w:tcPr>
          <w:p>
            <w:pPr>
              <w:jc w:val="right"/>
              <w:spacing w:after="0"/>
              <w:rPr>
                <w:sz w:val="20"/>
                <w:szCs w:val="20"/>
                <w:color w:val="auto"/>
              </w:rPr>
            </w:pPr>
            <w:r>
              <w:rPr>
                <w:rFonts w:ascii="Arial" w:cs="Arial" w:eastAsia="Arial" w:hAnsi="Arial"/>
                <w:sz w:val="18"/>
                <w:szCs w:val="18"/>
                <w:color w:val="auto"/>
              </w:rPr>
              <w:t>65.9 %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106.2 %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76.7 %</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Loss Ratio including impact of retroactive reinsurance</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76.7 %</w:t>
            </w:r>
          </w:p>
        </w:tc>
      </w:tr>
      <w:tr>
        <w:trPr>
          <w:trHeight w:val="270"/>
        </w:trPr>
        <w:tc>
          <w:tcPr>
            <w:tcW w:w="6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520" w:type="dxa"/>
            <w:vAlign w:val="bottom"/>
          </w:tcPr>
          <w:p>
            <w:pPr>
              <w:jc w:val="right"/>
              <w:spacing w:after="0"/>
              <w:rPr>
                <w:sz w:val="20"/>
                <w:szCs w:val="20"/>
                <w:color w:val="auto"/>
              </w:rPr>
            </w:pPr>
            <w:r>
              <w:rPr>
                <w:rFonts w:ascii="Arial" w:cs="Arial" w:eastAsia="Arial" w:hAnsi="Arial"/>
                <w:sz w:val="18"/>
                <w:szCs w:val="18"/>
                <w:color w:val="auto"/>
              </w:rPr>
              <w:t>85.1 %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125.0 %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97.7 %</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Combined Ratio including impact of retroactive reinsurance</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97.7 %</w:t>
            </w:r>
          </w:p>
        </w:tc>
      </w:tr>
      <w:tr>
        <w:trPr>
          <w:trHeight w:val="270"/>
        </w:trPr>
        <w:tc>
          <w:tcPr>
            <w:tcW w:w="6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Casualty Reinsurance:</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88.1 %</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Impact of retroactive reinsurance</w:t>
            </w:r>
          </w:p>
        </w:tc>
        <w:tc>
          <w:tcPr>
            <w:tcW w:w="152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Ratio including impact of retroactive reinsurance</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88.1 %</w:t>
            </w:r>
          </w:p>
        </w:tc>
      </w:tr>
      <w:tr>
        <w:trPr>
          <w:trHeight w:val="270"/>
        </w:trPr>
        <w:tc>
          <w:tcPr>
            <w:tcW w:w="6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113.7 %</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Impact of retroactive reinsurance</w:t>
            </w:r>
          </w:p>
        </w:tc>
        <w:tc>
          <w:tcPr>
            <w:tcW w:w="152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Ratio including impact of retroactive reinsurance</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113.7 %</w:t>
            </w:r>
          </w:p>
        </w:tc>
      </w:tr>
      <w:tr>
        <w:trPr>
          <w:trHeight w:val="270"/>
        </w:trPr>
        <w:tc>
          <w:tcPr>
            <w:tcW w:w="6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520" w:type="dxa"/>
            <w:vAlign w:val="bottom"/>
          </w:tcPr>
          <w:p>
            <w:pPr>
              <w:jc w:val="right"/>
              <w:spacing w:after="0"/>
              <w:rPr>
                <w:sz w:val="20"/>
                <w:szCs w:val="20"/>
                <w:color w:val="auto"/>
              </w:rPr>
            </w:pPr>
            <w:r>
              <w:rPr>
                <w:rFonts w:ascii="Arial" w:cs="Arial" w:eastAsia="Arial" w:hAnsi="Arial"/>
                <w:sz w:val="18"/>
                <w:szCs w:val="18"/>
                <w:color w:val="auto"/>
              </w:rPr>
              <w:t>68.5 %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113.9 %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78.9 %</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Loss Ratio including impact of retroactive reinsurance</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78.9 %</w:t>
            </w:r>
          </w:p>
        </w:tc>
      </w:tr>
      <w:tr>
        <w:trPr>
          <w:trHeight w:val="270"/>
        </w:trPr>
        <w:tc>
          <w:tcPr>
            <w:tcW w:w="6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520" w:type="dxa"/>
            <w:vAlign w:val="bottom"/>
          </w:tcPr>
          <w:p>
            <w:pPr>
              <w:jc w:val="right"/>
              <w:spacing w:after="0"/>
              <w:rPr>
                <w:sz w:val="20"/>
                <w:szCs w:val="20"/>
                <w:color w:val="auto"/>
              </w:rPr>
            </w:pPr>
            <w:r>
              <w:rPr>
                <w:rFonts w:ascii="Arial" w:cs="Arial" w:eastAsia="Arial" w:hAnsi="Arial"/>
                <w:sz w:val="18"/>
                <w:szCs w:val="18"/>
                <w:color w:val="auto"/>
              </w:rPr>
              <w:t>93.5 %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136.9 %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105.6 %</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4"/>
        </w:trPr>
        <w:tc>
          <w:tcPr>
            <w:tcW w:w="6420" w:type="dxa"/>
            <w:vAlign w:val="bottom"/>
          </w:tcPr>
          <w:p>
            <w:pPr>
              <w:ind w:left="20"/>
              <w:spacing w:after="0"/>
              <w:rPr>
                <w:sz w:val="20"/>
                <w:szCs w:val="20"/>
                <w:color w:val="auto"/>
              </w:rPr>
            </w:pPr>
            <w:r>
              <w:rPr>
                <w:rFonts w:ascii="Arial" w:cs="Arial" w:eastAsia="Arial" w:hAnsi="Arial"/>
                <w:sz w:val="18"/>
                <w:szCs w:val="18"/>
                <w:color w:val="auto"/>
              </w:rPr>
              <w:t>Combined Ratio including impact of retroactive reinsurance</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105.6 %</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“Key Metrics” above for description of why management believes the following Non-GAAP measures provide useful information about our financial condition and results of operation.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define underwriting profit as net earned premiums and gross fee income (in specific instances when the Company is not retaining insurance risk) less losses and loss adjustment expenses on business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8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reconciles the underwriting profit (loss) of the operating segments by individual segment to consolidated income (loss) before income taxes for the years ended December 31, 2022, 2021 and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82"/>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operating segments: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83,051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(121,478)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9,752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(18,364)</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(loss) of the operating segments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(29,418)</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Underwriting profit (loss)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(16,030)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40" w:hanging="332"/>
        <w:spacing w:after="0" w:line="277" w:lineRule="auto"/>
        <w:tabs>
          <w:tab w:leader="none" w:pos="4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Underwriting profit (loss) includes gross fee income of $23.6 million, $22.7 million, and $20.9 million for the years ended December 31, 2022,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 (Loss)</w:t>
      </w:r>
    </w:p>
    <w:p>
      <w:pPr>
        <w:spacing w:after="0" w:line="11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Adjusted net operating income is defined as income available to common shareholders excluding a) the impact of loss portfolio transfers accounted for as retroactive reinsurance,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(loss) available to common shareholders for the years ended December 31, 2022, 2021 and 2020 reconciles to our adjusted net operating income (loss)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85"/>
              </w:rPr>
              <w:t>Loss</w:t>
            </w:r>
          </w:p>
        </w:tc>
        <w:tc>
          <w:tcPr>
            <w:tcW w:w="40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0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2"/>
                <w:szCs w:val="12"/>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Pr>
          <w:p>
            <w:pPr>
              <w:spacing w:after="0"/>
              <w:rPr>
                <w:sz w:val="12"/>
                <w:szCs w:val="12"/>
                <w:color w:val="auto"/>
              </w:rPr>
            </w:pPr>
          </w:p>
        </w:tc>
        <w:tc>
          <w:tcPr>
            <w:tcW w:w="106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0"/>
              </w:rPr>
              <w:t>Before</w:t>
            </w:r>
          </w:p>
        </w:tc>
        <w:tc>
          <w:tcPr>
            <w:tcW w:w="4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90"/>
              </w:rPr>
              <w:t>Before</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Taxes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Taxes</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7"/>
              </w:rPr>
              <w:t>Loss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Taxes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(loss) available to common</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(172,799)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Losses and loss adjustment expenses -</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retroactive reinsurance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Net realized and unrealized investment losses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operating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(184,245)</w:t>
            </w: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and Tangible Equity per Share</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Tangible equity is defined as shareholders' equity plus mezzanine Series A Preferred Shares and the unrecognized deferred retroactive reinsurance gain on loss portfolio transfers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current conversion price). Our definitions of tangible equity and tangible equity per share may not be comparable to that of other companies, and they should not be viewed as a substitute for shareholders’ equity and shareholders’ equity per share calculated in accordance with GAAP.</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shareholders’ equity to tangible equity as of December 31, 2022,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319"/>
              <w:spacing w:after="0" w:line="13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per share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per share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2"/>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i w:val="1"/>
                <w:iCs w:val="1"/>
                <w:color w:val="auto"/>
                <w:w w:val="92"/>
              </w:rPr>
              <w:t>(in thousands, except per share amounts)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553,766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725,362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Series A redeemable preferred shares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reinsurance gain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37,470,237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37,373,066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30,649,261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shares from assumed conversion of</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A Preferred Shares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5,640,158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4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Common shares outstanding after assumed</w:t>
            </w:r>
          </w:p>
        </w:tc>
        <w:tc>
          <w:tcPr>
            <w:tcW w:w="2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43,110,395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37,373,066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30,649,261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Series A Preferred Shares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-2047875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40" w:firstLine="364"/>
        <w:spacing w:after="0" w:line="301"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80" w:firstLine="364"/>
        <w:spacing w:after="0" w:line="277" w:lineRule="auto"/>
        <w:rPr>
          <w:sz w:val="20"/>
          <w:szCs w:val="20"/>
          <w:color w:val="auto"/>
        </w:rPr>
      </w:pPr>
      <w:r>
        <w:rPr>
          <w:rFonts w:ascii="Arial" w:cs="Arial" w:eastAsia="Arial" w:hAnsi="Arial"/>
          <w:sz w:val="18"/>
          <w:szCs w:val="18"/>
          <w:color w:val="auto"/>
        </w:rPr>
        <w:t>Our fixed maturity and preferred stock investments and borrowings are subject to interest rate risk. Increases and decreases in interest rates typically result in decreases and increases, respectively, in the fair value of these financial instruments.</w:t>
      </w:r>
    </w:p>
    <w:p>
      <w:pPr>
        <w:spacing w:after="0" w:line="62" w:lineRule="exact"/>
        <w:rPr>
          <w:sz w:val="20"/>
          <w:szCs w:val="20"/>
          <w:color w:val="auto"/>
        </w:rPr>
      </w:pPr>
    </w:p>
    <w:p>
      <w:pPr>
        <w:ind w:right="80" w:firstLine="364"/>
        <w:spacing w:after="0" w:line="293" w:lineRule="auto"/>
        <w:rPr>
          <w:sz w:val="20"/>
          <w:szCs w:val="20"/>
          <w:color w:val="auto"/>
        </w:rPr>
      </w:pPr>
      <w:r>
        <w:rPr>
          <w:rFonts w:ascii="Arial" w:cs="Arial" w:eastAsia="Arial" w:hAnsi="Arial"/>
          <w:sz w:val="16"/>
          <w:szCs w:val="16"/>
          <w:color w:val="auto"/>
        </w:rPr>
        <w:t>The majority of our investable assets come from premiums paid by policyholders. These funds are invested predominantly in high quality corporate, government and municipal bonds with relatively short durations. Total invested assets and cash, excluding restricted cash, has an average duration of approximately 4.1 years at December 31, 2022, and fixed maturity securities and preferred stock investments in the portfolio have an average rating by at least one nationally recognized rating organization of “AA-”. See Note 2 to the Notes to the Audited Consolidated Financial Statements for disclosure of contractual maturity dates of our fixed maturity portfolio. The changes in the estimated fair value of the fixed maturity portfolio classified as available-for-sale are presented as a component of shareholders’ equity in accumulated other comprehensive (loss) income, net of taxes.</w:t>
      </w:r>
    </w:p>
    <w:p>
      <w:pPr>
        <w:spacing w:after="0" w:line="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2022, the fair values of our fixed maturity securities were negatively impacted by higher interest rates. For the year ended December 31, 2022, unrealized losses on fixed maturities of $193.0 million were recognized in other comprehensive loss.</w:t>
      </w:r>
    </w:p>
    <w:p>
      <w:pPr>
        <w:spacing w:after="0" w:line="62" w:lineRule="exact"/>
        <w:rPr>
          <w:sz w:val="20"/>
          <w:szCs w:val="20"/>
          <w:color w:val="auto"/>
        </w:rPr>
      </w:pPr>
    </w:p>
    <w:p>
      <w:pPr>
        <w:ind w:right="60" w:firstLine="364"/>
        <w:spacing w:after="0" w:line="308" w:lineRule="auto"/>
        <w:rPr>
          <w:sz w:val="20"/>
          <w:szCs w:val="20"/>
          <w:color w:val="auto"/>
        </w:rPr>
      </w:pPr>
      <w:r>
        <w:rPr>
          <w:rFonts w:ascii="Arial" w:cs="Arial" w:eastAsia="Arial" w:hAnsi="Arial"/>
          <w:sz w:val="17"/>
          <w:szCs w:val="17"/>
          <w:color w:val="auto"/>
        </w:rPr>
        <w:t>We work to manage the impact of interest rate fluctuations on our fixed maturity and preferred stock portfolio. The effective duration is managed with consideration given to the estimated duration of our liabilities. We have investment guidelines that set targets for average duration and maturity.</w:t>
      </w:r>
    </w:p>
    <w:p>
      <w:pPr>
        <w:spacing w:after="0" w:line="38" w:lineRule="exact"/>
        <w:rPr>
          <w:sz w:val="20"/>
          <w:szCs w:val="20"/>
          <w:color w:val="auto"/>
        </w:rPr>
      </w:pPr>
    </w:p>
    <w:p>
      <w:pPr>
        <w:ind w:right="80" w:firstLine="364"/>
        <w:spacing w:after="0" w:line="291" w:lineRule="auto"/>
        <w:rPr>
          <w:sz w:val="20"/>
          <w:szCs w:val="20"/>
          <w:color w:val="auto"/>
        </w:rPr>
      </w:pPr>
      <w:r>
        <w:rPr>
          <w:rFonts w:ascii="Arial" w:cs="Arial" w:eastAsia="Arial" w:hAnsi="Arial"/>
          <w:sz w:val="16"/>
          <w:szCs w:val="16"/>
          <w:color w:val="auto"/>
        </w:rPr>
        <w:t>Our investment manager employs a model to estimate the effect of interest rate risk on the fair values of our fixed maturity and preferred stock securities and our bank loan participations. Our bank loan participations are primarily floating-rate debt and have limited exposure to interest rate risk with the majority resetting monthly. Therefore, their fair values are less sensitive to changes in interest rates than our fixed maturity and preferred stock securities. The model estimates the impact of interest rate changes on a wide range of factors, including duration and prepayment. Fair values of borrowings are estimated based on the net present value of cash flows, using a representative set of possible future interest rate scenarios. The model requires that numerous assumptions be made about the future. To the extent that any of the assumptions are invalid, incorrect estimates could result. The usefulness of a single point-in-time model is limited, as it is unable to accurately incorporate the full complexity of market interactions.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0" w:firstLine="364"/>
        <w:spacing w:after="0" w:line="277" w:lineRule="auto"/>
        <w:rPr>
          <w:sz w:val="20"/>
          <w:szCs w:val="20"/>
          <w:color w:val="auto"/>
        </w:rPr>
      </w:pPr>
      <w:r>
        <w:rPr>
          <w:rFonts w:ascii="Arial" w:cs="Arial" w:eastAsia="Arial" w:hAnsi="Arial"/>
          <w:sz w:val="18"/>
          <w:szCs w:val="18"/>
          <w:color w:val="auto"/>
        </w:rPr>
        <w:t>The following table summarizes our interest rate risk and shows the effect of hypothetical changes in interest rates as of December 31, 2022. The selected hypothetical changes do not indicate what could be the potential best or worst case scenarios.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40" w:type="dxa"/>
            <w:vAlign w:val="bottom"/>
            <w:gridSpan w:val="3"/>
          </w:tcPr>
          <w:p>
            <w:pPr>
              <w:jc w:val="right"/>
              <w:ind w:right="715"/>
              <w:spacing w:after="0"/>
              <w:rPr>
                <w:sz w:val="20"/>
                <w:szCs w:val="20"/>
                <w:color w:val="auto"/>
              </w:rPr>
            </w:pPr>
            <w:r>
              <w:rPr>
                <w:rFonts w:ascii="Arial" w:cs="Arial" w:eastAsia="Arial" w:hAnsi="Arial"/>
                <w:sz w:val="14"/>
                <w:szCs w:val="14"/>
                <w:b w:val="1"/>
                <w:bCs w:val="1"/>
                <w:color w:val="auto"/>
              </w:rPr>
              <w:t>As of December 31, 2022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Hypothetical</w:t>
            </w:r>
          </w:p>
        </w:tc>
        <w:tc>
          <w:tcPr>
            <w:tcW w:w="280" w:type="dxa"/>
            <w:vAlign w:val="bottom"/>
          </w:tcPr>
          <w:p>
            <w:pPr>
              <w:spacing w:after="0"/>
              <w:rPr>
                <w:sz w:val="11"/>
                <w:szCs w:val="11"/>
                <w:color w:val="auto"/>
              </w:rPr>
            </w:pPr>
          </w:p>
        </w:tc>
        <w:tc>
          <w:tcPr>
            <w:tcW w:w="148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2"/>
              </w:rPr>
              <w:t>Estimated</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Estimated</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Change in</w:t>
            </w:r>
          </w:p>
        </w:tc>
        <w:tc>
          <w:tcPr>
            <w:tcW w:w="280" w:type="dxa"/>
            <w:vAlign w:val="bottom"/>
          </w:tcPr>
          <w:p>
            <w:pPr>
              <w:spacing w:after="0"/>
              <w:rPr>
                <w:sz w:val="12"/>
                <w:szCs w:val="12"/>
                <w:color w:val="auto"/>
              </w:rPr>
            </w:pPr>
          </w:p>
        </w:tc>
        <w:tc>
          <w:tcPr>
            <w:tcW w:w="1480" w:type="dxa"/>
            <w:vAlign w:val="bottom"/>
          </w:tcPr>
          <w:p>
            <w:pPr>
              <w:jc w:val="center"/>
              <w:ind w:right="95"/>
              <w:spacing w:after="0" w:line="145" w:lineRule="exact"/>
              <w:rPr>
                <w:sz w:val="20"/>
                <w:szCs w:val="20"/>
                <w:color w:val="auto"/>
              </w:rPr>
            </w:pPr>
            <w:r>
              <w:rPr>
                <w:rFonts w:ascii="Arial" w:cs="Arial" w:eastAsia="Arial" w:hAnsi="Arial"/>
                <w:sz w:val="14"/>
                <w:szCs w:val="14"/>
                <w:b w:val="1"/>
                <w:bCs w:val="1"/>
                <w:color w:val="auto"/>
                <w:w w:val="96"/>
              </w:rPr>
              <w:t>Fair Value after</w:t>
            </w:r>
          </w:p>
        </w:tc>
        <w:tc>
          <w:tcPr>
            <w:tcW w:w="1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Hypothetical Percentage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 Rates</w:t>
            </w:r>
          </w:p>
        </w:tc>
        <w:tc>
          <w:tcPr>
            <w:tcW w:w="280" w:type="dxa"/>
            <w:vAlign w:val="bottom"/>
          </w:tcPr>
          <w:p>
            <w:pPr>
              <w:spacing w:after="0"/>
              <w:rPr>
                <w:sz w:val="12"/>
                <w:szCs w:val="12"/>
                <w:color w:val="auto"/>
              </w:rPr>
            </w:pPr>
          </w:p>
        </w:tc>
        <w:tc>
          <w:tcPr>
            <w:tcW w:w="14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Hypothetical Change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 (Decrease) in</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(bp=basis points)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in Interest Rates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340" w:type="dxa"/>
            <w:vAlign w:val="bottom"/>
            <w:gridSpan w:val="3"/>
          </w:tcPr>
          <w:p>
            <w:pPr>
              <w:jc w:val="right"/>
              <w:ind w:right="995"/>
              <w:spacing w:after="0"/>
              <w:rPr>
                <w:sz w:val="20"/>
                <w:szCs w:val="20"/>
                <w:color w:val="auto"/>
              </w:rPr>
            </w:pPr>
            <w:r>
              <w:rPr>
                <w:rFonts w:ascii="Arial" w:cs="Arial" w:eastAsia="Arial" w:hAnsi="Arial"/>
                <w:sz w:val="14"/>
                <w:szCs w:val="14"/>
                <w:b w:val="1"/>
                <w:bCs w:val="1"/>
                <w:i w:val="1"/>
                <w:iCs w:val="1"/>
                <w:color w:val="auto"/>
              </w:rPr>
              <w:t>($ in thousands)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and preferred stock investments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1,854,248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2,029,589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1,941,894</w:t>
            </w:r>
          </w:p>
        </w:tc>
        <w:tc>
          <w:tcPr>
            <w:tcW w:w="172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1,766,651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1,679,104</w:t>
            </w: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154,991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154,848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154,937</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155,008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154,989</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debt and junior subordinated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353,212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323,281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338,246</w:t>
            </w: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368,177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280" w:type="dxa"/>
            <w:vAlign w:val="bottom"/>
          </w:tcPr>
          <w:p>
            <w:pPr>
              <w:spacing w:after="0"/>
              <w:rPr>
                <w:sz w:val="20"/>
                <w:szCs w:val="20"/>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383,142</w:t>
            </w:r>
          </w:p>
        </w:tc>
        <w:tc>
          <w:tcPr>
            <w:tcW w:w="172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ind w:right="140" w:firstLine="364"/>
        <w:spacing w:after="0" w:line="308" w:lineRule="auto"/>
        <w:rPr>
          <w:sz w:val="20"/>
          <w:szCs w:val="20"/>
          <w:color w:val="auto"/>
        </w:rPr>
      </w:pPr>
      <w:r>
        <w:rPr>
          <w:rFonts w:ascii="Arial" w:cs="Arial" w:eastAsia="Arial" w:hAnsi="Arial"/>
          <w:sz w:val="17"/>
          <w:szCs w:val="17"/>
          <w:color w:val="auto"/>
        </w:rPr>
        <w:t xml:space="preserve">A portion of our equity securities portfolio is invested in common stocks, which have historically produced higher long-term returns relative to fixed maturities. The changes in the estimated fair value of the common stocks in our equity securities portfolio are </w:t>
      </w:r>
      <w:r>
        <w:rPr>
          <w:rFonts w:ascii="Arial" w:cs="Arial" w:eastAsia="Arial" w:hAnsi="Arial"/>
          <w:sz w:val="17"/>
          <w:szCs w:val="17"/>
          <w:color w:val="231F20"/>
        </w:rPr>
        <w:t>recognized in net income</w:t>
      </w:r>
      <w:r>
        <w:rPr>
          <w:rFonts w:ascii="Arial" w:cs="Arial" w:eastAsia="Arial" w:hAnsi="Arial"/>
          <w:sz w:val="17"/>
          <w:szCs w:val="17"/>
          <w:color w:val="auto"/>
        </w:rPr>
        <w:t>.</w:t>
      </w:r>
    </w:p>
    <w:p>
      <w:pPr>
        <w:spacing w:after="0" w:line="38" w:lineRule="exact"/>
        <w:rPr>
          <w:sz w:val="20"/>
          <w:szCs w:val="20"/>
          <w:color w:val="auto"/>
        </w:rPr>
      </w:pPr>
    </w:p>
    <w:p>
      <w:pPr>
        <w:ind w:right="220" w:firstLine="364"/>
        <w:spacing w:after="0" w:line="277" w:lineRule="auto"/>
        <w:rPr>
          <w:sz w:val="20"/>
          <w:szCs w:val="20"/>
          <w:color w:val="auto"/>
        </w:rPr>
      </w:pPr>
      <w:r>
        <w:rPr>
          <w:rFonts w:ascii="Arial" w:cs="Arial" w:eastAsia="Arial" w:hAnsi="Arial"/>
          <w:sz w:val="18"/>
          <w:szCs w:val="18"/>
          <w:color w:val="auto"/>
        </w:rPr>
        <w:t>At December 31, 2022, our common stock investments were concentrated in terms of the number of issuers and industries. Such concentrations can lead to higher levels of price volatility.</w:t>
      </w:r>
    </w:p>
    <w:p>
      <w:pPr>
        <w:spacing w:after="0" w:line="62" w:lineRule="exact"/>
        <w:rPr>
          <w:sz w:val="20"/>
          <w:szCs w:val="20"/>
          <w:color w:val="auto"/>
        </w:rPr>
      </w:pPr>
    </w:p>
    <w:p>
      <w:pPr>
        <w:ind w:right="140" w:firstLine="364"/>
        <w:spacing w:after="0" w:line="279" w:lineRule="auto"/>
        <w:rPr>
          <w:sz w:val="20"/>
          <w:szCs w:val="20"/>
          <w:color w:val="auto"/>
        </w:rPr>
      </w:pPr>
      <w:r>
        <w:rPr>
          <w:rFonts w:ascii="Arial" w:cs="Arial" w:eastAsia="Arial" w:hAnsi="Arial"/>
          <w:sz w:val="17"/>
          <w:szCs w:val="17"/>
          <w:color w:val="auto"/>
        </w:rPr>
        <w:t>The following table summarizes the equity price risk related to common stock and shows the effect of a hypothetical 35% increase or decrease in the fair value of the common stocks in our equity securities portfolio as of December 31, 2022. We believe that this range represents a reasonably likely scenario, as the largest annual increases and decreases in the S&amp;P 500 Index in the past twenty-five years were 31.0% in 1997 and (38.5%) in 2008. The selected hypothetical changes do not indicate what could be the potential best or worst case scenarios.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9"/>
        </w:trPr>
        <w:tc>
          <w:tcPr>
            <w:tcW w:w="6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92"/>
              </w:rPr>
              <w:t>Estimated</w:t>
            </w:r>
          </w:p>
        </w:tc>
      </w:tr>
      <w:tr>
        <w:trPr>
          <w:trHeight w:val="139"/>
        </w:trPr>
        <w:tc>
          <w:tcPr>
            <w:tcW w:w="6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6"/>
              </w:rPr>
              <w:t>Fair Value after</w:t>
            </w:r>
          </w:p>
        </w:tc>
      </w:tr>
      <w:tr>
        <w:trPr>
          <w:trHeight w:val="158"/>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Estimated</w:t>
            </w: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Hypothetical</w:t>
            </w:r>
          </w:p>
        </w:tc>
        <w:tc>
          <w:tcPr>
            <w:tcW w:w="180" w:type="dxa"/>
            <w:vAlign w:val="bottom"/>
          </w:tcPr>
          <w:p>
            <w:pPr>
              <w:spacing w:after="0"/>
              <w:rPr>
                <w:sz w:val="13"/>
                <w:szCs w:val="13"/>
                <w:color w:val="auto"/>
              </w:rPr>
            </w:pPr>
          </w:p>
        </w:tc>
        <w:tc>
          <w:tcPr>
            <w:tcW w:w="128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5"/>
              </w:rPr>
              <w:t>Hypothetical</w:t>
            </w:r>
          </w:p>
        </w:tc>
      </w:tr>
      <w:tr>
        <w:trPr>
          <w:trHeight w:val="196"/>
        </w:trPr>
        <w:tc>
          <w:tcPr>
            <w:tcW w:w="6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Fair Value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Change</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Change in Prices</w:t>
            </w:r>
          </w:p>
        </w:tc>
      </w:tr>
      <w:tr>
        <w:trPr>
          <w:trHeight w:val="182"/>
        </w:trPr>
        <w:tc>
          <w:tcPr>
            <w:tcW w:w="6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 - common stock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47,796</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increase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64,525</w:t>
            </w:r>
          </w:p>
        </w:tc>
      </w:tr>
      <w:tr>
        <w:trPr>
          <w:trHeight w:val="230"/>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35% decrease</w:t>
            </w:r>
          </w:p>
        </w:tc>
        <w:tc>
          <w:tcPr>
            <w:tcW w:w="18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8"/>
                <w:szCs w:val="18"/>
                <w:color w:val="auto"/>
              </w:rPr>
              <w:t>31,067</w:t>
            </w:r>
          </w:p>
        </w:tc>
      </w:tr>
    </w:tbl>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680" w:firstLine="364"/>
        <w:spacing w:after="0" w:line="342" w:lineRule="auto"/>
        <w:rPr>
          <w:sz w:val="20"/>
          <w:szCs w:val="20"/>
          <w:color w:val="auto"/>
        </w:rPr>
      </w:pPr>
      <w:r>
        <w:rPr>
          <w:rFonts w:ascii="Arial" w:cs="Arial" w:eastAsia="Arial" w:hAnsi="Arial"/>
          <w:sz w:val="16"/>
          <w:szCs w:val="16"/>
          <w:color w:val="auto"/>
        </w:rPr>
        <w:t>The report of our independent registered public accounting firm and our Consolidated Financial Statements and required Financial Statement Schedules are filed pursuant to this Item 8 and are included later in this report. See Index to Financial Statements and Schedules on page F-1.</w:t>
      </w:r>
    </w:p>
    <w:p>
      <w:pPr>
        <w:spacing w:after="0" w:line="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40" w:firstLine="364"/>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Annual Report on Form 10-K, our management carried out an evaluation, under the supervision and with the participation of our CEO and CFO, as of December 31, 2022,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364"/>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as such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ind w:right="160" w:firstLine="364"/>
        <w:spacing w:after="0" w:line="279" w:lineRule="auto"/>
        <w:rPr>
          <w:sz w:val="20"/>
          <w:szCs w:val="20"/>
          <w:color w:val="auto"/>
        </w:rPr>
      </w:pPr>
      <w:r>
        <w:rPr>
          <w:rFonts w:ascii="Arial" w:cs="Arial" w:eastAsia="Arial" w:hAnsi="Arial"/>
          <w:sz w:val="17"/>
          <w:szCs w:val="17"/>
          <w:color w:val="auto"/>
        </w:rPr>
        <w:t xml:space="preserve">Management has conducted an assessment, including testing, of the effectiveness of our internal control over financial reporting as of December 31, 2022. In making its assessment of internal control over financial reporting, management used the criteria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the Committee of Sponsoring Organizations of the Treadway Commission. Based on this assessment, the Company’s management has</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as of December 31, 2022, the Company’s internal control over financial reporting was effective.</w:t>
      </w:r>
    </w:p>
    <w:p>
      <w:pPr>
        <w:spacing w:after="0" w:line="6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of the Company included in this Annual Report, has audited the effectiveness of internal control over financial reporting as of December 31, 2022. Their attestation report, which expresses an unqualified opinion on the effectiveness of the Company’s internal control over financial reporting as of December 31, 2022, is included with our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December 31, 2022 that have materially affected, or are reasonably likely to materially affect, our internal control over financial reporting.</w:t>
      </w:r>
    </w:p>
    <w:p>
      <w:pPr>
        <w:spacing w:after="0" w:line="76"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10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11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72" w:lineRule="exact"/>
        <w:rPr>
          <w:sz w:val="20"/>
          <w:szCs w:val="20"/>
          <w:color w:val="auto"/>
        </w:rPr>
      </w:pPr>
    </w:p>
    <w:p>
      <w:pPr>
        <w:ind w:left="820" w:right="360" w:hanging="971"/>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12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13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14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7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tab/>
        <w:t>EXHIBIT AND FINANCIAL STATEMENT SCHEDULES</w:t>
      </w:r>
    </w:p>
    <w:p>
      <w:pPr>
        <w:spacing w:after="0" w:line="117" w:lineRule="exact"/>
        <w:rPr>
          <w:sz w:val="20"/>
          <w:szCs w:val="20"/>
          <w:color w:val="auto"/>
        </w:rPr>
      </w:pPr>
    </w:p>
    <w:p>
      <w:pPr>
        <w:ind w:left="340" w:right="5560" w:hanging="332"/>
        <w:spacing w:after="0" w:line="488" w:lineRule="auto"/>
        <w:tabs>
          <w:tab w:leader="none" w:pos="271"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 and (2) Financial Statements and Financial Statement Schedules. </w:t>
      </w:r>
      <w:r>
        <w:rPr>
          <w:rFonts w:ascii="Arial" w:cs="Arial" w:eastAsia="Arial" w:hAnsi="Arial"/>
          <w:sz w:val="16"/>
          <w:szCs w:val="16"/>
          <w:color w:val="auto"/>
        </w:rPr>
        <w:t>See “Index to Financial Statements and Schedules” on Page F-1.</w:t>
      </w: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720" w:type="dxa"/>
            <w:vAlign w:val="bottom"/>
            <w:gridSpan w:val="14"/>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72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1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13"/>
          </w:tcPr>
          <w:p>
            <w:pPr>
              <w:spacing w:after="0" w:line="189" w:lineRule="exact"/>
              <w:rPr>
                <w:rFonts w:ascii="Arial" w:cs="Arial" w:eastAsia="Arial" w:hAnsi="Arial"/>
                <w:sz w:val="18"/>
                <w:szCs w:val="18"/>
                <w:color w:val="0000FF"/>
                <w:w w:val="98"/>
              </w:rPr>
            </w:pPr>
            <w:hyperlink r:id="rId132">
              <w:r>
                <w:rPr>
                  <w:rFonts w:ascii="Arial" w:cs="Arial" w:eastAsia="Arial" w:hAnsi="Arial"/>
                  <w:sz w:val="18"/>
                  <w:szCs w:val="18"/>
                  <w:color w:val="0000FF"/>
                  <w:w w:val="98"/>
                </w:rPr>
                <w:t>Certificate of Incorporation of James River Group Holdings, Ltd. (incorporated by reference to Exhibit 3.1 of the Registration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Statement on Form S-1, Registration No. 333-199958, filed with the Commission on November 7, 2014)</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4"/>
          </w:tcPr>
          <w:p>
            <w:pPr>
              <w:spacing w:after="0"/>
              <w:rPr>
                <w:rFonts w:ascii="Arial" w:cs="Arial" w:eastAsia="Arial" w:hAnsi="Arial"/>
                <w:sz w:val="18"/>
                <w:szCs w:val="18"/>
                <w:color w:val="0000FF"/>
                <w:w w:val="92"/>
              </w:rPr>
            </w:pPr>
            <w:hyperlink r:id="rId133">
              <w:r>
                <w:rPr>
                  <w:rFonts w:ascii="Arial" w:cs="Arial" w:eastAsia="Arial" w:hAnsi="Arial"/>
                  <w:sz w:val="18"/>
                  <w:szCs w:val="18"/>
                  <w:color w:val="0000FF"/>
                  <w:w w:val="92"/>
                </w:rPr>
                <w:t>Certificate of Incorporation on Change of Name (incorporated by reference to Exhibit 3.2 of the Registration Statement on Form S-1,</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Registration No. 333-199958, filed with the Commission on November 7, 2014)</w:t>
              </w:r>
            </w:hyperlink>
          </w:p>
        </w:tc>
        <w:tc>
          <w:tcPr>
            <w:tcW w:w="3820" w:type="dxa"/>
            <w:vAlign w:val="bottom"/>
            <w:tcBorders>
              <w:top w:val="single" w:sz="8" w:color="0000FF"/>
            </w:tcBorders>
            <w:gridSpan w:val="10"/>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4"/>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Memorandum of Association of James River Group Holdings, Ltd. (incorporated by reference to Exhibit 3.3 of the Registration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Statement on Form S-1, Registration No. 333-199958, filed with the Commission on November 7, 2014)</w:t>
              </w:r>
            </w:hyperlink>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4"/>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Certificate of Deposit of Memorandum of Increase of Share Capital, dated December 24, 2007 (incorporated by reference to Exhibit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3.</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of the Registration Statement on Form S-1, Registration No. 333-199958, filed with the Commission on November 7, 2014)</w:t>
              </w:r>
            </w:hyperlink>
          </w:p>
        </w:tc>
        <w:tc>
          <w:tcPr>
            <w:tcW w:w="3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4"/>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Certificate of Deposit of Memorandum of Increase of Share Capital, dated October 7, 2009 (incorporated by reference to Exhibit 3.5</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rFonts w:ascii="Arial" w:cs="Arial" w:eastAsia="Arial" w:hAnsi="Arial"/>
                <w:sz w:val="18"/>
                <w:szCs w:val="18"/>
                <w:color w:val="0000FF"/>
                <w:w w:val="97"/>
              </w:rPr>
            </w:pPr>
            <w:hyperlink r:id="rId136">
              <w:r>
                <w:rPr>
                  <w:rFonts w:ascii="Arial" w:cs="Arial" w:eastAsia="Arial" w:hAnsi="Arial"/>
                  <w:sz w:val="18"/>
                  <w:szCs w:val="18"/>
                  <w:color w:val="0000FF"/>
                  <w:w w:val="97"/>
                </w:rPr>
                <w:t>of the Registration Statement on Form S-1, Registration No. 333-199958, filed with the Commission on November 7, 2014)</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Fourth Amended and Restated Bye-Laws of James River Group Holdings, Ltd.</w:t>
            </w:r>
          </w:p>
        </w:tc>
        <w:tc>
          <w:tcPr>
            <w:tcW w:w="3220" w:type="dxa"/>
            <w:vAlign w:val="bottom"/>
            <w:tcBorders>
              <w:top w:val="single" w:sz="8" w:color="0000FF"/>
            </w:tcBorders>
            <w:gridSpan w:val="4"/>
          </w:tcPr>
          <w:p>
            <w:pPr>
              <w:spacing w:after="0"/>
              <w:rPr>
                <w:sz w:val="19"/>
                <w:szCs w:val="19"/>
                <w:color w:val="auto"/>
              </w:rPr>
            </w:pPr>
          </w:p>
        </w:tc>
        <w:tc>
          <w:tcPr>
            <w:tcW w:w="8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4"/>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Form of Certificate of Common Shares (incorporated by reference to Exhibit 4.1 of Amendment No. 3 to the Registration Statement</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on Form S-1, Registration No. 333-199958, filed with the Commission on December 9, 2014)</w:t>
              </w:r>
            </w:hyperlink>
          </w:p>
        </w:tc>
        <w:tc>
          <w:tcPr>
            <w:tcW w:w="2760" w:type="dxa"/>
            <w:vAlign w:val="bottom"/>
            <w:tcBorders>
              <w:top w:val="single" w:sz="8" w:color="0000FF"/>
            </w:tcBorders>
            <w:gridSpan w:val="6"/>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w w:val="90"/>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Floating Rate Senior Debentures Due 2034+</w:t>
            </w:r>
          </w:p>
        </w:tc>
        <w:tc>
          <w:tcPr>
            <w:tcW w:w="0" w:type="dxa"/>
            <w:vAlign w:val="bottom"/>
          </w:tcPr>
          <w:p>
            <w:pPr>
              <w:spacing w:after="0"/>
              <w:rPr>
                <w:sz w:val="1"/>
                <w:szCs w:val="1"/>
                <w:color w:val="auto"/>
              </w:rPr>
            </w:pPr>
          </w:p>
        </w:tc>
      </w:tr>
      <w:tr>
        <w:trPr>
          <w:trHeight w:val="188"/>
        </w:trPr>
        <w:tc>
          <w:tcPr>
            <w:tcW w:w="116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0"/>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Floating Rate Junior Subordinated Debentures Due 2034+</w:t>
            </w:r>
          </w:p>
        </w:tc>
        <w:tc>
          <w:tcPr>
            <w:tcW w:w="0" w:type="dxa"/>
            <w:vAlign w:val="bottom"/>
          </w:tcPr>
          <w:p>
            <w:pPr>
              <w:spacing w:after="0"/>
              <w:rPr>
                <w:sz w:val="1"/>
                <w:szCs w:val="1"/>
                <w:color w:val="auto"/>
              </w:rPr>
            </w:pPr>
          </w:p>
        </w:tc>
      </w:tr>
      <w:tr>
        <w:trPr>
          <w:trHeight w:val="188"/>
        </w:trPr>
        <w:tc>
          <w:tcPr>
            <w:tcW w:w="116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3"/>
              </w:rPr>
              <w:t>Amended and Restated Declaration of Trust of James River Capital Trust I, dated as of May 26, 2004, by and among James River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1"/>
              </w:rPr>
              <w:t>Group, Inc., as Sponsor, Wilmington Trust Company, as Institutional Trustee and Delaware Trustee, the Regular Trustees (as defined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therein), and the holders, from time to time, of undivided beneficial interests in James River Capital Trust 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4"/>
          </w:tcPr>
          <w:p>
            <w:pPr>
              <w:spacing w:after="0" w:line="176" w:lineRule="exact"/>
              <w:rPr>
                <w:sz w:val="20"/>
                <w:szCs w:val="20"/>
                <w:color w:val="auto"/>
              </w:rPr>
            </w:pPr>
            <w:r>
              <w:rPr>
                <w:rFonts w:ascii="Arial" w:cs="Arial" w:eastAsia="Arial" w:hAnsi="Arial"/>
                <w:sz w:val="18"/>
                <w:szCs w:val="18"/>
                <w:color w:val="auto"/>
                <w:w w:val="93"/>
              </w:rPr>
              <w:t>Preferred Securities Guarantee Agreement, dated as of May 26, 2004, by James River Group, Inc., as Guarantor, and Wilmington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Trust Company, as Preferred Guarantee Trustee, for the benefit of the holders of James River Capital Trust I+</w:t>
            </w:r>
          </w:p>
        </w:tc>
        <w:tc>
          <w:tcPr>
            <w:tcW w:w="0" w:type="dxa"/>
            <w:vAlign w:val="bottom"/>
          </w:tcPr>
          <w:p>
            <w:pPr>
              <w:spacing w:after="0"/>
              <w:rPr>
                <w:sz w:val="1"/>
                <w:szCs w:val="1"/>
                <w:color w:val="auto"/>
              </w:rPr>
            </w:pPr>
          </w:p>
        </w:tc>
      </w:tr>
      <w:tr>
        <w:trPr>
          <w:trHeight w:val="188"/>
        </w:trPr>
        <w:tc>
          <w:tcPr>
            <w:tcW w:w="116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4"/>
              </w:rPr>
              <w:t>Indenture, dated as of December 15, 2004, by and between James River Group, Inc. and Wilmington Trust Company, as Trustee,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relating to Floating Rate Junior Subordinated Deferrable Interest Debentures Due 2034+</w:t>
            </w:r>
          </w:p>
        </w:tc>
        <w:tc>
          <w:tcPr>
            <w:tcW w:w="0" w:type="dxa"/>
            <w:vAlign w:val="bottom"/>
          </w:tcPr>
          <w:p>
            <w:pPr>
              <w:spacing w:after="0"/>
              <w:rPr>
                <w:sz w:val="1"/>
                <w:szCs w:val="1"/>
                <w:color w:val="auto"/>
              </w:rPr>
            </w:pPr>
          </w:p>
        </w:tc>
      </w:tr>
      <w:tr>
        <w:trPr>
          <w:trHeight w:val="188"/>
        </w:trPr>
        <w:tc>
          <w:tcPr>
            <w:tcW w:w="116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4.7</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3"/>
              </w:rPr>
              <w:t>Amended and Restated Declaration of Trust of James River Capital Trust II, dated as of December 15, 2004, by and among James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4"/>
              </w:rPr>
              <w:t>River Group, Inc., as Sponsor, Wilmington Trust Company, as Institutional Trustee and Delaware Trustee, the Administrators (as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defined therein), and the holders, from time to time, of undivided beneficial interests in the James River Capital Trust II+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4.8</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4"/>
          </w:tcPr>
          <w:p>
            <w:pPr>
              <w:spacing w:after="0" w:line="176" w:lineRule="exact"/>
              <w:rPr>
                <w:sz w:val="20"/>
                <w:szCs w:val="20"/>
                <w:color w:val="auto"/>
              </w:rPr>
            </w:pPr>
            <w:r>
              <w:rPr>
                <w:rFonts w:ascii="Arial" w:cs="Arial" w:eastAsia="Arial" w:hAnsi="Arial"/>
                <w:sz w:val="18"/>
                <w:szCs w:val="18"/>
                <w:color w:val="auto"/>
                <w:w w:val="90"/>
              </w:rPr>
              <w:t>Guarantee Agreement, dated as of December 15, 2004, by James River Group, Inc., as Guarantor, and Wilmington Trust Company, as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w w:val="98"/>
              </w:rPr>
              <w:t>Guarantee Trustee, for the benefit of the holders, from time to time, of the capital securities of James River Capital Trust II+</w:t>
            </w:r>
          </w:p>
        </w:tc>
        <w:tc>
          <w:tcPr>
            <w:tcW w:w="0" w:type="dxa"/>
            <w:vAlign w:val="bottom"/>
          </w:tcPr>
          <w:p>
            <w:pPr>
              <w:spacing w:after="0"/>
              <w:rPr>
                <w:sz w:val="1"/>
                <w:szCs w:val="1"/>
                <w:color w:val="auto"/>
              </w:rPr>
            </w:pPr>
          </w:p>
        </w:tc>
      </w:tr>
      <w:tr>
        <w:trPr>
          <w:trHeight w:val="188"/>
        </w:trPr>
        <w:tc>
          <w:tcPr>
            <w:tcW w:w="116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4"/>
              </w:rPr>
              <w:t>Indenture, dated June 15, 2006,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Floating Rate Junior Subordinated Deferrable Interest Debentures Due 2036+</w:t>
            </w:r>
          </w:p>
        </w:tc>
        <w:tc>
          <w:tcPr>
            <w:tcW w:w="0" w:type="dxa"/>
            <w:vAlign w:val="bottom"/>
          </w:tcPr>
          <w:p>
            <w:pPr>
              <w:spacing w:after="0"/>
              <w:rPr>
                <w:sz w:val="1"/>
                <w:szCs w:val="1"/>
                <w:color w:val="auto"/>
              </w:rPr>
            </w:pPr>
          </w:p>
        </w:tc>
      </w:tr>
      <w:tr>
        <w:trPr>
          <w:trHeight w:val="188"/>
        </w:trPr>
        <w:tc>
          <w:tcPr>
            <w:tcW w:w="116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4.10</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2"/>
              </w:rPr>
              <w:t>Amended and Restated Declaration of Trust of James River Capital Trust III, dated as of June 15, 2006, by and among James River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3"/>
              </w:rPr>
              <w:t>Group, Inc., as Sponsor, Wilmington Trust Company, as Institutional Trustee and Delaware Trustee, the Administrators (as defined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therein) and the holders, from time to time, of undivided beneficial interests in the James River Capital Trust III+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4.11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4"/>
          </w:tcPr>
          <w:p>
            <w:pPr>
              <w:spacing w:after="0" w:line="176" w:lineRule="exact"/>
              <w:rPr>
                <w:sz w:val="20"/>
                <w:szCs w:val="20"/>
                <w:color w:val="auto"/>
              </w:rPr>
            </w:pPr>
            <w:r>
              <w:rPr>
                <w:rFonts w:ascii="Arial" w:cs="Arial" w:eastAsia="Arial" w:hAnsi="Arial"/>
                <w:sz w:val="18"/>
                <w:szCs w:val="18"/>
                <w:color w:val="auto"/>
                <w:w w:val="94"/>
              </w:rPr>
              <w:t>Guarantee Agreement, dated as of June 15, 2006, by James River Group, Inc., as Guarantor, and Wilmington Trust Company, as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w w:val="98"/>
              </w:rPr>
              <w:t>Guarantee Trustee, for the benefit of the holders, from time to time, of the capital securities of James River Capital Trust III+</w:t>
            </w:r>
          </w:p>
        </w:tc>
        <w:tc>
          <w:tcPr>
            <w:tcW w:w="0" w:type="dxa"/>
            <w:vAlign w:val="bottom"/>
          </w:tcPr>
          <w:p>
            <w:pPr>
              <w:spacing w:after="0"/>
              <w:rPr>
                <w:sz w:val="1"/>
                <w:szCs w:val="1"/>
                <w:color w:val="auto"/>
              </w:rPr>
            </w:pPr>
          </w:p>
        </w:tc>
      </w:tr>
      <w:tr>
        <w:trPr>
          <w:trHeight w:val="188"/>
        </w:trPr>
        <w:tc>
          <w:tcPr>
            <w:tcW w:w="116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4.12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4"/>
          </w:tcPr>
          <w:p>
            <w:pPr>
              <w:spacing w:after="0" w:line="189" w:lineRule="exact"/>
              <w:rPr>
                <w:sz w:val="20"/>
                <w:szCs w:val="20"/>
                <w:color w:val="auto"/>
              </w:rPr>
            </w:pPr>
            <w:r>
              <w:rPr>
                <w:rFonts w:ascii="Arial" w:cs="Arial" w:eastAsia="Arial" w:hAnsi="Arial"/>
                <w:sz w:val="18"/>
                <w:szCs w:val="18"/>
                <w:color w:val="auto"/>
                <w:w w:val="90"/>
              </w:rPr>
              <w:t>Indenture, dated December 11, 2007,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Fixed/Floating Rate Junior Subordinated Deferrable Interest Debentures Due 2037+</w:t>
            </w:r>
          </w:p>
        </w:tc>
        <w:tc>
          <w:tcPr>
            <w:tcW w:w="0" w:type="dxa"/>
            <w:vAlign w:val="bottom"/>
          </w:tcPr>
          <w:p>
            <w:pPr>
              <w:spacing w:after="0"/>
              <w:rPr>
                <w:sz w:val="1"/>
                <w:szCs w:val="1"/>
                <w:color w:val="auto"/>
              </w:rPr>
            </w:pPr>
          </w:p>
        </w:tc>
      </w:tr>
      <w:tr>
        <w:trPr>
          <w:trHeight w:val="985"/>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gridSpan w:val="2"/>
          </w:tcPr>
          <w:p>
            <w:pPr>
              <w:jc w:val="right"/>
              <w:ind w:right="137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80" w:type="dxa"/>
            <w:vAlign w:val="bottom"/>
            <w:gridSpan w:val="28"/>
            <w:vMerge w:val="restart"/>
          </w:tcPr>
          <w:p>
            <w:pPr>
              <w:ind w:left="3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8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04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4.13</w:t>
            </w:r>
          </w:p>
        </w:tc>
        <w:tc>
          <w:tcPr>
            <w:tcW w:w="3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20" w:type="dxa"/>
            <w:vAlign w:val="bottom"/>
            <w:tcBorders>
              <w:top w:val="single" w:sz="8" w:color="auto"/>
            </w:tcBorders>
            <w:gridSpan w:val="30"/>
          </w:tcPr>
          <w:p>
            <w:pPr>
              <w:spacing w:after="0" w:line="175" w:lineRule="exact"/>
              <w:rPr>
                <w:sz w:val="20"/>
                <w:szCs w:val="20"/>
                <w:color w:val="auto"/>
              </w:rPr>
            </w:pPr>
            <w:r>
              <w:rPr>
                <w:rFonts w:ascii="Arial" w:cs="Arial" w:eastAsia="Arial" w:hAnsi="Arial"/>
                <w:sz w:val="18"/>
                <w:szCs w:val="18"/>
                <w:color w:val="auto"/>
                <w:w w:val="97"/>
              </w:rPr>
              <w:t>Amended and Restated Declaration of Trust, dated December 11, 2007, by and among James River Group, Inc., as Sponsor,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31"/>
          </w:tcPr>
          <w:p>
            <w:pPr>
              <w:spacing w:after="0" w:line="189" w:lineRule="exact"/>
              <w:rPr>
                <w:sz w:val="20"/>
                <w:szCs w:val="20"/>
                <w:color w:val="auto"/>
              </w:rPr>
            </w:pPr>
            <w:r>
              <w:rPr>
                <w:rFonts w:ascii="Arial" w:cs="Arial" w:eastAsia="Arial" w:hAnsi="Arial"/>
                <w:sz w:val="18"/>
                <w:szCs w:val="18"/>
                <w:color w:val="auto"/>
                <w:w w:val="97"/>
              </w:rPr>
              <w:t>Wilmington Trust Company, as Institutional Trustee and Delaware Trustee and the Administrators (as defined therein) and the</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1"/>
          </w:tcPr>
          <w:p>
            <w:pPr>
              <w:spacing w:after="0"/>
              <w:rPr>
                <w:sz w:val="20"/>
                <w:szCs w:val="20"/>
                <w:color w:val="auto"/>
              </w:rPr>
            </w:pPr>
            <w:r>
              <w:rPr>
                <w:rFonts w:ascii="Arial" w:cs="Arial" w:eastAsia="Arial" w:hAnsi="Arial"/>
                <w:sz w:val="18"/>
                <w:szCs w:val="18"/>
                <w:color w:val="auto"/>
              </w:rPr>
              <w:t>holders, from time to time, of undivided beneficial interests in James River Capital Trust IV+</w:t>
            </w:r>
          </w:p>
        </w:tc>
        <w:tc>
          <w:tcPr>
            <w:tcW w:w="0" w:type="dxa"/>
            <w:vAlign w:val="bottom"/>
          </w:tcPr>
          <w:p>
            <w:pPr>
              <w:spacing w:after="0"/>
              <w:rPr>
                <w:sz w:val="1"/>
                <w:szCs w:val="1"/>
                <w:color w:val="auto"/>
              </w:rPr>
            </w:pPr>
          </w:p>
        </w:tc>
      </w:tr>
      <w:tr>
        <w:trPr>
          <w:trHeight w:val="176"/>
        </w:trPr>
        <w:tc>
          <w:tcPr>
            <w:tcW w:w="11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4.14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w w:val="90"/>
              </w:rPr>
              <w:t>Guarantee Agreement, dated as of December 11, 2007, by James River Group, Inc., as Guarantor, and Wilmington Trust Company, as</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31"/>
          </w:tcPr>
          <w:p>
            <w:pPr>
              <w:spacing w:after="0"/>
              <w:rPr>
                <w:sz w:val="20"/>
                <w:szCs w:val="20"/>
                <w:color w:val="auto"/>
              </w:rPr>
            </w:pPr>
            <w:r>
              <w:rPr>
                <w:rFonts w:ascii="Arial" w:cs="Arial" w:eastAsia="Arial" w:hAnsi="Arial"/>
                <w:sz w:val="18"/>
                <w:szCs w:val="18"/>
                <w:color w:val="auto"/>
                <w:w w:val="98"/>
              </w:rPr>
              <w:t>Guarantee Trustee, for the benefit of the holders, from time to time, of the capital securities of James River Capital Trust IV+</w:t>
            </w:r>
          </w:p>
        </w:tc>
        <w:tc>
          <w:tcPr>
            <w:tcW w:w="0" w:type="dxa"/>
            <w:vAlign w:val="bottom"/>
          </w:tcPr>
          <w:p>
            <w:pPr>
              <w:spacing w:after="0"/>
              <w:rPr>
                <w:sz w:val="1"/>
                <w:szCs w:val="1"/>
                <w:color w:val="auto"/>
              </w:rPr>
            </w:pPr>
          </w:p>
        </w:tc>
      </w:tr>
      <w:tr>
        <w:trPr>
          <w:trHeight w:val="188"/>
        </w:trPr>
        <w:tc>
          <w:tcPr>
            <w:tcW w:w="112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4.15</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31"/>
          </w:tcPr>
          <w:p>
            <w:pPr>
              <w:spacing w:after="0" w:line="189" w:lineRule="exact"/>
              <w:rPr>
                <w:sz w:val="20"/>
                <w:szCs w:val="20"/>
                <w:color w:val="auto"/>
              </w:rPr>
            </w:pPr>
            <w:r>
              <w:rPr>
                <w:rFonts w:ascii="Arial" w:cs="Arial" w:eastAsia="Arial" w:hAnsi="Arial"/>
                <w:sz w:val="18"/>
                <w:szCs w:val="18"/>
                <w:color w:val="auto"/>
                <w:w w:val="96"/>
              </w:rPr>
              <w:t>Indenture, dated as of January 10, 2008, among James River Group Holdings, Ltd. and Wilmington Trust Company, as Trustee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31"/>
          </w:tcPr>
          <w:p>
            <w:pPr>
              <w:spacing w:after="0"/>
              <w:rPr>
                <w:sz w:val="20"/>
                <w:szCs w:val="20"/>
                <w:color w:val="auto"/>
              </w:rPr>
            </w:pPr>
            <w:r>
              <w:rPr>
                <w:rFonts w:ascii="Arial" w:cs="Arial" w:eastAsia="Arial" w:hAnsi="Arial"/>
                <w:sz w:val="18"/>
                <w:szCs w:val="18"/>
                <w:color w:val="auto"/>
              </w:rPr>
              <w:t>relating to Fixed/Floating Rate Junior Subordinated Deferrable Interest Debentures Due 2038+</w:t>
            </w:r>
          </w:p>
        </w:tc>
        <w:tc>
          <w:tcPr>
            <w:tcW w:w="0" w:type="dxa"/>
            <w:vAlign w:val="bottom"/>
          </w:tcPr>
          <w:p>
            <w:pPr>
              <w:spacing w:after="0"/>
              <w:rPr>
                <w:sz w:val="1"/>
                <w:szCs w:val="1"/>
                <w:color w:val="auto"/>
              </w:rPr>
            </w:pPr>
          </w:p>
        </w:tc>
      </w:tr>
      <w:tr>
        <w:trPr>
          <w:trHeight w:val="188"/>
        </w:trPr>
        <w:tc>
          <w:tcPr>
            <w:tcW w:w="112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4.16</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31"/>
          </w:tcPr>
          <w:p>
            <w:pPr>
              <w:spacing w:after="0" w:line="189" w:lineRule="exact"/>
              <w:rPr>
                <w:sz w:val="20"/>
                <w:szCs w:val="20"/>
                <w:color w:val="auto"/>
              </w:rPr>
            </w:pPr>
            <w:r>
              <w:rPr>
                <w:rFonts w:ascii="Arial" w:cs="Arial" w:eastAsia="Arial" w:hAnsi="Arial"/>
                <w:sz w:val="18"/>
                <w:szCs w:val="18"/>
                <w:color w:val="auto"/>
                <w:w w:val="95"/>
              </w:rPr>
              <w:t>Amended and Restated Declaration of Trust, dated as of January 10, 2008, by and among James River Group Holdings, Ltd., as</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31"/>
          </w:tcPr>
          <w:p>
            <w:pPr>
              <w:spacing w:after="0" w:line="189" w:lineRule="exact"/>
              <w:rPr>
                <w:sz w:val="20"/>
                <w:szCs w:val="20"/>
                <w:color w:val="auto"/>
              </w:rPr>
            </w:pPr>
            <w:r>
              <w:rPr>
                <w:rFonts w:ascii="Arial" w:cs="Arial" w:eastAsia="Arial" w:hAnsi="Arial"/>
                <w:sz w:val="18"/>
                <w:szCs w:val="18"/>
                <w:color w:val="auto"/>
                <w:w w:val="93"/>
              </w:rPr>
              <w:t>Sponsor, Wilmington Trust Company, as Institutional Trustee and Delaware Trustee and the Administrators (as defined therein) for</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1"/>
          </w:tcPr>
          <w:p>
            <w:pPr>
              <w:spacing w:after="0"/>
              <w:rPr>
                <w:sz w:val="20"/>
                <w:szCs w:val="20"/>
                <w:color w:val="auto"/>
              </w:rPr>
            </w:pPr>
            <w:r>
              <w:rPr>
                <w:rFonts w:ascii="Arial" w:cs="Arial" w:eastAsia="Arial" w:hAnsi="Arial"/>
                <w:sz w:val="18"/>
                <w:szCs w:val="18"/>
                <w:color w:val="auto"/>
                <w:w w:val="98"/>
              </w:rPr>
              <w:t>the benefit of the holders, from time to time, of undivided beneficial interest in Franklin Holdings II (Bermuda) Capital Trust I+</w:t>
            </w:r>
          </w:p>
        </w:tc>
        <w:tc>
          <w:tcPr>
            <w:tcW w:w="0" w:type="dxa"/>
            <w:vAlign w:val="bottom"/>
          </w:tcPr>
          <w:p>
            <w:pPr>
              <w:spacing w:after="0"/>
              <w:rPr>
                <w:sz w:val="1"/>
                <w:szCs w:val="1"/>
                <w:color w:val="auto"/>
              </w:rPr>
            </w:pPr>
          </w:p>
        </w:tc>
      </w:tr>
      <w:tr>
        <w:trPr>
          <w:trHeight w:val="176"/>
        </w:trPr>
        <w:tc>
          <w:tcPr>
            <w:tcW w:w="11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4.17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w w:val="90"/>
              </w:rPr>
              <w:t>Guarantee Agreement, dated as of January 10, 2008, by and among James River Group Holdings, Ltd., as Guarantor, and Wilmington</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31"/>
          </w:tcPr>
          <w:p>
            <w:pPr>
              <w:spacing w:after="0" w:line="189" w:lineRule="exact"/>
              <w:rPr>
                <w:sz w:val="20"/>
                <w:szCs w:val="20"/>
                <w:color w:val="auto"/>
              </w:rPr>
            </w:pPr>
            <w:r>
              <w:rPr>
                <w:rFonts w:ascii="Arial" w:cs="Arial" w:eastAsia="Arial" w:hAnsi="Arial"/>
                <w:sz w:val="18"/>
                <w:szCs w:val="18"/>
                <w:color w:val="auto"/>
                <w:w w:val="93"/>
              </w:rPr>
              <w:t>Trust Company, as Guarantee Trustee, for the benefit of the holders, from time to time, of the capital securities of Franklin Holdings</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1"/>
          </w:tcPr>
          <w:p>
            <w:pPr>
              <w:spacing w:after="0"/>
              <w:rPr>
                <w:sz w:val="20"/>
                <w:szCs w:val="20"/>
                <w:color w:val="auto"/>
              </w:rPr>
            </w:pPr>
            <w:r>
              <w:rPr>
                <w:rFonts w:ascii="Arial" w:cs="Arial" w:eastAsia="Arial" w:hAnsi="Arial"/>
                <w:sz w:val="18"/>
                <w:szCs w:val="18"/>
                <w:color w:val="auto"/>
              </w:rPr>
              <w:t>II (Bermuda) Capital Trust I+</w:t>
            </w:r>
          </w:p>
        </w:tc>
        <w:tc>
          <w:tcPr>
            <w:tcW w:w="0" w:type="dxa"/>
            <w:vAlign w:val="bottom"/>
          </w:tcPr>
          <w:p>
            <w:pPr>
              <w:spacing w:after="0"/>
              <w:rPr>
                <w:sz w:val="1"/>
                <w:szCs w:val="1"/>
                <w:color w:val="auto"/>
              </w:rPr>
            </w:pPr>
          </w:p>
        </w:tc>
      </w:tr>
      <w:tr>
        <w:trPr>
          <w:trHeight w:val="190"/>
        </w:trPr>
        <w:tc>
          <w:tcPr>
            <w:tcW w:w="112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4.18</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40" w:type="dxa"/>
            <w:vAlign w:val="bottom"/>
            <w:tcBorders>
              <w:bottom w:val="single" w:sz="8" w:color="0000FF"/>
            </w:tcBorders>
            <w:gridSpan w:val="8"/>
          </w:tcPr>
          <w:p>
            <w:pPr>
              <w:spacing w:after="0" w:line="190" w:lineRule="exact"/>
              <w:rPr>
                <w:sz w:val="20"/>
                <w:szCs w:val="20"/>
                <w:color w:val="auto"/>
              </w:rPr>
            </w:pPr>
            <w:r>
              <w:rPr>
                <w:rFonts w:ascii="Arial" w:cs="Arial" w:eastAsia="Arial" w:hAnsi="Arial"/>
                <w:sz w:val="18"/>
                <w:szCs w:val="18"/>
                <w:color w:val="0000FF"/>
                <w:w w:val="90"/>
              </w:rPr>
              <w:t>Description of Registrant’s Securities Registered under Section 12 of the Securities Exchange Act of 1934</w:t>
            </w:r>
          </w:p>
        </w:tc>
        <w:tc>
          <w:tcPr>
            <w:tcW w:w="210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1"/>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Second Amended and Restated Credit Agreement, dated as of November 8, 2019, by and among James River Group Holdings, Ltd.,</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140">
              <w:r>
                <w:rPr>
                  <w:rFonts w:ascii="Arial" w:cs="Arial" w:eastAsia="Arial" w:hAnsi="Arial"/>
                  <w:sz w:val="18"/>
                  <w:szCs w:val="18"/>
                  <w:color w:val="0000FF"/>
                  <w:w w:val="94"/>
                </w:rPr>
                <w:t>JRG Reinsurance Company, Ltd., KeyBank National Association as Administrative Agent and Letter of Credit Issuer, KeyBank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bottom w:val="single" w:sz="8" w:color="0000FF"/>
            </w:tcBorders>
            <w:gridSpan w:val="16"/>
          </w:tcPr>
          <w:p>
            <w:pPr>
              <w:spacing w:after="0" w:line="169"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National Association, SunTrust Robinson Humphrey, Inc., and BMO Capital Markets Corp. as Joint Book Runners and Joint Lead</w:t>
              </w:r>
            </w:hyperlink>
          </w:p>
        </w:tc>
        <w:tc>
          <w:tcPr>
            <w:tcW w:w="36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1"/>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Arrangers, Bank of Montreal and SunTrust Bank as Co-Syndication Agents, and the lender parties thereto (incorporated by reference</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to Exhibit 10.1 of the Current Report on Form 8-K filed on November 12, 2019, Commission File No. 001-36777)</w:t>
              </w:r>
            </w:hyperlink>
          </w:p>
        </w:tc>
        <w:tc>
          <w:tcPr>
            <w:tcW w:w="13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1"/>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First Amendment to Second Amended and Restated Credit Agreement, dated as of February 18, 2022, by and among James River</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Group Holdings, Ltd., JRG Reinsurance Company Ltd., KeyBank National Association as Administrative Agent and the lenders</w:t>
              </w:r>
            </w:hyperlink>
          </w:p>
        </w:tc>
        <w:tc>
          <w:tcPr>
            <w:tcW w:w="400" w:type="dxa"/>
            <w:vAlign w:val="bottom"/>
            <w:gridSpan w:val="16"/>
          </w:tcPr>
          <w:p>
            <w:pPr>
              <w:jc w:val="center"/>
              <w:ind w:right="80"/>
              <w:spacing w:after="0" w:line="156" w:lineRule="exact"/>
              <w:rPr>
                <w:rFonts w:ascii="Arial" w:cs="Arial" w:eastAsia="Arial" w:hAnsi="Arial"/>
                <w:sz w:val="18"/>
                <w:szCs w:val="18"/>
                <w:color w:val="0000FF"/>
                <w:w w:val="79"/>
              </w:rPr>
            </w:pPr>
            <w:hyperlink r:id="rId141">
              <w:r>
                <w:rPr>
                  <w:rFonts w:ascii="Arial" w:cs="Arial" w:eastAsia="Arial" w:hAnsi="Arial"/>
                  <w:sz w:val="18"/>
                  <w:szCs w:val="18"/>
                  <w:color w:val="0000FF"/>
                  <w:w w:val="79"/>
                </w:rPr>
                <w:t>party</w:t>
              </w:r>
            </w:hyperlink>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28"/>
          </w:tcPr>
          <w:p>
            <w:pPr>
              <w:spacing w:after="0" w:line="169"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thereto (incorporated by reference to Exhibit 10.2 of the Annual Report on Form 10-K filed on March 1, 2022, Commission File No.</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41">
              <w:r>
                <w:rPr>
                  <w:rFonts w:ascii="Arial" w:cs="Arial" w:eastAsia="Arial" w:hAnsi="Arial"/>
                  <w:sz w:val="18"/>
                  <w:szCs w:val="18"/>
                  <w:color w:val="0000FF"/>
                  <w:w w:val="89"/>
                </w:rPr>
                <w:t>001-36777)</w:t>
              </w:r>
            </w:hyperlink>
          </w:p>
        </w:tc>
        <w:tc>
          <w:tcPr>
            <w:tcW w:w="620" w:type="dxa"/>
            <w:vAlign w:val="bottom"/>
            <w:tcBorders>
              <w:top w:val="single" w:sz="8" w:color="0000FF"/>
            </w:tcBorders>
          </w:tcPr>
          <w:p>
            <w:pPr>
              <w:spacing w:after="0"/>
              <w:rPr>
                <w:sz w:val="13"/>
                <w:szCs w:val="13"/>
                <w:color w:val="auto"/>
              </w:rPr>
            </w:pPr>
          </w:p>
        </w:tc>
        <w:tc>
          <w:tcPr>
            <w:tcW w:w="48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10.3</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1"/>
          </w:tcPr>
          <w:p>
            <w:pPr>
              <w:spacing w:after="0" w:line="196" w:lineRule="exact"/>
              <w:rPr>
                <w:sz w:val="20"/>
                <w:szCs w:val="20"/>
                <w:color w:val="auto"/>
              </w:rPr>
            </w:pPr>
            <w:r>
              <w:rPr>
                <w:rFonts w:ascii="Arial" w:cs="Arial" w:eastAsia="Arial" w:hAnsi="Arial"/>
                <w:sz w:val="18"/>
                <w:szCs w:val="18"/>
                <w:color w:val="0000FF"/>
                <w:w w:val="91"/>
              </w:rPr>
              <w:t>Second Amendment to Second Amended and Restated Credit Agreement, dated as of January 27, 2023, by and among James River</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31"/>
          </w:tcPr>
          <w:p>
            <w:pPr>
              <w:spacing w:after="0" w:line="189" w:lineRule="exact"/>
              <w:rPr>
                <w:sz w:val="20"/>
                <w:szCs w:val="20"/>
                <w:color w:val="auto"/>
              </w:rPr>
            </w:pPr>
            <w:r>
              <w:rPr>
                <w:rFonts w:ascii="Arial" w:cs="Arial" w:eastAsia="Arial" w:hAnsi="Arial"/>
                <w:sz w:val="18"/>
                <w:szCs w:val="18"/>
                <w:color w:val="0000FF"/>
                <w:highlight w:val="white"/>
                <w:w w:val="92"/>
              </w:rPr>
              <w:t>Group Holdings, Ltd., JRG Reinsurance Company Ltd., KeyBank National Association as Administrative Agent and the lenders party</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highlight w:val="white"/>
                <w:w w:val="85"/>
              </w:rPr>
              <w:t>thereto</w:t>
            </w:r>
          </w:p>
        </w:tc>
        <w:tc>
          <w:tcPr>
            <w:tcW w:w="918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1"/>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Continuing Guaranty of Payment, dated as of June 5, 2013, by James River Group, Inc., as Guarantor, pursuant to Credit Agreement,</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6" w:lineRule="exact"/>
              <w:rPr>
                <w:rFonts w:ascii="Arial" w:cs="Arial" w:eastAsia="Arial" w:hAnsi="Arial"/>
                <w:sz w:val="18"/>
                <w:szCs w:val="18"/>
                <w:color w:val="0000FF"/>
                <w:w w:val="96"/>
              </w:rPr>
            </w:pPr>
            <w:hyperlink r:id="rId142">
              <w:r>
                <w:rPr>
                  <w:rFonts w:ascii="Arial" w:cs="Arial" w:eastAsia="Arial" w:hAnsi="Arial"/>
                  <w:sz w:val="18"/>
                  <w:szCs w:val="18"/>
                  <w:color w:val="0000FF"/>
                  <w:w w:val="96"/>
                </w:rPr>
                <w:t>dated as of June 5, 2013, among James River Group Holdings, Ltd. and JRG Reinsurance Company Ltd., KeyBank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60" w:type="dxa"/>
            <w:vAlign w:val="bottom"/>
            <w:tcBorders>
              <w:top w:val="single" w:sz="8" w:color="0000FF"/>
            </w:tcBorders>
            <w:gridSpan w:val="11"/>
          </w:tcPr>
          <w:p>
            <w:pPr>
              <w:spacing w:after="0" w:line="169"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Association, as Administrative Agent and as Letter of Credit Issuer, and certain Lender parties (incorporated by reference to</w:t>
              </w:r>
            </w:hyperlink>
          </w:p>
        </w:tc>
        <w:tc>
          <w:tcPr>
            <w:tcW w:w="780" w:type="dxa"/>
            <w:vAlign w:val="bottom"/>
            <w:gridSpan w:val="20"/>
          </w:tcPr>
          <w:p>
            <w:pPr>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Exhibit</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14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w:t>
              </w:r>
              <w:r>
                <w:rPr>
                  <w:rFonts w:ascii="Arial" w:cs="Arial" w:eastAsia="Arial" w:hAnsi="Arial"/>
                  <w:sz w:val="18"/>
                  <w:szCs w:val="18"/>
                  <w:color w:val="0000FF"/>
                  <w:w w:val="93"/>
                </w:rPr>
                <w:t xml:space="preserve"> of the Registration Statement on Form S-1, Registration No. 333-199958, filed with the Commission on November 7, 2014)</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1"/>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Continuing Guaranty of Payment, dated as of December 15, 2015, by James River Group Holdings UK Limited, pursuant to Credit</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Agreement, dated as of June 5, 2013, among James River Group Holdings, Ltd. and JRG Reinsurance Company Ltd., KeyBank</w:t>
              </w:r>
            </w:hyperlink>
          </w:p>
        </w:tc>
        <w:tc>
          <w:tcPr>
            <w:tcW w:w="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1"/>
          </w:tcPr>
          <w:p>
            <w:pPr>
              <w:spacing w:after="0" w:line="169"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National Association, as Administrative Agent and as Letter of Credit Issuer, and certain Lender parties (incorporated by reference to</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Exhibit 10.5 to the Annual Report on Form 10-K filed on March 10, 2016, Commission File No. 001-36777)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1"/>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Credit Agreement, dated as of August 2, 2017, among James River Group Holdings, Ltd., JRG Reinsurance Company Ltd. and BMO</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Harris Bank N.A. (incorporated by reference to Exhibit 10.1 of the Current Report on Form 8-K filed on August 3, 2017, Commission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gridSpan w:val="29"/>
          </w:tcPr>
          <w:p>
            <w:pPr>
              <w:spacing w:after="0" w:line="169" w:lineRule="exact"/>
              <w:rPr>
                <w:rFonts w:ascii="Arial" w:cs="Arial" w:eastAsia="Arial" w:hAnsi="Arial"/>
                <w:sz w:val="18"/>
                <w:szCs w:val="18"/>
                <w:color w:val="0000FF"/>
              </w:rPr>
            </w:pPr>
            <w:hyperlink r:id="rId144">
              <w:r>
                <w:rPr>
                  <w:rFonts w:ascii="Arial" w:cs="Arial" w:eastAsia="Arial" w:hAnsi="Arial"/>
                  <w:sz w:val="18"/>
                  <w:szCs w:val="18"/>
                  <w:color w:val="0000FF"/>
                </w:rPr>
                <w:t>File No. 001-36777)</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80" w:type="dxa"/>
            <w:vAlign w:val="bottom"/>
            <w:tcBorders>
              <w:bottom w:val="single" w:sz="8" w:color="0000FF"/>
            </w:tcBorders>
            <w:gridSpan w:val="14"/>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First Amendment to Credit Agreement dated as of November 8, 2019 by and among James River Group Holdings, Ltd. and JRG</w:t>
              </w:r>
            </w:hyperlink>
          </w:p>
        </w:tc>
        <w:tc>
          <w:tcPr>
            <w:tcW w:w="46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1"/>
          </w:tcPr>
          <w:p>
            <w:pPr>
              <w:spacing w:after="0" w:line="156" w:lineRule="exact"/>
              <w:rPr>
                <w:rFonts w:ascii="Arial" w:cs="Arial" w:eastAsia="Arial" w:hAnsi="Arial"/>
                <w:sz w:val="18"/>
                <w:szCs w:val="18"/>
                <w:color w:val="0000FF"/>
                <w:w w:val="93"/>
              </w:rPr>
            </w:pPr>
            <w:hyperlink r:id="rId145">
              <w:r>
                <w:rPr>
                  <w:rFonts w:ascii="Arial" w:cs="Arial" w:eastAsia="Arial" w:hAnsi="Arial"/>
                  <w:sz w:val="18"/>
                  <w:szCs w:val="18"/>
                  <w:color w:val="0000FF"/>
                  <w:w w:val="93"/>
                </w:rPr>
                <w:t>Reinsurance Company Ltd., as the borrowers, and BMO Harris Bank, N.A., as the lender (incorporated by reference to Exhibit 10.2</w:t>
              </w:r>
            </w:hyperlink>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of the Current Report on Form 8-K filed on November 12, 2019, Commission File No. 001-36777)</w:t>
              </w:r>
            </w:hyperlink>
          </w:p>
        </w:tc>
        <w:tc>
          <w:tcPr>
            <w:tcW w:w="2360" w:type="dxa"/>
            <w:vAlign w:val="bottom"/>
            <w:tcBorders>
              <w:top w:val="single" w:sz="8" w:color="0000FF"/>
            </w:tcBorders>
            <w:gridSpan w:val="11"/>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1"/>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Second Amendment to Credit Agreement dated as of February 18, 2022 by and among James River Group Holdings, Ltd. and JRG</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Reinsurance Company Ltd. as the borrowers, and BMO Harris Bank N.A., as the lender (incorporated by reference to Exhibit 10.7</w:t>
              </w:r>
            </w:hyperlink>
          </w:p>
        </w:tc>
        <w:tc>
          <w:tcPr>
            <w:tcW w:w="300" w:type="dxa"/>
            <w:vAlign w:val="bottom"/>
            <w:gridSpan w:val="14"/>
          </w:tcPr>
          <w:p>
            <w:pPr>
              <w:jc w:val="center"/>
              <w:ind w:right="160"/>
              <w:spacing w:after="0" w:line="15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of</w:t>
              </w:r>
            </w:hyperlink>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the Annual Report on Form 10-K filed on March 1, 2022, Commission File No. 001-36777)</w:t>
              </w:r>
            </w:hyperlink>
          </w:p>
        </w:tc>
        <w:tc>
          <w:tcPr>
            <w:tcW w:w="2980" w:type="dxa"/>
            <w:vAlign w:val="bottom"/>
            <w:tcBorders>
              <w:top w:val="single" w:sz="8" w:color="0000FF"/>
            </w:tcBorders>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1"/>
          </w:tcPr>
          <w:p>
            <w:pPr>
              <w:spacing w:after="0"/>
              <w:rPr>
                <w:sz w:val="20"/>
                <w:szCs w:val="20"/>
                <w:color w:val="auto"/>
              </w:rPr>
            </w:pPr>
            <w:r>
              <w:rPr>
                <w:rFonts w:ascii="Arial" w:cs="Arial" w:eastAsia="Arial" w:hAnsi="Arial"/>
                <w:sz w:val="18"/>
                <w:szCs w:val="18"/>
                <w:color w:val="0000FF"/>
                <w:w w:val="95"/>
              </w:rPr>
              <w:t>Third Amendment to Credit Agreement dated as of January 27, 2023 by and among James River Group Holdings, Ltd. and JRG</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highlight w:val="white"/>
                <w:w w:val="90"/>
              </w:rPr>
              <w:t>Reinsurance Company Ltd. as the borrowers, and BMO Harris Bank N.A., as the lender</w:t>
            </w:r>
          </w:p>
        </w:tc>
        <w:tc>
          <w:tcPr>
            <w:tcW w:w="20" w:type="dxa"/>
            <w:vAlign w:val="bottom"/>
          </w:tcPr>
          <w:p>
            <w:pPr>
              <w:spacing w:after="0"/>
              <w:rPr>
                <w:sz w:val="13"/>
                <w:szCs w:val="13"/>
                <w:color w:val="auto"/>
              </w:rPr>
            </w:pPr>
          </w:p>
        </w:tc>
        <w:tc>
          <w:tcPr>
            <w:tcW w:w="2880" w:type="dxa"/>
            <w:vAlign w:val="bottom"/>
            <w:tcBorders>
              <w:top w:val="single" w:sz="8" w:color="0000FF"/>
            </w:tcBorders>
            <w:gridSpan w:val="8"/>
          </w:tcPr>
          <w:p>
            <w:pPr>
              <w:spacing w:after="0"/>
              <w:rPr>
                <w:sz w:val="13"/>
                <w:szCs w:val="13"/>
                <w:color w:val="auto"/>
              </w:rPr>
            </w:pPr>
          </w:p>
        </w:tc>
        <w:tc>
          <w:tcPr>
            <w:tcW w:w="160" w:type="dxa"/>
            <w:vAlign w:val="bottom"/>
            <w:gridSpan w:val="3"/>
          </w:tcPr>
          <w:p>
            <w:pPr>
              <w:spacing w:after="0"/>
              <w:rPr>
                <w:sz w:val="13"/>
                <w:szCs w:val="13"/>
                <w:color w:val="auto"/>
              </w:rPr>
            </w:pPr>
          </w:p>
        </w:tc>
        <w:tc>
          <w:tcPr>
            <w:tcW w:w="280" w:type="dxa"/>
            <w:vAlign w:val="bottom"/>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1"/>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Pledge and Security Agreement, dated as of August 2, 2017, by and between JRG Reinsurance Company Ltd., and BMO Harris Bank</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7"/>
          </w:tcPr>
          <w:p>
            <w:pPr>
              <w:spacing w:after="0" w:line="156" w:lineRule="exact"/>
              <w:rPr>
                <w:rFonts w:ascii="Arial" w:cs="Arial" w:eastAsia="Arial" w:hAnsi="Arial"/>
                <w:sz w:val="18"/>
                <w:szCs w:val="18"/>
                <w:color w:val="0000FF"/>
                <w:w w:val="95"/>
              </w:rPr>
            </w:pPr>
            <w:hyperlink r:id="rId147">
              <w:r>
                <w:rPr>
                  <w:rFonts w:ascii="Arial" w:cs="Arial" w:eastAsia="Arial" w:hAnsi="Arial"/>
                  <w:sz w:val="18"/>
                  <w:szCs w:val="18"/>
                  <w:color w:val="0000FF"/>
                  <w:w w:val="95"/>
                </w:rPr>
                <w:t>N.A. (incorporated by reference to Exhibit 10.2 of the Current Report on Form 8-K filed on August 3, 2017, Commission File No.</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r:id="rId147">
              <w:r>
                <w:rPr>
                  <w:rFonts w:ascii="Arial" w:cs="Arial" w:eastAsia="Arial" w:hAnsi="Arial"/>
                  <w:sz w:val="18"/>
                  <w:szCs w:val="18"/>
                  <w:color w:val="0000FF"/>
                  <w:w w:val="89"/>
                </w:rPr>
                <w:t>001-36777)</w:t>
              </w:r>
            </w:hyperlink>
          </w:p>
        </w:tc>
        <w:tc>
          <w:tcPr>
            <w:tcW w:w="620" w:type="dxa"/>
            <w:vAlign w:val="bottom"/>
            <w:tcBorders>
              <w:top w:val="single" w:sz="8" w:color="0000FF"/>
            </w:tcBorders>
          </w:tcPr>
          <w:p>
            <w:pPr>
              <w:spacing w:after="0"/>
              <w:rPr>
                <w:sz w:val="14"/>
                <w:szCs w:val="14"/>
                <w:color w:val="auto"/>
              </w:rPr>
            </w:pPr>
          </w:p>
        </w:tc>
        <w:tc>
          <w:tcPr>
            <w:tcW w:w="4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8"/>
        </w:trPr>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40" w:type="dxa"/>
            <w:vAlign w:val="bottom"/>
            <w:gridSpan w:val="5"/>
          </w:tcPr>
          <w:p>
            <w:pPr>
              <w:jc w:val="right"/>
              <w:ind w:right="1988"/>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gridSpan w:val="30"/>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2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10.11</w:t>
            </w: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41"/>
          </w:tcPr>
          <w:p>
            <w:pPr>
              <w:spacing w:after="0" w:line="189" w:lineRule="exact"/>
              <w:rPr>
                <w:rFonts w:ascii="Arial" w:cs="Arial" w:eastAsia="Arial" w:hAnsi="Arial"/>
                <w:sz w:val="18"/>
                <w:szCs w:val="18"/>
                <w:color w:val="0000FF"/>
                <w:w w:val="97"/>
              </w:rPr>
            </w:pPr>
            <w:hyperlink r:id="rId150">
              <w:r>
                <w:rPr>
                  <w:rFonts w:ascii="Arial" w:cs="Arial" w:eastAsia="Arial" w:hAnsi="Arial"/>
                  <w:sz w:val="18"/>
                  <w:szCs w:val="18"/>
                  <w:color w:val="0000FF"/>
                  <w:w w:val="97"/>
                </w:rPr>
                <w:t>Form of Director and Officer Indemnification Agreement (incorporated by reference to Exhibit 10.7 of Amendment No. 1 to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Registration Statement on Form S-1, Registration No. 333-199958, filed with the Commission on November 24, 2014)</w:t>
              </w:r>
            </w:hyperlink>
          </w:p>
        </w:tc>
        <w:tc>
          <w:tcPr>
            <w:tcW w:w="66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41"/>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Amended and Restated James River Group Holdings, Ltd. Equity Incentive Plan (incorporated by reference to Exhibit 10.8 of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Registration Statement on Form S-1, Registration No. 333-199958, filed with the Commission on November 7, 2014)*</w:t>
              </w:r>
            </w:hyperlink>
          </w:p>
        </w:tc>
        <w:tc>
          <w:tcPr>
            <w:tcW w:w="76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41"/>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Form of Stock Option Agreement (Amended and Restated James River Group Holdings, Ltd. Equity Incentive Plan)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9"/>
          </w:tcPr>
          <w:p>
            <w:pPr>
              <w:spacing w:after="0" w:line="156" w:lineRule="exact"/>
              <w:rPr>
                <w:rFonts w:ascii="Arial" w:cs="Arial" w:eastAsia="Arial" w:hAnsi="Arial"/>
                <w:sz w:val="18"/>
                <w:szCs w:val="18"/>
                <w:color w:val="0000FF"/>
                <w:w w:val="94"/>
              </w:rPr>
            </w:pPr>
            <w:hyperlink r:id="rId152">
              <w:r>
                <w:rPr>
                  <w:rFonts w:ascii="Arial" w:cs="Arial" w:eastAsia="Arial" w:hAnsi="Arial"/>
                  <w:sz w:val="18"/>
                  <w:szCs w:val="18"/>
                  <w:color w:val="0000FF"/>
                  <w:w w:val="94"/>
                </w:rPr>
                <w:t>reference to Exhibit 10.9 of the Registration Statement on Form S-1, Registration No. 333-199958, filed with the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52">
              <w:r>
                <w:rPr>
                  <w:rFonts w:ascii="Arial" w:cs="Arial" w:eastAsia="Arial" w:hAnsi="Arial"/>
                  <w:sz w:val="18"/>
                  <w:szCs w:val="18"/>
                  <w:color w:val="0000FF"/>
                </w:rPr>
                <w:t>November 7, 2014)*</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rFonts w:ascii="Arial" w:cs="Arial" w:eastAsia="Arial" w:hAnsi="Arial"/>
                <w:sz w:val="18"/>
                <w:szCs w:val="18"/>
                <w:color w:val="0000FF"/>
                <w:w w:val="92"/>
              </w:rPr>
            </w:pPr>
            <w:hyperlink r:id="rId153">
              <w:r>
                <w:rPr>
                  <w:rFonts w:ascii="Arial" w:cs="Arial" w:eastAsia="Arial" w:hAnsi="Arial"/>
                  <w:sz w:val="18"/>
                  <w:szCs w:val="18"/>
                  <w:color w:val="0000FF"/>
                  <w:w w:val="92"/>
                </w:rPr>
                <w:t>First Amendment to the Amended and Restated James River Group Holdings, Ltd. Equity Incentive Plan (incorporated by reference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153">
              <w:r>
                <w:rPr>
                  <w:rFonts w:ascii="Arial" w:cs="Arial" w:eastAsia="Arial" w:hAnsi="Arial"/>
                  <w:sz w:val="18"/>
                  <w:szCs w:val="18"/>
                  <w:color w:val="0000FF"/>
                  <w:w w:val="96"/>
                </w:rPr>
                <w:t>to Exhibit 10.10 of Amendment No. 1 to the Registration Statement on Form S-1, Registration No. 333-199958,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Commission on November 24, 2014)*</w:t>
              </w:r>
            </w:hyperlink>
          </w:p>
        </w:tc>
        <w:tc>
          <w:tcPr>
            <w:tcW w:w="630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James River Group Holdings, Ltd. 2014 Long-Term Incentive Plan (incorporated by reference to Exhibit 10.11 of Amendment No. 1</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to the Registration Statement on Form S-1, Registration No. 333-199958, filed with the Commission on November 24, 2014)*</w:t>
              </w:r>
            </w:hyperlink>
          </w:p>
        </w:tc>
        <w:tc>
          <w:tcPr>
            <w:tcW w:w="5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41"/>
          </w:tcPr>
          <w:p>
            <w:pPr>
              <w:spacing w:after="0"/>
              <w:rPr>
                <w:rFonts w:ascii="Arial" w:cs="Arial" w:eastAsia="Arial" w:hAnsi="Arial"/>
                <w:sz w:val="18"/>
                <w:szCs w:val="18"/>
                <w:color w:val="0000FF"/>
                <w:w w:val="93"/>
              </w:rPr>
            </w:pPr>
            <w:hyperlink r:id="rId155">
              <w:r>
                <w:rPr>
                  <w:rFonts w:ascii="Arial" w:cs="Arial" w:eastAsia="Arial" w:hAnsi="Arial"/>
                  <w:sz w:val="18"/>
                  <w:szCs w:val="18"/>
                  <w:color w:val="0000FF"/>
                  <w:w w:val="93"/>
                </w:rPr>
                <w:t>Amendment to the James River Group Holdings, Ltd. 2014 Long-Term Incentive Plan (incorporated by reference to Exhibit 10.1 of</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the Current Report on Form 8-K filed on May 3, 2017, Commission File No. 001-36777)*</w:t>
              </w:r>
            </w:hyperlink>
          </w:p>
        </w:tc>
        <w:tc>
          <w:tcPr>
            <w:tcW w:w="29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41"/>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Second Amendment to the James River Group Holdings, Ltd. 2014 Long-Term Incentive Plan (incorporated by reference to Exhibit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Current Report on Form 8-K filed on October 26, 2022, Commission File No. 001-36777)*</w:t>
              </w:r>
            </w:hyperlink>
          </w:p>
        </w:tc>
        <w:tc>
          <w:tcPr>
            <w:tcW w:w="21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41"/>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Form of Nonqualified Share Option Agreement (James River Group Holdings, Ltd. 2014 Long-Term Incentive Plan)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40"/>
          </w:tcPr>
          <w:p>
            <w:pPr>
              <w:spacing w:after="0" w:line="156" w:lineRule="exact"/>
              <w:rPr>
                <w:rFonts w:ascii="Arial" w:cs="Arial" w:eastAsia="Arial" w:hAnsi="Arial"/>
                <w:sz w:val="18"/>
                <w:szCs w:val="18"/>
                <w:color w:val="0000FF"/>
                <w:w w:val="93"/>
              </w:rPr>
            </w:pPr>
            <w:hyperlink r:id="rId157">
              <w:r>
                <w:rPr>
                  <w:rFonts w:ascii="Arial" w:cs="Arial" w:eastAsia="Arial" w:hAnsi="Arial"/>
                  <w:sz w:val="18"/>
                  <w:szCs w:val="18"/>
                  <w:color w:val="0000FF"/>
                  <w:w w:val="93"/>
                </w:rPr>
                <w:t>reference to Exhibit 10.12 of Amendment No. 1 to the Registration Statement on Form S-1, Registration No. 333-199958,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the Commission on November 24, 2014)*</w:t>
              </w:r>
            </w:hyperlink>
          </w:p>
        </w:tc>
        <w:tc>
          <w:tcPr>
            <w:tcW w:w="654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bottom w:val="single" w:sz="8" w:color="0000FF"/>
            </w:tcBorders>
            <w:gridSpan w:val="27"/>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Form of Restricted Share Award Agreement (James River Group Holdings, Ltd. 2014 Long-Term Incentive Plan) (incorporated by</w:t>
              </w:r>
            </w:hyperlink>
          </w:p>
        </w:tc>
        <w:tc>
          <w:tcPr>
            <w:tcW w:w="3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41"/>
          </w:tcPr>
          <w:p>
            <w:pPr>
              <w:spacing w:after="0" w:line="156" w:lineRule="exact"/>
              <w:rPr>
                <w:rFonts w:ascii="Arial" w:cs="Arial" w:eastAsia="Arial" w:hAnsi="Arial"/>
                <w:sz w:val="18"/>
                <w:szCs w:val="18"/>
                <w:color w:val="0000FF"/>
                <w:w w:val="93"/>
              </w:rPr>
            </w:pPr>
            <w:hyperlink r:id="rId158">
              <w:r>
                <w:rPr>
                  <w:rFonts w:ascii="Arial" w:cs="Arial" w:eastAsia="Arial" w:hAnsi="Arial"/>
                  <w:sz w:val="18"/>
                  <w:szCs w:val="18"/>
                  <w:color w:val="0000FF"/>
                  <w:w w:val="93"/>
                </w:rPr>
                <w:t>reference to Exhibit 10.13 of Amendment No. 1 to the Registration Statement on Form S-1, Registration No. 333-199958, filed with</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the Commission on November 24, 2014)*</w:t>
              </w:r>
            </w:hyperlink>
          </w:p>
        </w:tc>
        <w:tc>
          <w:tcPr>
            <w:tcW w:w="654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rFonts w:ascii="Arial" w:cs="Arial" w:eastAsia="Arial" w:hAnsi="Arial"/>
                <w:sz w:val="18"/>
                <w:szCs w:val="18"/>
                <w:color w:val="0000FF"/>
                <w:w w:val="92"/>
              </w:rPr>
            </w:pPr>
            <w:hyperlink r:id="rId159">
              <w:r>
                <w:rPr>
                  <w:rFonts w:ascii="Arial" w:cs="Arial" w:eastAsia="Arial" w:hAnsi="Arial"/>
                  <w:sz w:val="18"/>
                  <w:szCs w:val="18"/>
                  <w:color w:val="0000FF"/>
                  <w:w w:val="92"/>
                </w:rPr>
                <w:t>Form of Restricted Share Unit Award Agreement (James River Group Holdings, Ltd. 2014 Long-Term Incentive Plan) (incorporated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36"/>
          </w:tcPr>
          <w:p>
            <w:pPr>
              <w:spacing w:after="0" w:line="156"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by reference to Exhibit 10.14 of Amendment No. 3 to the Registration Statement on Form S-1, Registration No. 333-199958, filed</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with the Commission on December 9, 2014)*</w:t>
              </w:r>
            </w:hyperlink>
          </w:p>
        </w:tc>
        <w:tc>
          <w:tcPr>
            <w:tcW w:w="610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Form of Performance Restricted Share Unit Agreement</w:t>
            </w:r>
          </w:p>
        </w:tc>
        <w:tc>
          <w:tcPr>
            <w:tcW w:w="5720" w:type="dxa"/>
            <w:vAlign w:val="bottom"/>
            <w:gridSpan w:val="3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Form of Service-Based Restricted Share Unit Agreement</w:t>
            </w:r>
          </w:p>
        </w:tc>
        <w:tc>
          <w:tcPr>
            <w:tcW w:w="5600" w:type="dxa"/>
            <w:vAlign w:val="bottom"/>
            <w:gridSpan w:val="3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41"/>
          </w:tcPr>
          <w:p>
            <w:pPr>
              <w:spacing w:after="0"/>
              <w:rPr>
                <w:sz w:val="20"/>
                <w:szCs w:val="20"/>
                <w:color w:val="auto"/>
              </w:rPr>
            </w:pPr>
            <w:r>
              <w:rPr>
                <w:rFonts w:ascii="Arial" w:cs="Arial" w:eastAsia="Arial" w:hAnsi="Arial"/>
                <w:sz w:val="18"/>
                <w:szCs w:val="18"/>
                <w:color w:val="0000FF"/>
              </w:rPr>
              <w:t>James River Group Holdings, Ltd. Short-Term Incentive Plan</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41"/>
          </w:tcPr>
          <w:p>
            <w:pPr>
              <w:spacing w:after="0"/>
              <w:rPr>
                <w:rFonts w:ascii="Arial" w:cs="Arial" w:eastAsia="Arial" w:hAnsi="Arial"/>
                <w:sz w:val="18"/>
                <w:szCs w:val="18"/>
                <w:color w:val="0000FF"/>
                <w:w w:val="97"/>
              </w:rPr>
            </w:pPr>
            <w:hyperlink r:id="rId160">
              <w:r>
                <w:rPr>
                  <w:rFonts w:ascii="Arial" w:cs="Arial" w:eastAsia="Arial" w:hAnsi="Arial"/>
                  <w:sz w:val="18"/>
                  <w:szCs w:val="18"/>
                  <w:color w:val="0000FF"/>
                  <w:w w:val="97"/>
                </w:rPr>
                <w:t>James River Group Holdings, Ltd. 2014 Non-Employee Director Incentive Plan (incorporated by reference to Exhibit 10.15 of</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Amendment No. 1 to the Registration Statement on Form S-1, Registration No. 333-199958, filed with the Commission on</w:t>
              </w:r>
            </w:hyperlink>
          </w:p>
        </w:tc>
        <w:tc>
          <w:tcPr>
            <w:tcW w:w="10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November 24, 2014)*</w:t>
              </w:r>
            </w:hyperlink>
          </w:p>
        </w:tc>
        <w:tc>
          <w:tcPr>
            <w:tcW w:w="72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20" w:type="dxa"/>
            <w:vAlign w:val="bottom"/>
            <w:gridSpan w:val="6"/>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rFonts w:ascii="Arial" w:cs="Arial" w:eastAsia="Arial" w:hAnsi="Arial"/>
                <w:sz w:val="18"/>
                <w:szCs w:val="18"/>
                <w:color w:val="0000FF"/>
                <w:w w:val="93"/>
              </w:rPr>
            </w:pPr>
            <w:hyperlink r:id="rId161">
              <w:r>
                <w:rPr>
                  <w:rFonts w:ascii="Arial" w:cs="Arial" w:eastAsia="Arial" w:hAnsi="Arial"/>
                  <w:sz w:val="18"/>
                  <w:szCs w:val="18"/>
                  <w:color w:val="0000FF"/>
                  <w:w w:val="93"/>
                </w:rPr>
                <w:t>Amendment to the 2014 Non-Employee Director Incentive Plan (incorporated by reference to Exhibit 10.1 of the Current Report 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161">
              <w:r>
                <w:rPr>
                  <w:rFonts w:ascii="Arial" w:cs="Arial" w:eastAsia="Arial" w:hAnsi="Arial"/>
                  <w:sz w:val="18"/>
                  <w:szCs w:val="18"/>
                  <w:color w:val="0000FF"/>
                  <w:w w:val="93"/>
                </w:rPr>
                <w:t>Form 8-K filed on May 1, 2019, Commission File No. 001-36777)*</w:t>
              </w:r>
            </w:hyperlink>
          </w:p>
        </w:tc>
        <w:tc>
          <w:tcPr>
            <w:tcW w:w="46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41"/>
          </w:tcPr>
          <w:p>
            <w:pPr>
              <w:spacing w:after="0"/>
              <w:rPr>
                <w:rFonts w:ascii="Arial" w:cs="Arial" w:eastAsia="Arial" w:hAnsi="Arial"/>
                <w:sz w:val="18"/>
                <w:szCs w:val="18"/>
                <w:color w:val="0000FF"/>
                <w:w w:val="97"/>
              </w:rPr>
            </w:pPr>
            <w:hyperlink r:id="rId162">
              <w:r>
                <w:rPr>
                  <w:rFonts w:ascii="Arial" w:cs="Arial" w:eastAsia="Arial" w:hAnsi="Arial"/>
                  <w:sz w:val="18"/>
                  <w:szCs w:val="18"/>
                  <w:color w:val="0000FF"/>
                  <w:w w:val="97"/>
                </w:rPr>
                <w:t>Form of Restricted Share Award Agreement (James River Group Holdings, Ltd. 2014 Non-Employee Director Incentive Plan)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(incorporated by reference to Exhibit 10.16 of Amendment No. 1 to the Registration Statement on Form S-1, Registration No.</w:t>
              </w:r>
            </w:hyperlink>
          </w:p>
        </w:tc>
        <w:tc>
          <w:tcPr>
            <w:tcW w:w="440" w:type="dxa"/>
            <w:vAlign w:val="bottom"/>
            <w:gridSpan w:val="12"/>
          </w:tcPr>
          <w:p>
            <w:pPr>
              <w:jc w:val="right"/>
              <w:ind w:right="80"/>
              <w:spacing w:after="0" w:line="156"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333-</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162">
              <w:r>
                <w:rPr>
                  <w:rFonts w:ascii="Arial" w:cs="Arial" w:eastAsia="Arial" w:hAnsi="Arial"/>
                  <w:sz w:val="18"/>
                  <w:szCs w:val="18"/>
                  <w:color w:val="0000FF"/>
                </w:rPr>
                <w:t>199958, filed with the Commission on November 24, 2014)*</w:t>
              </w:r>
            </w:hyperlink>
          </w:p>
        </w:tc>
        <w:tc>
          <w:tcPr>
            <w:tcW w:w="1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rFonts w:ascii="Arial" w:cs="Arial" w:eastAsia="Arial" w:hAnsi="Arial"/>
                <w:sz w:val="18"/>
                <w:szCs w:val="18"/>
                <w:color w:val="0000FF"/>
                <w:w w:val="93"/>
              </w:rPr>
            </w:pPr>
            <w:hyperlink r:id="rId163">
              <w:r>
                <w:rPr>
                  <w:rFonts w:ascii="Arial" w:cs="Arial" w:eastAsia="Arial" w:hAnsi="Arial"/>
                  <w:sz w:val="18"/>
                  <w:szCs w:val="18"/>
                  <w:color w:val="0000FF"/>
                  <w:w w:val="93"/>
                </w:rPr>
                <w:t>Form of Restricted Share Unit Award Agreement (James River Group Holdings, Ltd., 2014 Non-Employee Director Incentive Plan)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2"/>
          </w:tcPr>
          <w:p>
            <w:pPr>
              <w:spacing w:after="0" w:line="15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(incorporated by reference to Exhibit 10.17 of Amendment No. 3 to the Registration Statement on Form S-1, Registration No. 333-</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199958, filed with the Commission on December 9, 2014)*</w:t>
              </w:r>
            </w:hyperlink>
          </w:p>
        </w:tc>
        <w:tc>
          <w:tcPr>
            <w:tcW w:w="5140" w:type="dxa"/>
            <w:vAlign w:val="bottom"/>
            <w:tcBorders>
              <w:top w:val="single" w:sz="8" w:color="0000FF"/>
            </w:tcBorders>
            <w:gridSpan w:val="18"/>
          </w:tcPr>
          <w:p>
            <w:pPr>
              <w:spacing w:after="0"/>
              <w:rPr>
                <w:sz w:val="14"/>
                <w:szCs w:val="14"/>
                <w:color w:val="auto"/>
              </w:rPr>
            </w:pPr>
          </w:p>
        </w:tc>
        <w:tc>
          <w:tcPr>
            <w:tcW w:w="16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10.28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rFonts w:ascii="Arial" w:cs="Arial" w:eastAsia="Arial" w:hAnsi="Arial"/>
                <w:sz w:val="18"/>
                <w:szCs w:val="18"/>
                <w:color w:val="0000FF"/>
              </w:rPr>
            </w:pPr>
            <w:hyperlink r:id="rId164">
              <w:r>
                <w:rPr>
                  <w:rFonts w:ascii="Arial" w:cs="Arial" w:eastAsia="Arial" w:hAnsi="Arial"/>
                  <w:sz w:val="18"/>
                  <w:szCs w:val="18"/>
                  <w:color w:val="0000FF"/>
                </w:rPr>
                <w:t>James River Management Company, Inc. Leadership Recognition Program (incorporated by reference to Exhibit 10.18 of</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560" w:type="dxa"/>
            <w:vAlign w:val="bottom"/>
            <w:gridSpan w:val="10"/>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41"/>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Amendment No. 1 to the Registration Statement on Form S-1, Registration No. 333-199958, filed with the Commission on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November 24, 2014)*</w:t>
              </w:r>
            </w:hyperlink>
          </w:p>
        </w:tc>
        <w:tc>
          <w:tcPr>
            <w:tcW w:w="72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4"/>
          </w:tcPr>
          <w:p>
            <w:pPr>
              <w:spacing w:after="0"/>
              <w:rPr>
                <w:sz w:val="14"/>
                <w:szCs w:val="14"/>
                <w:color w:val="auto"/>
              </w:rPr>
            </w:pPr>
          </w:p>
        </w:tc>
        <w:tc>
          <w:tcPr>
            <w:tcW w:w="380" w:type="dxa"/>
            <w:vAlign w:val="bottom"/>
            <w:gridSpan w:val="13"/>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tcBorders>
              <w:bottom w:val="single" w:sz="8" w:color="0000FF"/>
            </w:tcBorders>
            <w:gridSpan w:val="22"/>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Employment Agreement, dated October 28, 2020, by and among Frank N. D’Orazio, James River Group Holdings, Ltd., and its</w:t>
              </w:r>
            </w:hyperlink>
          </w:p>
        </w:tc>
        <w:tc>
          <w:tcPr>
            <w:tcW w:w="50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41"/>
          </w:tcPr>
          <w:p>
            <w:pPr>
              <w:spacing w:after="0" w:line="15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subsidiary, James River Group, Inc. (incorporated by reference to Exhibit 10.1 to the Current Report on Form 8-K filed on November</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38"/>
          </w:tcPr>
          <w:p>
            <w:pPr>
              <w:spacing w:after="0" w:line="169" w:lineRule="exact"/>
              <w:rPr>
                <w:rFonts w:ascii="Arial" w:cs="Arial" w:eastAsia="Arial" w:hAnsi="Arial"/>
                <w:sz w:val="18"/>
                <w:szCs w:val="18"/>
                <w:color w:val="0000FF"/>
              </w:rPr>
            </w:pPr>
            <w:hyperlink r:id="rId165">
              <w:r>
                <w:rPr>
                  <w:rFonts w:ascii="Arial" w:cs="Arial" w:eastAsia="Arial" w:hAnsi="Arial"/>
                  <w:sz w:val="18"/>
                  <w:szCs w:val="18"/>
                  <w:color w:val="0000FF"/>
                </w:rPr>
                <w:t>2, 2020, Commission File No. 001-36777) *</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80" w:type="dxa"/>
            <w:vAlign w:val="bottom"/>
            <w:gridSpan w:val="12"/>
          </w:tcPr>
          <w:p>
            <w:pPr>
              <w:spacing w:after="0" w:line="20" w:lineRule="exact"/>
              <w:rPr>
                <w:sz w:val="1"/>
                <w:szCs w:val="1"/>
                <w:color w:val="auto"/>
              </w:rPr>
            </w:pPr>
          </w:p>
        </w:tc>
        <w:tc>
          <w:tcPr>
            <w:tcW w:w="720" w:type="dxa"/>
            <w:vAlign w:val="bottom"/>
            <w:gridSpan w:val="1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10.30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Employment Agreement, dated December 19, 2016, by and among James River Group Holdings, Ltd., James River Group, Inc.,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35"/>
          </w:tcPr>
          <w:p>
            <w:pPr>
              <w:spacing w:after="0" w:line="156" w:lineRule="exact"/>
              <w:rPr>
                <w:rFonts w:ascii="Arial" w:cs="Arial" w:eastAsia="Arial" w:hAnsi="Arial"/>
                <w:sz w:val="18"/>
                <w:szCs w:val="18"/>
                <w:color w:val="0000FF"/>
                <w:w w:val="98"/>
              </w:rPr>
            </w:pPr>
            <w:hyperlink r:id="rId166">
              <w:r>
                <w:rPr>
                  <w:rFonts w:ascii="Arial" w:cs="Arial" w:eastAsia="Arial" w:hAnsi="Arial"/>
                  <w:sz w:val="18"/>
                  <w:szCs w:val="18"/>
                  <w:color w:val="0000FF"/>
                  <w:w w:val="98"/>
                </w:rPr>
                <w:t>Sarah C. Doran (incorporated by reference to Exhibit 10.1 to the Current Report on Form 8-K filed on December 22, 2016,</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66">
              <w:r>
                <w:rPr>
                  <w:rFonts w:ascii="Arial" w:cs="Arial" w:eastAsia="Arial" w:hAnsi="Arial"/>
                  <w:sz w:val="18"/>
                  <w:szCs w:val="18"/>
                  <w:color w:val="0000FF"/>
                </w:rPr>
                <w:t>Commission File No. 001-36777)*</w:t>
              </w:r>
            </w:hyperlink>
          </w:p>
        </w:tc>
        <w:tc>
          <w:tcPr>
            <w:tcW w:w="84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7200" w:type="dxa"/>
            <w:vAlign w:val="bottom"/>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rFonts w:ascii="Arial" w:cs="Arial" w:eastAsia="Arial" w:hAnsi="Arial"/>
                <w:sz w:val="18"/>
                <w:szCs w:val="18"/>
                <w:u w:val="single" w:color="auto"/>
                <w:color w:val="0000FF"/>
                <w:w w:val="92"/>
              </w:rPr>
            </w:pPr>
            <w:hyperlink r:id="rId167">
              <w:r>
                <w:rPr>
                  <w:rFonts w:ascii="Arial" w:cs="Arial" w:eastAsia="Arial" w:hAnsi="Arial"/>
                  <w:sz w:val="18"/>
                  <w:szCs w:val="18"/>
                  <w:u w:val="single" w:color="auto"/>
                  <w:color w:val="0000FF"/>
                  <w:w w:val="92"/>
                </w:rPr>
                <w:t>Amendment to Employment Agreement dated December 19, 2016, between Sarah C. Doran and James River Group Holdings, Ltd.,</w:t>
              </w:r>
            </w:hyperlink>
          </w:p>
        </w:tc>
        <w:tc>
          <w:tcPr>
            <w:tcW w:w="0" w:type="dxa"/>
            <w:vAlign w:val="bottom"/>
          </w:tcPr>
          <w:p>
            <w:pPr>
              <w:spacing w:after="0"/>
              <w:rPr>
                <w:sz w:val="1"/>
                <w:szCs w:val="1"/>
                <w:color w:val="auto"/>
              </w:rPr>
            </w:pPr>
          </w:p>
        </w:tc>
      </w:tr>
    </w:tbl>
    <w:p>
      <w:pPr>
        <w:ind w:left="1500" w:right="140"/>
        <w:spacing w:after="0" w:line="233"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and its subsidiary, James River Group, Inc. (incorporated by reference to Exhibit 10.1 to the Quarterly Report on Form 10-Q filed on</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November 8, 2018, Commission File No. 001-36777)*</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80" w:type="dxa"/>
            <w:vAlign w:val="bottom"/>
            <w:gridSpan w:val="25"/>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10.32</w:t>
            </w: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80" w:type="dxa"/>
            <w:vAlign w:val="bottom"/>
            <w:tcBorders>
              <w:top w:val="single" w:sz="8" w:color="auto"/>
            </w:tcBorders>
            <w:gridSpan w:val="30"/>
          </w:tcPr>
          <w:p>
            <w:pPr>
              <w:spacing w:after="0" w:line="189" w:lineRule="exact"/>
              <w:rPr>
                <w:rFonts w:ascii="Arial" w:cs="Arial" w:eastAsia="Arial" w:hAnsi="Arial"/>
                <w:sz w:val="18"/>
                <w:szCs w:val="18"/>
                <w:color w:val="0000FF"/>
                <w:w w:val="89"/>
              </w:rPr>
            </w:pPr>
            <w:hyperlink r:id="rId169">
              <w:r>
                <w:rPr>
                  <w:rFonts w:ascii="Arial" w:cs="Arial" w:eastAsia="Arial" w:hAnsi="Arial"/>
                  <w:sz w:val="18"/>
                  <w:szCs w:val="18"/>
                  <w:color w:val="0000FF"/>
                  <w:w w:val="89"/>
                </w:rPr>
                <w:t>Amended and Restated Employment Agreement, dated January 15, 2018, by and among James River Group, Inc., certain subsidiaries</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of James River Group, Inc. and Richard Schmitzer (incorporated by reference to Exhibit 10.22 to Annual Report on Form 10-K filed</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on March 1, 2018, Commission File No. 001-36777)*</w:t>
              </w:r>
            </w:hyperlink>
          </w:p>
        </w:tc>
        <w:tc>
          <w:tcPr>
            <w:tcW w:w="572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10.33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60" w:type="dxa"/>
            <w:vAlign w:val="bottom"/>
            <w:tcBorders>
              <w:bottom w:val="single" w:sz="8" w:color="0000FF"/>
            </w:tcBorders>
            <w:gridSpan w:val="13"/>
          </w:tcPr>
          <w:p>
            <w:pPr>
              <w:spacing w:after="0"/>
              <w:rPr>
                <w:rFonts w:ascii="Arial" w:cs="Arial" w:eastAsia="Arial" w:hAnsi="Arial"/>
                <w:sz w:val="18"/>
                <w:szCs w:val="18"/>
                <w:color w:val="0000FF"/>
                <w:w w:val="89"/>
              </w:rPr>
            </w:pPr>
            <w:hyperlink r:id="rId170">
              <w:r>
                <w:rPr>
                  <w:rFonts w:ascii="Arial" w:cs="Arial" w:eastAsia="Arial" w:hAnsi="Arial"/>
                  <w:sz w:val="18"/>
                  <w:szCs w:val="18"/>
                  <w:color w:val="0000FF"/>
                  <w:w w:val="89"/>
                </w:rPr>
                <w:t>James River Management Company, Inc. Leadership Recognition Program Award Letter, dated September 30, 2011 to Richard</w:t>
              </w:r>
            </w:hyperlink>
          </w:p>
        </w:tc>
        <w:tc>
          <w:tcPr>
            <w:tcW w:w="58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1"/>
          </w:tcPr>
          <w:p>
            <w:pPr>
              <w:spacing w:after="0" w:line="156" w:lineRule="exact"/>
              <w:rPr>
                <w:rFonts w:ascii="Arial" w:cs="Arial" w:eastAsia="Arial" w:hAnsi="Arial"/>
                <w:sz w:val="18"/>
                <w:szCs w:val="18"/>
                <w:color w:val="0000FF"/>
                <w:w w:val="93"/>
              </w:rPr>
            </w:pPr>
            <w:hyperlink r:id="rId170">
              <w:r>
                <w:rPr>
                  <w:rFonts w:ascii="Arial" w:cs="Arial" w:eastAsia="Arial" w:hAnsi="Arial"/>
                  <w:sz w:val="18"/>
                  <w:szCs w:val="18"/>
                  <w:color w:val="0000FF"/>
                  <w:w w:val="93"/>
                </w:rPr>
                <w:t>Schmitzer (incorporated by reference to Exhibit 10.22 of Amendment No. 1 to the Registration Statement on Form S-1, Registration</w:t>
              </w:r>
            </w:hyperlink>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70">
              <w:r>
                <w:rPr>
                  <w:rFonts w:ascii="Arial" w:cs="Arial" w:eastAsia="Arial" w:hAnsi="Arial"/>
                  <w:sz w:val="18"/>
                  <w:szCs w:val="18"/>
                  <w:color w:val="0000FF"/>
                </w:rPr>
                <w:t>No. 333-199958, filed with the Commission on November 24,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10.34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1"/>
          </w:tcPr>
          <w:p>
            <w:pPr>
              <w:spacing w:after="0"/>
              <w:rPr>
                <w:rFonts w:ascii="Arial" w:cs="Arial" w:eastAsia="Arial" w:hAnsi="Arial"/>
                <w:sz w:val="18"/>
                <w:szCs w:val="18"/>
                <w:color w:val="0000FF"/>
                <w:w w:val="94"/>
              </w:rPr>
            </w:pPr>
            <w:hyperlink r:id="rId171">
              <w:r>
                <w:rPr>
                  <w:rFonts w:ascii="Arial" w:cs="Arial" w:eastAsia="Arial" w:hAnsi="Arial"/>
                  <w:sz w:val="18"/>
                  <w:szCs w:val="18"/>
                  <w:color w:val="0000FF"/>
                  <w:w w:val="94"/>
                </w:rPr>
                <w:t>Employment Agreement, dated September 17, 2018, by and among James River Group, Inc., certain subsidiaries of James River</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Group, Inc. and Terry McCafferty, as supplemented by a letter agreement dated October 12, 2018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171">
              <w:r>
                <w:rPr>
                  <w:rFonts w:ascii="Arial" w:cs="Arial" w:eastAsia="Arial" w:hAnsi="Arial"/>
                  <w:sz w:val="18"/>
                  <w:szCs w:val="18"/>
                  <w:color w:val="0000FF"/>
                </w:rPr>
                <w:t>Exhibit 10.30 to the Annual Report on Form 10-K filed on February 27, 2019, Commission File No. 001-36777)*</w:t>
              </w:r>
            </w:hyperlink>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10.35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1"/>
          </w:tcPr>
          <w:p>
            <w:pPr>
              <w:spacing w:after="0"/>
              <w:rPr>
                <w:rFonts w:ascii="Arial" w:cs="Arial" w:eastAsia="Arial" w:hAnsi="Arial"/>
                <w:sz w:val="18"/>
                <w:szCs w:val="18"/>
                <w:color w:val="0000FF"/>
                <w:w w:val="93"/>
              </w:rPr>
            </w:pPr>
            <w:hyperlink r:id="rId172">
              <w:r>
                <w:rPr>
                  <w:rFonts w:ascii="Arial" w:cs="Arial" w:eastAsia="Arial" w:hAnsi="Arial"/>
                  <w:sz w:val="18"/>
                  <w:szCs w:val="18"/>
                  <w:color w:val="0000FF"/>
                  <w:w w:val="93"/>
                </w:rPr>
                <w:t>Employment Agreement, dated April 5, 2018, by and among JRG Reinsurance Company, Ltd. and Daniel Heinlein (incorporated by</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2"/>
          </w:tcPr>
          <w:p>
            <w:pPr>
              <w:spacing w:after="0" w:line="156" w:lineRule="exact"/>
              <w:rPr>
                <w:rFonts w:ascii="Arial" w:cs="Arial" w:eastAsia="Arial" w:hAnsi="Arial"/>
                <w:sz w:val="18"/>
                <w:szCs w:val="18"/>
                <w:color w:val="0000FF"/>
                <w:w w:val="96"/>
              </w:rPr>
            </w:pPr>
            <w:hyperlink r:id="rId172">
              <w:r>
                <w:rPr>
                  <w:rFonts w:ascii="Arial" w:cs="Arial" w:eastAsia="Arial" w:hAnsi="Arial"/>
                  <w:sz w:val="18"/>
                  <w:szCs w:val="18"/>
                  <w:color w:val="0000FF"/>
                  <w:w w:val="96"/>
                </w:rPr>
                <w:t>reference to Exhibit 10.31 to the Annual Report on Form 10-K filed on February 27, 2019, Commission File No. 001-36777)*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10.36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1"/>
          </w:tcPr>
          <w:p>
            <w:pPr>
              <w:spacing w:after="0"/>
              <w:rPr>
                <w:rFonts w:ascii="Arial" w:cs="Arial" w:eastAsia="Arial" w:hAnsi="Arial"/>
                <w:sz w:val="18"/>
                <w:szCs w:val="18"/>
                <w:color w:val="0000FF"/>
                <w:w w:val="92"/>
              </w:rPr>
            </w:pPr>
            <w:hyperlink r:id="rId173">
              <w:r>
                <w:rPr>
                  <w:rFonts w:ascii="Arial" w:cs="Arial" w:eastAsia="Arial" w:hAnsi="Arial"/>
                  <w:sz w:val="18"/>
                  <w:szCs w:val="18"/>
                  <w:color w:val="0000FF"/>
                  <w:w w:val="92"/>
                </w:rPr>
                <w:t>Investment Agreement, dated February 24, 2022, by and between James River Group Holdings, Ltd. and GPC Partners Investments</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(Thames) LP (incorporated by reference to Exhibit 10.1 on the Current Report on Form 8-K filed on February 28, 2022; Commission</w:t>
              </w:r>
            </w:hyperlink>
          </w:p>
        </w:tc>
        <w:tc>
          <w:tcPr>
            <w:tcW w:w="8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27"/>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File No. 001-36777)</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10.37</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60" w:type="dxa"/>
            <w:vAlign w:val="bottom"/>
            <w:tcBorders>
              <w:bottom w:val="single" w:sz="8" w:color="0000FF"/>
            </w:tcBorders>
            <w:gridSpan w:val="16"/>
          </w:tcPr>
          <w:p>
            <w:pPr>
              <w:spacing w:after="0"/>
              <w:rPr>
                <w:rFonts w:ascii="Arial" w:cs="Arial" w:eastAsia="Arial" w:hAnsi="Arial"/>
                <w:sz w:val="18"/>
                <w:szCs w:val="18"/>
                <w:color w:val="0000FF"/>
                <w:w w:val="90"/>
              </w:rPr>
            </w:pPr>
            <w:hyperlink r:id="rId174">
              <w:r>
                <w:rPr>
                  <w:rFonts w:ascii="Arial" w:cs="Arial" w:eastAsia="Arial" w:hAnsi="Arial"/>
                  <w:sz w:val="18"/>
                  <w:szCs w:val="18"/>
                  <w:color w:val="0000FF"/>
                  <w:w w:val="90"/>
                </w:rPr>
                <w:t>Amendment No. 1 to Investment Agreement, dated March 1, 2022, by and between James River Group Holdings, Ltd. and GPC</w:t>
              </w:r>
            </w:hyperlink>
          </w:p>
        </w:tc>
        <w:tc>
          <w:tcPr>
            <w:tcW w:w="48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Partners Investments (Thames) LP (incorporated by reference to Exhibit 10.2 to the Quarterly Report on Form 10-Q filed on May 10,</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2022; Commission File No. 001-36777)</w:t>
              </w:r>
            </w:hyperlink>
          </w:p>
        </w:tc>
        <w:tc>
          <w:tcPr>
            <w:tcW w:w="6760" w:type="dxa"/>
            <w:vAlign w:val="bottom"/>
            <w:tcBorders>
              <w:top w:val="single" w:sz="8" w:color="0000FF"/>
            </w:tcBorders>
            <w:gridSpan w:val="25"/>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10.38</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31"/>
          </w:tcPr>
          <w:p>
            <w:pPr>
              <w:spacing w:after="0"/>
              <w:rPr>
                <w:rFonts w:ascii="Arial" w:cs="Arial" w:eastAsia="Arial" w:hAnsi="Arial"/>
                <w:sz w:val="18"/>
                <w:szCs w:val="18"/>
                <w:color w:val="0000FF"/>
                <w:w w:val="93"/>
              </w:rPr>
            </w:pPr>
            <w:hyperlink r:id="rId175">
              <w:r>
                <w:rPr>
                  <w:rFonts w:ascii="Arial" w:cs="Arial" w:eastAsia="Arial" w:hAnsi="Arial"/>
                  <w:sz w:val="18"/>
                  <w:szCs w:val="18"/>
                  <w:color w:val="0000FF"/>
                  <w:w w:val="93"/>
                </w:rPr>
                <w:t>Certificate of Designations of 7% Series A Perpetual Cumulative Convertible Preferred Shares of James River Group Holdings, Ltd.</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tcBorders>
            <w:gridSpan w:val="24"/>
          </w:tcPr>
          <w:p>
            <w:pPr>
              <w:spacing w:after="0" w:line="182" w:lineRule="exact"/>
              <w:rPr>
                <w:rFonts w:ascii="Arial" w:cs="Arial" w:eastAsia="Arial" w:hAnsi="Arial"/>
                <w:sz w:val="18"/>
                <w:szCs w:val="18"/>
                <w:color w:val="0000FF"/>
                <w:w w:val="96"/>
              </w:rPr>
            </w:pPr>
            <w:hyperlink r:id="rId175">
              <w:r>
                <w:rPr>
                  <w:rFonts w:ascii="Arial" w:cs="Arial" w:eastAsia="Arial" w:hAnsi="Arial"/>
                  <w:sz w:val="18"/>
                  <w:szCs w:val="18"/>
                  <w:color w:val="0000FF"/>
                  <w:w w:val="96"/>
                </w:rPr>
                <w:t>dated March 1, 2022 (incorporated by reference to Exhibit 10.3 to the Quarterly Report on Form 10-Q filed on May 10, 2022;</w:t>
              </w:r>
            </w:hyperlink>
          </w:p>
        </w:tc>
        <w:tc>
          <w:tcPr>
            <w:tcW w:w="20" w:type="dxa"/>
            <w:vAlign w:val="bottom"/>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Commission File No. 001-36777)</w:t>
              </w:r>
            </w:hyperlink>
          </w:p>
        </w:tc>
        <w:tc>
          <w:tcPr>
            <w:tcW w:w="6660" w:type="dxa"/>
            <w:vAlign w:val="bottom"/>
            <w:tcBorders>
              <w:top w:val="single" w:sz="8" w:color="0000FF"/>
            </w:tcBorders>
            <w:gridSpan w:val="9"/>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10.39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31"/>
          </w:tcPr>
          <w:p>
            <w:pPr>
              <w:spacing w:after="0"/>
              <w:rPr>
                <w:rFonts w:ascii="Arial" w:cs="Arial" w:eastAsia="Arial" w:hAnsi="Arial"/>
                <w:sz w:val="18"/>
                <w:szCs w:val="18"/>
                <w:color w:val="0000FF"/>
                <w:w w:val="98"/>
              </w:rPr>
            </w:pPr>
            <w:hyperlink r:id="rId176">
              <w:r>
                <w:rPr>
                  <w:rFonts w:ascii="Arial" w:cs="Arial" w:eastAsia="Arial" w:hAnsi="Arial"/>
                  <w:sz w:val="18"/>
                  <w:szCs w:val="18"/>
                  <w:color w:val="0000FF"/>
                  <w:w w:val="98"/>
                </w:rPr>
                <w:t>Registration Rights Agreement, dated March 1, 2022, by and between James River Group Holdings, Ltd. and GPC Partners</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FF"/>
                <w:w w:val="94"/>
              </w:rPr>
            </w:pPr>
            <w:hyperlink r:id="rId176">
              <w:r>
                <w:rPr>
                  <w:rFonts w:ascii="Arial" w:cs="Arial" w:eastAsia="Arial" w:hAnsi="Arial"/>
                  <w:sz w:val="18"/>
                  <w:szCs w:val="18"/>
                  <w:color w:val="0000FF"/>
                  <w:w w:val="94"/>
                </w:rPr>
                <w:t>Investments (Thames) LP (incorporated by reference to Exhibit 10.4 to the Quarterly Report on Form 10-Q filed on May 10, 2022;</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Commission File No. 001-36777)</w:t>
              </w:r>
            </w:hyperlink>
          </w:p>
        </w:tc>
        <w:tc>
          <w:tcPr>
            <w:tcW w:w="7000" w:type="dxa"/>
            <w:vAlign w:val="bottom"/>
            <w:tcBorders>
              <w:top w:val="single" w:sz="8" w:color="0000FF"/>
            </w:tcBorders>
            <w:gridSpan w:val="17"/>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10.40</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20" w:type="dxa"/>
            <w:vAlign w:val="bottom"/>
            <w:tcBorders>
              <w:bottom w:val="single" w:sz="8" w:color="0000FF"/>
            </w:tcBorders>
            <w:gridSpan w:val="14"/>
          </w:tcPr>
          <w:p>
            <w:pPr>
              <w:spacing w:after="0"/>
              <w:rPr>
                <w:rFonts w:ascii="Arial" w:cs="Arial" w:eastAsia="Arial" w:hAnsi="Arial"/>
                <w:sz w:val="18"/>
                <w:szCs w:val="18"/>
                <w:color w:val="0000FF"/>
                <w:w w:val="88"/>
              </w:rPr>
            </w:pPr>
            <w:hyperlink r:id="rId177">
              <w:r>
                <w:rPr>
                  <w:rFonts w:ascii="Arial" w:cs="Arial" w:eastAsia="Arial" w:hAnsi="Arial"/>
                  <w:sz w:val="18"/>
                  <w:szCs w:val="18"/>
                  <w:color w:val="0000FF"/>
                  <w:w w:val="88"/>
                </w:rPr>
                <w:t>Loss Portfolio Transfer Reinsurance Agreement dated September 27, 2021 between James River Insurance Company and James</w:t>
              </w:r>
            </w:hyperlink>
          </w:p>
        </w:tc>
        <w:tc>
          <w:tcPr>
            <w:tcW w:w="52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1"/>
          </w:tcPr>
          <w:p>
            <w:pPr>
              <w:spacing w:after="0" w:line="156" w:lineRule="exact"/>
              <w:rPr>
                <w:rFonts w:ascii="Arial" w:cs="Arial" w:eastAsia="Arial" w:hAnsi="Arial"/>
                <w:sz w:val="18"/>
                <w:szCs w:val="18"/>
                <w:color w:val="0000FF"/>
                <w:w w:val="94"/>
              </w:rPr>
            </w:pPr>
            <w:hyperlink r:id="rId177">
              <w:r>
                <w:rPr>
                  <w:rFonts w:ascii="Arial" w:cs="Arial" w:eastAsia="Arial" w:hAnsi="Arial"/>
                  <w:sz w:val="18"/>
                  <w:szCs w:val="18"/>
                  <w:color w:val="0000FF"/>
                  <w:w w:val="94"/>
                </w:rPr>
                <w:t>River Casualty Company and Aleka Insurance, Inc. (incorporated by reference to Exhibit 10.1 on the Current Report on Form 8-K</w:t>
              </w:r>
            </w:hyperlink>
          </w:p>
        </w:tc>
        <w:tc>
          <w:tcPr>
            <w:tcW w:w="0" w:type="dxa"/>
            <w:vAlign w:val="bottom"/>
          </w:tcPr>
          <w:p>
            <w:pPr>
              <w:spacing w:after="0"/>
              <w:rPr>
                <w:sz w:val="1"/>
                <w:szCs w:val="1"/>
                <w:color w:val="auto"/>
              </w:rPr>
            </w:pPr>
          </w:p>
        </w:tc>
      </w:tr>
      <w:tr>
        <w:trPr>
          <w:trHeight w:val="169"/>
        </w:trPr>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auto"/>
              </w:rPr>
              <w:t>10.41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0"/>
              </w:rPr>
            </w:pPr>
            <w:hyperlink r:id="rId177">
              <w:r>
                <w:rPr>
                  <w:rFonts w:ascii="Arial" w:cs="Arial" w:eastAsia="Arial" w:hAnsi="Arial"/>
                  <w:sz w:val="18"/>
                  <w:szCs w:val="18"/>
                  <w:color w:val="0000FF"/>
                  <w:w w:val="90"/>
                </w:rPr>
                <w:t>filed on September 30, 2021, Commission File No. 001-36777)</w:t>
              </w:r>
            </w:hyperlink>
          </w:p>
        </w:tc>
        <w:tc>
          <w:tcPr>
            <w:tcW w:w="4820" w:type="dxa"/>
            <w:vAlign w:val="bottom"/>
            <w:tcBorders>
              <w:top w:val="single" w:sz="8" w:color="0000FF"/>
            </w:tcBorders>
            <w:gridSpan w:val="11"/>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1"/>
          </w:tcPr>
          <w:p>
            <w:pPr>
              <w:spacing w:after="0"/>
              <w:rPr>
                <w:rFonts w:ascii="Arial" w:cs="Arial" w:eastAsia="Arial" w:hAnsi="Arial"/>
                <w:sz w:val="18"/>
                <w:szCs w:val="18"/>
                <w:color w:val="0000FF"/>
                <w:w w:val="93"/>
              </w:rPr>
            </w:pPr>
            <w:hyperlink r:id="rId178">
              <w:r>
                <w:rPr>
                  <w:rFonts w:ascii="Arial" w:cs="Arial" w:eastAsia="Arial" w:hAnsi="Arial"/>
                  <w:sz w:val="18"/>
                  <w:szCs w:val="18"/>
                  <w:color w:val="0000FF"/>
                  <w:w w:val="93"/>
                </w:rPr>
                <w:t>Trust Agreement dated September 27, 2021 among James River Insurance Company and James River Casualty Company, Aleka</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Insurance, Inc., and Wells Fargo Bank, N.A. (incorporated by reference to Exhibit 10.2 on the Current Report on Form 8-K filed</w:t>
              </w:r>
            </w:hyperlink>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gridSpan w:val="3"/>
          </w:tcPr>
          <w:p>
            <w:pPr>
              <w:spacing w:after="0" w:line="182" w:lineRule="exact"/>
              <w:rPr>
                <w:rFonts w:ascii="Arial" w:cs="Arial" w:eastAsia="Arial" w:hAnsi="Arial"/>
                <w:sz w:val="18"/>
                <w:szCs w:val="18"/>
                <w:color w:val="0000FF"/>
                <w:w w:val="79"/>
              </w:rPr>
            </w:pPr>
            <w:hyperlink r:id="rId178">
              <w:r>
                <w:rPr>
                  <w:rFonts w:ascii="Arial" w:cs="Arial" w:eastAsia="Arial" w:hAnsi="Arial"/>
                  <w:sz w:val="18"/>
                  <w:szCs w:val="18"/>
                  <w:color w:val="0000FF"/>
                  <w:w w:val="79"/>
                </w:rPr>
                <w:t>on</w:t>
              </w:r>
            </w:hyperlink>
          </w:p>
        </w:tc>
        <w:tc>
          <w:tcPr>
            <w:tcW w:w="2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September 30, 2021, Commission File No. 001-36777)</w:t>
              </w:r>
            </w:hyperlink>
          </w:p>
        </w:tc>
        <w:tc>
          <w:tcPr>
            <w:tcW w:w="57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10.42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1"/>
          </w:tcPr>
          <w:p>
            <w:pPr>
              <w:spacing w:after="0"/>
              <w:rPr>
                <w:rFonts w:ascii="Arial" w:cs="Arial" w:eastAsia="Arial" w:hAnsi="Arial"/>
                <w:sz w:val="18"/>
                <w:szCs w:val="18"/>
                <w:color w:val="0000FF"/>
                <w:w w:val="91"/>
              </w:rPr>
            </w:pPr>
            <w:hyperlink r:id="rId179">
              <w:r>
                <w:rPr>
                  <w:rFonts w:ascii="Arial" w:cs="Arial" w:eastAsia="Arial" w:hAnsi="Arial"/>
                  <w:sz w:val="18"/>
                  <w:szCs w:val="18"/>
                  <w:color w:val="0000FF"/>
                  <w:w w:val="91"/>
                </w:rPr>
                <w:t>Loss Portfolio Transfer Retrocession Agreement entered into on February 23, 2022 by and between JRG Reinsurance Company Ltd.</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25"/>
          </w:tcPr>
          <w:p>
            <w:pPr>
              <w:spacing w:after="0" w:line="182" w:lineRule="exact"/>
              <w:rPr>
                <w:rFonts w:ascii="Arial" w:cs="Arial" w:eastAsia="Arial" w:hAnsi="Arial"/>
                <w:sz w:val="18"/>
                <w:szCs w:val="18"/>
                <w:color w:val="0000FF"/>
                <w:w w:val="94"/>
              </w:rPr>
            </w:pPr>
            <w:hyperlink r:id="rId179">
              <w:r>
                <w:rPr>
                  <w:rFonts w:ascii="Arial" w:cs="Arial" w:eastAsia="Arial" w:hAnsi="Arial"/>
                  <w:sz w:val="18"/>
                  <w:szCs w:val="18"/>
                  <w:color w:val="0000FF"/>
                  <w:w w:val="94"/>
                </w:rPr>
                <w:t>and Fortitude Reinsurance Company Ltd. (incorporated by reference to Exhibit 10.2 on the Current Report on Form 8-K filed on</w:t>
              </w:r>
            </w:hyperlink>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February 28, 2022; Commission File No. 001-36777)</w:t>
              </w:r>
            </w:hyperlink>
          </w:p>
        </w:tc>
        <w:tc>
          <w:tcPr>
            <w:tcW w:w="5440" w:type="dxa"/>
            <w:vAlign w:val="bottom"/>
            <w:tcBorders>
              <w:top w:val="single" w:sz="8" w:color="0000FF"/>
            </w:tcBorders>
            <w:gridSpan w:val="13"/>
          </w:tcPr>
          <w:p>
            <w:pPr>
              <w:spacing w:after="0"/>
              <w:rPr>
                <w:sz w:val="15"/>
                <w:szCs w:val="15"/>
                <w:color w:val="auto"/>
              </w:rPr>
            </w:pPr>
          </w:p>
        </w:tc>
        <w:tc>
          <w:tcPr>
            <w:tcW w:w="4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925"/>
        </w:trPr>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80" w:type="dxa"/>
            <w:vAlign w:val="bottom"/>
            <w:gridSpan w:val="8"/>
          </w:tcPr>
          <w:p>
            <w:pPr>
              <w:jc w:val="right"/>
              <w:ind w:right="228"/>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21.1</w:t>
            </w: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100" w:type="dxa"/>
            <w:vAlign w:val="bottom"/>
            <w:tcBorders>
              <w:top w:val="single" w:sz="8" w:color="auto"/>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2"/>
              </w:rPr>
              <w:t>List of subsidiaries of James River Group Holdings, Ltd.</w:t>
            </w:r>
          </w:p>
        </w:tc>
        <w:tc>
          <w:tcPr>
            <w:tcW w:w="5600" w:type="dxa"/>
            <w:vAlign w:val="bottom"/>
            <w:tcBorders>
              <w:top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Consent of Ernst &amp; Young LLP, Independent Registered Public Accounting Firm</w:t>
            </w:r>
          </w:p>
        </w:tc>
        <w:tc>
          <w:tcPr>
            <w:tcW w:w="3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Principal Executive Officer Certification pursuant to Rule 13a-14(a)/15d-14(a)</w:t>
            </w:r>
          </w:p>
        </w:tc>
        <w:tc>
          <w:tcPr>
            <w:tcW w:w="40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7"/>
          </w:tcPr>
          <w:p>
            <w:pPr>
              <w:spacing w:after="0"/>
              <w:rPr>
                <w:sz w:val="20"/>
                <w:szCs w:val="20"/>
                <w:color w:val="auto"/>
              </w:rPr>
            </w:pPr>
            <w:r>
              <w:rPr>
                <w:rFonts w:ascii="Arial" w:cs="Arial" w:eastAsia="Arial" w:hAnsi="Arial"/>
                <w:sz w:val="18"/>
                <w:szCs w:val="18"/>
                <w:color w:val="0000FF"/>
              </w:rPr>
              <w:t>Principal Financial Officer Certification pursuant to Rule 13a-14(a)/15d-14(a)</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7"/>
          </w:tcPr>
          <w:p>
            <w:pPr>
              <w:spacing w:after="0"/>
              <w:rPr>
                <w:sz w:val="20"/>
                <w:szCs w:val="20"/>
                <w:color w:val="auto"/>
              </w:rPr>
            </w:pPr>
            <w:r>
              <w:rPr>
                <w:rFonts w:ascii="Arial" w:cs="Arial" w:eastAsia="Arial" w:hAnsi="Arial"/>
                <w:sz w:val="18"/>
                <w:szCs w:val="18"/>
                <w:color w:val="0000FF"/>
                <w:w w:val="93"/>
              </w:rPr>
              <w:t>Principal Executive Officer and Principal Financial Officer Certification pursuant to 18 U.S.C. Section 1350, as adopted pursuant to</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Section 906 of the Sarbanes-Oxley Act of 2002.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2"/>
                <w:szCs w:val="22"/>
                <w:color w:val="auto"/>
              </w:rPr>
            </w:pPr>
          </w:p>
        </w:tc>
        <w:tc>
          <w:tcPr>
            <w:tcW w:w="34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XBRL Instance Document</w:t>
            </w:r>
          </w:p>
        </w:tc>
        <w:tc>
          <w:tcPr>
            <w:tcW w:w="62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7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7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7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7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0"/>
                <w:szCs w:val="20"/>
                <w:color w:val="auto"/>
              </w:rPr>
            </w:pPr>
          </w:p>
        </w:tc>
        <w:tc>
          <w:tcPr>
            <w:tcW w:w="97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600" w:firstLine="26"/>
        <w:spacing w:after="0" w:line="383" w:lineRule="auto"/>
        <w:tabs>
          <w:tab w:leader="none" w:pos="1476"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92583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925830" cy="17145"/>
                    </a:xfrm>
                    <a:prstGeom prst="rect">
                      <a:avLst/>
                    </a:prstGeom>
                    <a:noFill/>
                  </pic:spPr>
                </pic:pic>
              </a:graphicData>
            </a:graphic>
          </wp:anchor>
        </w:drawing>
      </w:r>
    </w:p>
    <w:p>
      <w:pPr>
        <w:ind w:left="340" w:right="20" w:hanging="332"/>
        <w:spacing w:after="0" w:line="277" w:lineRule="auto"/>
        <w:tabs>
          <w:tab w:leader="none" w:pos="2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 not filed with the Securities and Exchange Commission pursuant to Item 601(b)(4)(iii) of Regulation S-K. The Company will furnish a copy to the SEC upon request.</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RIVER GROUP HOLDINGS, LTD.</w:t>
      </w:r>
    </w:p>
    <w:p>
      <w:pPr>
        <w:spacing w:after="0" w:line="36" w:lineRule="exact"/>
        <w:rPr>
          <w:sz w:val="20"/>
          <w:szCs w:val="20"/>
          <w:color w:val="auto"/>
        </w:rPr>
      </w:pPr>
    </w:p>
    <w:p>
      <w:pPr>
        <w:ind w:left="20"/>
        <w:spacing w:after="0"/>
        <w:tabs>
          <w:tab w:leader="none" w:pos="640" w:val="left"/>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N. D’Orazio</w:t>
      </w:r>
      <w:r>
        <w:rPr>
          <w:sz w:val="20"/>
          <w:szCs w:val="20"/>
          <w:color w:val="auto"/>
        </w:rPr>
        <w:tab/>
      </w:r>
      <w:r>
        <w:rPr>
          <w:rFonts w:ascii="Arial" w:cs="Arial" w:eastAsia="Arial" w:hAnsi="Arial"/>
          <w:sz w:val="16"/>
          <w:szCs w:val="16"/>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3240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Frank N. D’Orazio</w:t>
      </w:r>
    </w:p>
    <w:p>
      <w:pPr>
        <w:ind w:left="660"/>
        <w:spacing w:after="0"/>
        <w:rPr>
          <w:sz w:val="20"/>
          <w:szCs w:val="20"/>
          <w:color w:val="auto"/>
        </w:rPr>
      </w:pPr>
      <w:r>
        <w:rPr>
          <w:rFonts w:ascii="Arial" w:cs="Arial" w:eastAsia="Arial" w:hAnsi="Arial"/>
          <w:sz w:val="18"/>
          <w:szCs w:val="18"/>
          <w:color w:val="auto"/>
        </w:rPr>
        <w:t>Chief Executive Officer and Director</w:t>
      </w:r>
    </w:p>
    <w:p>
      <w:pPr>
        <w:spacing w:after="0" w:line="209" w:lineRule="exact"/>
        <w:rPr>
          <w:sz w:val="20"/>
          <w:szCs w:val="20"/>
          <w:color w:val="auto"/>
        </w:rPr>
      </w:pPr>
    </w:p>
    <w:p>
      <w:pPr>
        <w:ind w:right="320" w:firstLine="36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Frank N. D’Orazio</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Chief Executive Officer and 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1"/>
              </w:rPr>
              <w:t>Frank N. D'Orazio</w:t>
            </w:r>
          </w:p>
        </w:tc>
        <w:tc>
          <w:tcPr>
            <w:tcW w:w="4820" w:type="dxa"/>
            <w:vAlign w:val="bottom"/>
            <w:gridSpan w:val="3"/>
          </w:tcPr>
          <w:p>
            <w:pPr>
              <w:jc w:val="center"/>
              <w:ind w:left="110"/>
              <w:spacing w:after="0"/>
              <w:rPr>
                <w:sz w:val="20"/>
                <w:szCs w:val="20"/>
                <w:color w:val="auto"/>
              </w:rPr>
            </w:pPr>
            <w:r>
              <w:rPr>
                <w:rFonts w:ascii="Arial" w:cs="Arial" w:eastAsia="Arial" w:hAnsi="Arial"/>
                <w:sz w:val="18"/>
                <w:szCs w:val="18"/>
                <w:color w:val="auto"/>
                <w:w w:val="94"/>
              </w:rPr>
              <w:t>(Principal Executive Officer)</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Sarah C. Doran</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89"/>
              </w:rPr>
              <w:t>Sarah C. Doran</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(Principal Financial Officer)</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E. Crow</w:t>
            </w:r>
          </w:p>
        </w:tc>
        <w:tc>
          <w:tcPr>
            <w:tcW w:w="4820" w:type="dxa"/>
            <w:vAlign w:val="bottom"/>
            <w:gridSpan w:val="3"/>
          </w:tcPr>
          <w:p>
            <w:pPr>
              <w:jc w:val="center"/>
              <w:ind w:left="110"/>
              <w:spacing w:after="0"/>
              <w:rPr>
                <w:sz w:val="20"/>
                <w:szCs w:val="20"/>
                <w:color w:val="auto"/>
              </w:rPr>
            </w:pPr>
            <w:r>
              <w:rPr>
                <w:rFonts w:ascii="Arial" w:cs="Arial" w:eastAsia="Arial" w:hAnsi="Arial"/>
                <w:sz w:val="18"/>
                <w:szCs w:val="18"/>
                <w:color w:val="auto"/>
                <w:w w:val="94"/>
              </w:rPr>
              <w:t>Principal Accounting Officer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4"/>
              </w:rPr>
              <w:t>Michael E. Crow</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 Adam Abram</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2"/>
              </w:rPr>
              <w:t>Director, Non-Executive Chairman of the Board</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3"/>
              </w:rPr>
              <w:t>J. Adam Abram</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99"/>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Matthew B. Botein</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3"/>
              </w:rPr>
              <w:t>Matthew B. Botein</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99"/>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Thomas L. Brown</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3"/>
              </w:rPr>
              <w:t>Thomas L. Brown</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Kirstin M. Gould</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6"/>
              </w:rPr>
              <w:t>Kirstin M. Gould</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Peter B. Migliorato</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4"/>
              </w:rPr>
              <w:t>Peter B. Migliorato</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Michael T. Oakes</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1"/>
              </w:rPr>
              <w:t>Michael T. Oakes</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Patricia H. Roberts</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0"/>
              </w:rPr>
              <w:t>Patricia H. Roberts</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Ollie L. Sherman, Jr.</w:t>
            </w:r>
          </w:p>
        </w:tc>
        <w:tc>
          <w:tcPr>
            <w:tcW w:w="482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2023</w:t>
            </w:r>
          </w:p>
        </w:tc>
      </w:tr>
      <w:tr>
        <w:trPr>
          <w:trHeight w:val="224"/>
        </w:trPr>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0"/>
              </w:rPr>
              <w:t>Ollie L. Sherman, Jr.</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SCHEDULES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40" w:type="dxa"/>
            <w:vAlign w:val="bottom"/>
            <w:gridSpan w:val="6"/>
          </w:tcPr>
          <w:p>
            <w:pPr>
              <w:ind w:left="220"/>
              <w:spacing w:after="0"/>
              <w:rPr>
                <w:sz w:val="20"/>
                <w:szCs w:val="20"/>
                <w:color w:val="auto"/>
              </w:rPr>
            </w:pPr>
            <w:r>
              <w:rPr>
                <w:rFonts w:ascii="Arial" w:cs="Arial" w:eastAsia="Arial" w:hAnsi="Arial"/>
                <w:sz w:val="18"/>
                <w:szCs w:val="18"/>
                <w:color w:val="auto"/>
              </w:rPr>
              <w:t>Page</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10380" w:type="dxa"/>
            <w:vAlign w:val="bottom"/>
            <w:tcBorders>
              <w:top w:val="single" w:sz="8" w:color="CCEEFF"/>
            </w:tcBorders>
            <w:gridSpan w:val="21"/>
            <w:shd w:val="clear" w:color="auto" w:fill="CCEEFF"/>
          </w:tcPr>
          <w:p>
            <w:pPr>
              <w:spacing w:after="0" w:line="182" w:lineRule="exact"/>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E32E1"/>
              </w:rPr>
              <w:t>42</w:t>
            </w:r>
            <w:r>
              <w:rPr>
                <w:rFonts w:ascii="Arial" w:cs="Arial" w:eastAsia="Arial" w:hAnsi="Arial"/>
                <w:sz w:val="18"/>
                <w:szCs w:val="18"/>
                <w:u w:val="single" w:color="auto"/>
                <w:color w:val="0000FF"/>
              </w:rPr>
              <w:t>)</w:t>
            </w:r>
          </w:p>
        </w:tc>
        <w:tc>
          <w:tcPr>
            <w:tcW w:w="500" w:type="dxa"/>
            <w:vAlign w:val="bottom"/>
            <w:tcBorders>
              <w:top w:val="single" w:sz="8" w:color="auto"/>
            </w:tcBorders>
            <w:gridSpan w:val="4"/>
            <w:shd w:val="clear" w:color="auto" w:fill="CCEEFF"/>
          </w:tcPr>
          <w:p>
            <w:pPr>
              <w:jc w:val="center"/>
              <w:ind w:left="210"/>
              <w:spacing w:after="0" w:line="182" w:lineRule="exact"/>
              <w:rPr>
                <w:sz w:val="20"/>
                <w:szCs w:val="20"/>
                <w:color w:val="auto"/>
              </w:rPr>
            </w:pPr>
            <w:r>
              <w:rPr>
                <w:rFonts w:ascii="Arial" w:cs="Arial" w:eastAsia="Arial" w:hAnsi="Arial"/>
                <w:sz w:val="18"/>
                <w:szCs w:val="18"/>
                <w:color w:val="0000FF"/>
                <w:w w:val="79"/>
              </w:rPr>
              <w:t>2</w:t>
            </w: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E32E1"/>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21"/>
          </w:tcPr>
          <w:p>
            <w:pPr>
              <w:spacing w:after="0" w:line="189" w:lineRule="exact"/>
              <w:rPr>
                <w:sz w:val="20"/>
                <w:szCs w:val="20"/>
                <w:color w:val="auto"/>
              </w:rPr>
            </w:pPr>
            <w:r>
              <w:rPr>
                <w:rFonts w:ascii="Arial" w:cs="Arial" w:eastAsia="Arial" w:hAnsi="Arial"/>
                <w:sz w:val="18"/>
                <w:szCs w:val="18"/>
                <w:color w:val="0000FF"/>
              </w:rPr>
              <w:t>Report of Independent Registered Public Accounting Firm on Internal Control over Financial Reporting</w:t>
            </w:r>
          </w:p>
        </w:tc>
        <w:tc>
          <w:tcPr>
            <w:tcW w:w="500" w:type="dxa"/>
            <w:vAlign w:val="bottom"/>
            <w:gridSpan w:val="4"/>
          </w:tcPr>
          <w:p>
            <w:pPr>
              <w:jc w:val="center"/>
              <w:ind w:left="210"/>
              <w:spacing w:after="0" w:line="189" w:lineRule="exact"/>
              <w:rPr>
                <w:sz w:val="20"/>
                <w:szCs w:val="20"/>
                <w:color w:val="auto"/>
              </w:rPr>
            </w:pPr>
            <w:r>
              <w:rPr>
                <w:rFonts w:ascii="Arial" w:cs="Arial" w:eastAsia="Arial" w:hAnsi="Arial"/>
                <w:sz w:val="18"/>
                <w:szCs w:val="18"/>
                <w:color w:val="0000FF"/>
                <w:w w:val="79"/>
              </w:rPr>
              <w:t>4</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w w:val="88"/>
              </w:rPr>
              <w:t>Consolidated Balance Sheets as of December 31, 2022 and 2021</w:t>
            </w:r>
          </w:p>
        </w:tc>
        <w:tc>
          <w:tcPr>
            <w:tcW w:w="5720" w:type="dxa"/>
            <w:vAlign w:val="bottom"/>
            <w:gridSpan w:val="10"/>
            <w:shd w:val="clear" w:color="auto" w:fill="CCEEFF"/>
          </w:tcPr>
          <w:p>
            <w:pPr>
              <w:spacing w:after="0"/>
              <w:rPr>
                <w:sz w:val="16"/>
                <w:szCs w:val="16"/>
                <w:color w:val="auto"/>
              </w:rPr>
            </w:pPr>
          </w:p>
        </w:tc>
        <w:tc>
          <w:tcPr>
            <w:tcW w:w="500" w:type="dxa"/>
            <w:vAlign w:val="bottom"/>
            <w:gridSpan w:val="4"/>
            <w:shd w:val="clear" w:color="auto" w:fill="CCEEFF"/>
          </w:tcPr>
          <w:p>
            <w:pPr>
              <w:jc w:val="center"/>
              <w:ind w:left="210"/>
              <w:spacing w:after="0" w:line="189" w:lineRule="exact"/>
              <w:rPr>
                <w:sz w:val="20"/>
                <w:szCs w:val="20"/>
                <w:color w:val="auto"/>
              </w:rPr>
            </w:pPr>
            <w:r>
              <w:rPr>
                <w:rFonts w:ascii="Arial" w:cs="Arial" w:eastAsia="Arial" w:hAnsi="Arial"/>
                <w:sz w:val="18"/>
                <w:szCs w:val="18"/>
                <w:color w:val="0000FF"/>
                <w:w w:val="79"/>
              </w:rPr>
              <w:t>5</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21"/>
          </w:tcPr>
          <w:p>
            <w:pPr>
              <w:spacing w:after="0" w:line="189" w:lineRule="exact"/>
              <w:rPr>
                <w:sz w:val="20"/>
                <w:szCs w:val="20"/>
                <w:color w:val="auto"/>
              </w:rPr>
            </w:pPr>
            <w:r>
              <w:rPr>
                <w:rFonts w:ascii="Arial" w:cs="Arial" w:eastAsia="Arial" w:hAnsi="Arial"/>
                <w:sz w:val="18"/>
                <w:szCs w:val="18"/>
                <w:color w:val="0000FF"/>
              </w:rPr>
              <w:t>Consolidated Statements of Income (Loss) and Comprehensive (Loss) Income for the Years Ended</w:t>
            </w:r>
          </w:p>
        </w:tc>
        <w:tc>
          <w:tcPr>
            <w:tcW w:w="500" w:type="dxa"/>
            <w:vAlign w:val="bottom"/>
            <w:gridSpan w:val="4"/>
          </w:tcPr>
          <w:p>
            <w:pPr>
              <w:jc w:val="center"/>
              <w:ind w:left="210"/>
              <w:spacing w:after="0" w:line="189" w:lineRule="exact"/>
              <w:rPr>
                <w:sz w:val="20"/>
                <w:szCs w:val="20"/>
                <w:color w:val="auto"/>
              </w:rPr>
            </w:pPr>
            <w:r>
              <w:rPr>
                <w:rFonts w:ascii="Arial" w:cs="Arial" w:eastAsia="Arial" w:hAnsi="Arial"/>
                <w:sz w:val="18"/>
                <w:szCs w:val="18"/>
                <w:color w:val="0000FF"/>
                <w:w w:val="79"/>
              </w:rPr>
              <w:t>7</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800" w:type="dxa"/>
            <w:vAlign w:val="bottom"/>
            <w:tcBorders>
              <w:top w:val="single" w:sz="8" w:color="0000FF"/>
            </w:tcBorders>
            <w:gridSpan w:val="16"/>
          </w:tcPr>
          <w:p>
            <w:pPr>
              <w:ind w:left="20"/>
              <w:spacing w:after="0" w:line="156" w:lineRule="exact"/>
              <w:rPr>
                <w:sz w:val="20"/>
                <w:szCs w:val="20"/>
                <w:color w:val="auto"/>
              </w:rPr>
            </w:pPr>
            <w:r>
              <w:rPr>
                <w:rFonts w:ascii="Arial" w:cs="Arial" w:eastAsia="Arial" w:hAnsi="Arial"/>
                <w:sz w:val="18"/>
                <w:szCs w:val="18"/>
                <w:color w:val="0000FF"/>
              </w:rPr>
              <w:t>December 31, 2022, 2021 and 2020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Changes in Shareholders’ Equity for the Years Ended</w:t>
            </w:r>
          </w:p>
        </w:tc>
        <w:tc>
          <w:tcPr>
            <w:tcW w:w="500" w:type="dxa"/>
            <w:vAlign w:val="bottom"/>
            <w:gridSpan w:val="4"/>
            <w:shd w:val="clear" w:color="auto" w:fill="CCEEFF"/>
          </w:tcPr>
          <w:p>
            <w:pPr>
              <w:jc w:val="center"/>
              <w:ind w:left="210"/>
              <w:spacing w:after="0" w:line="189" w:lineRule="exact"/>
              <w:rPr>
                <w:sz w:val="20"/>
                <w:szCs w:val="20"/>
                <w:color w:val="auto"/>
              </w:rPr>
            </w:pPr>
            <w:r>
              <w:rPr>
                <w:rFonts w:ascii="Arial" w:cs="Arial" w:eastAsia="Arial" w:hAnsi="Arial"/>
                <w:sz w:val="18"/>
                <w:szCs w:val="18"/>
                <w:color w:val="0000FF"/>
                <w:w w:val="79"/>
              </w:rPr>
              <w:t>8</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5560" w:type="dxa"/>
            <w:vAlign w:val="bottom"/>
            <w:tcBorders>
              <w:top w:val="single" w:sz="8" w:color="0000FF"/>
            </w:tcBorders>
            <w:gridSpan w:val="14"/>
            <w:shd w:val="clear" w:color="auto" w:fill="CCEEFF"/>
          </w:tcPr>
          <w:p>
            <w:pPr>
              <w:ind w:left="20"/>
              <w:spacing w:after="0" w:line="156" w:lineRule="exact"/>
              <w:rPr>
                <w:sz w:val="20"/>
                <w:szCs w:val="20"/>
                <w:color w:val="auto"/>
              </w:rPr>
            </w:pPr>
            <w:r>
              <w:rPr>
                <w:rFonts w:ascii="Arial" w:cs="Arial" w:eastAsia="Arial" w:hAnsi="Arial"/>
                <w:sz w:val="18"/>
                <w:szCs w:val="18"/>
                <w:color w:val="0000FF"/>
              </w:rPr>
              <w:t>December 31, 2021, 2020 and 2019</w:t>
            </w:r>
          </w:p>
        </w:tc>
        <w:tc>
          <w:tcPr>
            <w:tcW w:w="10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CCEEFF"/>
            </w:tcBorders>
            <w:gridSpan w:val="2"/>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380" w:type="dxa"/>
            <w:vAlign w:val="bottom"/>
            <w:gridSpan w:val="21"/>
          </w:tcPr>
          <w:p>
            <w:pPr>
              <w:spacing w:after="0" w:line="189" w:lineRule="exact"/>
              <w:rPr>
                <w:sz w:val="20"/>
                <w:szCs w:val="20"/>
                <w:color w:val="auto"/>
              </w:rPr>
            </w:pPr>
            <w:r>
              <w:rPr>
                <w:rFonts w:ascii="Arial" w:cs="Arial" w:eastAsia="Arial" w:hAnsi="Arial"/>
                <w:sz w:val="18"/>
                <w:szCs w:val="18"/>
                <w:color w:val="0000FF"/>
              </w:rPr>
              <w:t>Consolidated Statements of Cash Flows for the Years Ended December 31, 2022, 2021 and 2020</w:t>
            </w:r>
          </w:p>
        </w:tc>
        <w:tc>
          <w:tcPr>
            <w:tcW w:w="500" w:type="dxa"/>
            <w:vAlign w:val="bottom"/>
            <w:gridSpan w:val="4"/>
          </w:tcPr>
          <w:p>
            <w:pPr>
              <w:jc w:val="center"/>
              <w:ind w:left="210"/>
              <w:spacing w:after="0" w:line="189" w:lineRule="exact"/>
              <w:rPr>
                <w:sz w:val="20"/>
                <w:szCs w:val="20"/>
                <w:color w:val="auto"/>
              </w:rPr>
            </w:pPr>
            <w:r>
              <w:rPr>
                <w:rFonts w:ascii="Arial" w:cs="Arial" w:eastAsia="Arial" w:hAnsi="Arial"/>
                <w:sz w:val="18"/>
                <w:szCs w:val="18"/>
                <w:color w:val="0000FF"/>
                <w:w w:val="79"/>
              </w:rPr>
              <w:t>9</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 for the Years Ended December 31, 2022, 2021 and 2020</w:t>
            </w:r>
          </w:p>
        </w:tc>
        <w:tc>
          <w:tcPr>
            <w:tcW w:w="8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10</w:t>
            </w:r>
          </w:p>
        </w:tc>
        <w:tc>
          <w:tcPr>
            <w:tcW w:w="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5"/>
          </w:tcPr>
          <w:p>
            <w:pPr>
              <w:spacing w:after="0" w:line="189" w:lineRule="exact"/>
              <w:rPr>
                <w:sz w:val="20"/>
                <w:szCs w:val="20"/>
                <w:color w:val="auto"/>
              </w:rPr>
            </w:pPr>
            <w:r>
              <w:rPr>
                <w:rFonts w:ascii="Arial" w:cs="Arial" w:eastAsia="Arial" w:hAnsi="Arial"/>
                <w:sz w:val="18"/>
                <w:szCs w:val="18"/>
                <w:color w:val="0000FF"/>
              </w:rPr>
              <w:t>Schedule I</w:t>
            </w:r>
          </w:p>
        </w:tc>
        <w:tc>
          <w:tcPr>
            <w:tcW w:w="5780" w:type="dxa"/>
            <w:vAlign w:val="bottom"/>
            <w:gridSpan w:val="13"/>
          </w:tcPr>
          <w:p>
            <w:pPr>
              <w:spacing w:after="0" w:line="189" w:lineRule="exact"/>
              <w:rPr>
                <w:sz w:val="20"/>
                <w:szCs w:val="20"/>
                <w:color w:val="auto"/>
              </w:rPr>
            </w:pPr>
            <w:r>
              <w:rPr>
                <w:rFonts w:ascii="Arial" w:cs="Arial" w:eastAsia="Arial" w:hAnsi="Arial"/>
                <w:sz w:val="18"/>
                <w:szCs w:val="18"/>
                <w:color w:val="0000FF"/>
              </w:rPr>
              <w:t>Summary of Investments</w:t>
            </w:r>
          </w:p>
        </w:tc>
        <w:tc>
          <w:tcPr>
            <w:tcW w:w="3140" w:type="dxa"/>
            <w:vAlign w:val="bottom"/>
            <w:gridSpan w:val="3"/>
          </w:tcPr>
          <w:p>
            <w:pPr>
              <w:spacing w:after="0"/>
              <w:rPr>
                <w:sz w:val="16"/>
                <w:szCs w:val="16"/>
                <w:color w:val="auto"/>
              </w:rPr>
            </w:pPr>
          </w:p>
        </w:tc>
        <w:tc>
          <w:tcPr>
            <w:tcW w:w="800" w:type="dxa"/>
            <w:vAlign w:val="bottom"/>
            <w:gridSpan w:val="5"/>
          </w:tcPr>
          <w:p>
            <w:pPr>
              <w:jc w:val="center"/>
              <w:spacing w:after="0" w:line="189" w:lineRule="exact"/>
              <w:rPr>
                <w:sz w:val="20"/>
                <w:szCs w:val="20"/>
                <w:color w:val="auto"/>
              </w:rPr>
            </w:pPr>
            <w:r>
              <w:rPr>
                <w:rFonts w:ascii="Arial" w:cs="Arial" w:eastAsia="Arial" w:hAnsi="Arial"/>
                <w:sz w:val="18"/>
                <w:szCs w:val="18"/>
                <w:color w:val="0000FF"/>
                <w:w w:val="89"/>
              </w:rPr>
              <w:t>57</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w w:val="91"/>
              </w:rPr>
              <w:t>Schedule II</w:t>
            </w:r>
          </w:p>
        </w:tc>
        <w:tc>
          <w:tcPr>
            <w:tcW w:w="620" w:type="dxa"/>
            <w:vAlign w:val="bottom"/>
            <w:gridSpan w:val="2"/>
            <w:shd w:val="clear" w:color="auto" w:fill="CCEEFF"/>
          </w:tcPr>
          <w:p>
            <w:pPr>
              <w:spacing w:after="0"/>
              <w:rPr>
                <w:sz w:val="16"/>
                <w:szCs w:val="16"/>
                <w:color w:val="auto"/>
              </w:rPr>
            </w:pPr>
          </w:p>
        </w:tc>
        <w:tc>
          <w:tcPr>
            <w:tcW w:w="892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Condensed Financial Information of Registrant</w:t>
            </w:r>
          </w:p>
        </w:tc>
        <w:tc>
          <w:tcPr>
            <w:tcW w:w="8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58</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5"/>
          </w:tcPr>
          <w:p>
            <w:pPr>
              <w:spacing w:after="0" w:line="189" w:lineRule="exact"/>
              <w:rPr>
                <w:sz w:val="20"/>
                <w:szCs w:val="20"/>
                <w:color w:val="auto"/>
              </w:rPr>
            </w:pPr>
            <w:r>
              <w:rPr>
                <w:rFonts w:ascii="Arial" w:cs="Arial" w:eastAsia="Arial" w:hAnsi="Arial"/>
                <w:sz w:val="18"/>
                <w:szCs w:val="18"/>
                <w:color w:val="0000FF"/>
              </w:rPr>
              <w:t>Schedule III</w:t>
            </w:r>
          </w:p>
        </w:tc>
        <w:tc>
          <w:tcPr>
            <w:tcW w:w="8920" w:type="dxa"/>
            <w:vAlign w:val="bottom"/>
            <w:gridSpan w:val="16"/>
          </w:tcPr>
          <w:p>
            <w:pPr>
              <w:spacing w:after="0" w:line="189" w:lineRule="exact"/>
              <w:rPr>
                <w:sz w:val="20"/>
                <w:szCs w:val="20"/>
                <w:color w:val="auto"/>
              </w:rPr>
            </w:pPr>
            <w:r>
              <w:rPr>
                <w:rFonts w:ascii="Arial" w:cs="Arial" w:eastAsia="Arial" w:hAnsi="Arial"/>
                <w:sz w:val="18"/>
                <w:szCs w:val="18"/>
                <w:color w:val="0000FF"/>
              </w:rPr>
              <w:t>Supplementary Insurance Information</w:t>
            </w:r>
          </w:p>
        </w:tc>
        <w:tc>
          <w:tcPr>
            <w:tcW w:w="800" w:type="dxa"/>
            <w:vAlign w:val="bottom"/>
            <w:gridSpan w:val="5"/>
          </w:tcPr>
          <w:p>
            <w:pPr>
              <w:jc w:val="center"/>
              <w:spacing w:after="0" w:line="189" w:lineRule="exact"/>
              <w:rPr>
                <w:sz w:val="20"/>
                <w:szCs w:val="20"/>
                <w:color w:val="auto"/>
              </w:rPr>
            </w:pPr>
            <w:r>
              <w:rPr>
                <w:rFonts w:ascii="Arial" w:cs="Arial" w:eastAsia="Arial" w:hAnsi="Arial"/>
                <w:sz w:val="18"/>
                <w:szCs w:val="18"/>
                <w:color w:val="0000FF"/>
                <w:w w:val="89"/>
              </w:rPr>
              <w:t>62</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46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Schedule IV</w:t>
            </w:r>
          </w:p>
        </w:tc>
        <w:tc>
          <w:tcPr>
            <w:tcW w:w="892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Reinsurance</w:t>
            </w:r>
          </w:p>
        </w:tc>
        <w:tc>
          <w:tcPr>
            <w:tcW w:w="8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63</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FF"/>
                <w:w w:val="95"/>
              </w:rPr>
              <w:t>Schedule V</w:t>
            </w:r>
          </w:p>
        </w:tc>
        <w:tc>
          <w:tcPr>
            <w:tcW w:w="560" w:type="dxa"/>
            <w:vAlign w:val="bottom"/>
          </w:tcPr>
          <w:p>
            <w:pPr>
              <w:spacing w:after="0"/>
              <w:rPr>
                <w:sz w:val="16"/>
                <w:szCs w:val="16"/>
                <w:color w:val="auto"/>
              </w:rPr>
            </w:pPr>
          </w:p>
        </w:tc>
        <w:tc>
          <w:tcPr>
            <w:tcW w:w="8920" w:type="dxa"/>
            <w:vAlign w:val="bottom"/>
            <w:gridSpan w:val="16"/>
          </w:tcPr>
          <w:p>
            <w:pPr>
              <w:spacing w:after="0" w:line="189" w:lineRule="exact"/>
              <w:rPr>
                <w:sz w:val="20"/>
                <w:szCs w:val="20"/>
                <w:color w:val="auto"/>
              </w:rPr>
            </w:pPr>
            <w:r>
              <w:rPr>
                <w:rFonts w:ascii="Arial" w:cs="Arial" w:eastAsia="Arial" w:hAnsi="Arial"/>
                <w:sz w:val="18"/>
                <w:szCs w:val="18"/>
                <w:color w:val="0000FF"/>
              </w:rPr>
              <w:t>Valuation and Qualifying Accounts</w:t>
            </w:r>
          </w:p>
        </w:tc>
        <w:tc>
          <w:tcPr>
            <w:tcW w:w="800" w:type="dxa"/>
            <w:vAlign w:val="bottom"/>
            <w:gridSpan w:val="5"/>
          </w:tcPr>
          <w:p>
            <w:pPr>
              <w:jc w:val="center"/>
              <w:spacing w:after="0" w:line="189" w:lineRule="exact"/>
              <w:rPr>
                <w:sz w:val="20"/>
                <w:szCs w:val="20"/>
                <w:color w:val="auto"/>
              </w:rPr>
            </w:pPr>
            <w:r>
              <w:rPr>
                <w:rFonts w:ascii="Arial" w:cs="Arial" w:eastAsia="Arial" w:hAnsi="Arial"/>
                <w:sz w:val="18"/>
                <w:szCs w:val="18"/>
                <w:color w:val="0000FF"/>
                <w:w w:val="89"/>
              </w:rPr>
              <w:t>64</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Schedule VI</w:t>
            </w:r>
          </w:p>
        </w:tc>
        <w:tc>
          <w:tcPr>
            <w:tcW w:w="892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Supplementary Information Concerning Property Casualty Insurance Operations</w:t>
            </w:r>
          </w:p>
        </w:tc>
        <w:tc>
          <w:tcPr>
            <w:tcW w:w="8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65</w:t>
            </w:r>
          </w:p>
        </w:tc>
        <w:tc>
          <w:tcPr>
            <w:tcW w:w="40" w:type="dxa"/>
            <w:vAlign w:val="bottom"/>
          </w:tcPr>
          <w:p>
            <w:pPr>
              <w:spacing w:after="0"/>
              <w:rPr>
                <w:sz w:val="18"/>
                <w:szCs w:val="18"/>
                <w:color w:val="auto"/>
              </w:rPr>
            </w:pPr>
          </w:p>
        </w:tc>
      </w:tr>
      <w:tr>
        <w:trPr>
          <w:trHeight w:val="1093"/>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20" w:type="dxa"/>
            <w:vAlign w:val="bottom"/>
            <w:tcBorders>
              <w:top w:val="single" w:sz="8" w:color="0000FF"/>
            </w:tcBorders>
            <w:gridSpan w:val="5"/>
          </w:tcPr>
          <w:p>
            <w:pPr>
              <w:ind w:left="40"/>
              <w:spacing w:after="0"/>
              <w:rPr>
                <w:sz w:val="20"/>
                <w:szCs w:val="20"/>
                <w:color w:val="auto"/>
              </w:rPr>
            </w:pPr>
            <w:r>
              <w:rPr>
                <w:rFonts w:ascii="Arial" w:cs="Arial" w:eastAsia="Arial" w:hAnsi="Arial"/>
                <w:sz w:val="18"/>
                <w:szCs w:val="18"/>
                <w:color w:val="auto"/>
              </w:rPr>
              <w:t>F-1</w:t>
            </w:r>
          </w:p>
        </w:tc>
        <w:tc>
          <w:tcPr>
            <w:tcW w:w="3120" w:type="dxa"/>
            <w:vAlign w:val="bottom"/>
            <w:tcBorders>
              <w:top w:val="single" w:sz="8" w:color="CCEEFF"/>
            </w:tcBorders>
            <w:gridSpan w:val="2"/>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James River Group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audited the accompanying consolidated balance sheets of James River Group Holdings, Ltd. and subsidiaries (the Company) as of December 31, 2022 and 2021, the related consolidated statements of income (loss) and comprehensive (loss) income, changes in shareholders' equity and cash flows for each of the three years in the period ended December 31, 2022, and the related notes and the financial statement schedules listed in the Index at Item 15(a)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right="160" w:firstLine="8"/>
        <w:spacing w:after="0" w:line="255"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40"/>
        <w:spacing w:after="0"/>
        <w:rPr>
          <w:sz w:val="20"/>
          <w:szCs w:val="20"/>
          <w:color w:val="auto"/>
        </w:rPr>
      </w:pPr>
      <w:r>
        <w:rPr>
          <w:rFonts w:ascii="Arial" w:cs="Arial" w:eastAsia="Arial" w:hAnsi="Arial"/>
          <w:sz w:val="15"/>
          <w:szCs w:val="15"/>
          <w:b w:val="1"/>
          <w:bCs w:val="1"/>
          <w:i w:val="1"/>
          <w:iCs w:val="1"/>
          <w:color w:val="auto"/>
        </w:rPr>
        <w:t>Valuation of reserves for losses and loss adjustment expenses</w:t>
      </w:r>
    </w:p>
    <w:p>
      <w:pPr>
        <w:sectPr>
          <w:pgSz w:w="11900" w:h="16838" w:orient="portrait"/>
          <w:cols w:equalWidth="0" w:num="1">
            <w:col w:w="11160"/>
          </w:cols>
          <w:pgMar w:left="320" w:top="125" w:right="419" w:bottom="1440" w:gutter="0" w:footer="0" w:header="0"/>
        </w:sectPr>
      </w:pPr>
    </w:p>
    <w:p>
      <w:pPr>
        <w:spacing w:after="0" w:line="58" w:lineRule="exact"/>
        <w:rPr>
          <w:sz w:val="20"/>
          <w:szCs w:val="20"/>
          <w:color w:val="auto"/>
        </w:rPr>
      </w:pPr>
    </w:p>
    <w:p>
      <w:pPr>
        <w:ind w:left="20"/>
        <w:spacing w:after="0" w:line="234"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At December 31, 2022, the Company’s reserve for losses and loss adjustment expenses balance was $2.8 billion. As described in Notes 1 and 7 of the consolidated financial statements, reserves for losses and loss adjustment expenses reflect the estimated ultimate cost of all incurred unpaid claims including estimates of claims incurred but not reported and loss adjustment expenses</w:t>
      </w:r>
    </w:p>
    <w:p>
      <w:pPr>
        <w:spacing w:after="0" w:line="1" w:lineRule="exact"/>
        <w:rPr>
          <w:sz w:val="20"/>
          <w:szCs w:val="20"/>
          <w:color w:val="auto"/>
        </w:rPr>
      </w:pPr>
    </w:p>
    <w:p>
      <w:pPr>
        <w:sectPr>
          <w:pgSz w:w="11900" w:h="16838" w:orient="portrait"/>
          <w:cols w:equalWidth="0" w:num="2">
            <w:col w:w="1320" w:space="520"/>
            <w:col w:w="9320"/>
          </w:cols>
          <w:pgMar w:left="320" w:top="125" w:right="419" w:bottom="1440" w:gutter="0" w:footer="0" w:header="0"/>
          <w:type w:val="continuous"/>
        </w:sectPr>
      </w:pPr>
    </w:p>
    <w:p>
      <w:pPr>
        <w:ind w:left="1840" w:right="80"/>
        <w:spacing w:after="0" w:line="208" w:lineRule="auto"/>
        <w:rPr>
          <w:sz w:val="20"/>
          <w:szCs w:val="20"/>
          <w:color w:val="auto"/>
        </w:rPr>
      </w:pPr>
      <w:r>
        <w:rPr>
          <w:rFonts w:ascii="Arial" w:cs="Arial" w:eastAsia="Arial" w:hAnsi="Arial"/>
          <w:sz w:val="18"/>
          <w:szCs w:val="18"/>
          <w:color w:val="auto"/>
        </w:rPr>
        <w:t>as of the balance sheet date. The estimate of ultimate losses and loss adjustment expenses relies on key judgments, including the weighting of five actuarial methods by line of business and accident year. Actuarial assumptions include initial expected loss ratios, and incurred and paid loss development factors.</w:t>
      </w:r>
    </w:p>
    <w:p>
      <w:pPr>
        <w:spacing w:after="0" w:line="204" w:lineRule="exact"/>
        <w:rPr>
          <w:sz w:val="20"/>
          <w:szCs w:val="20"/>
          <w:color w:val="auto"/>
        </w:rPr>
      </w:pPr>
    </w:p>
    <w:p>
      <w:pPr>
        <w:ind w:left="1840"/>
        <w:spacing w:after="0" w:line="241" w:lineRule="auto"/>
        <w:rPr>
          <w:sz w:val="20"/>
          <w:szCs w:val="20"/>
          <w:color w:val="auto"/>
        </w:rPr>
      </w:pPr>
      <w:r>
        <w:rPr>
          <w:rFonts w:ascii="Arial" w:cs="Arial" w:eastAsia="Arial" w:hAnsi="Arial"/>
          <w:sz w:val="16"/>
          <w:szCs w:val="16"/>
          <w:color w:val="auto"/>
        </w:rPr>
        <w:t>The subjectivity and uncertainty of estimating the reserve for losses and loss adjustment expenses is caused by various factors including the uncertainty of future frequency and severity of claims, economic and social trends including inflation, changes in the business and exposure mix, as well as changes in operations. As such, performing audit procedures to evaluate the reserve for</w:t>
      </w:r>
    </w:p>
    <w:p>
      <w:pPr>
        <w:spacing w:after="0" w:line="2" w:lineRule="exact"/>
        <w:rPr>
          <w:sz w:val="20"/>
          <w:szCs w:val="20"/>
          <w:color w:val="auto"/>
        </w:rPr>
      </w:pPr>
    </w:p>
    <w:p>
      <w:pPr>
        <w:ind w:left="1840" w:right="200"/>
        <w:spacing w:after="0" w:line="226" w:lineRule="auto"/>
        <w:rPr>
          <w:sz w:val="20"/>
          <w:szCs w:val="20"/>
          <w:color w:val="auto"/>
        </w:rPr>
      </w:pPr>
      <w:r>
        <w:rPr>
          <w:rFonts w:ascii="Arial" w:cs="Arial" w:eastAsia="Arial" w:hAnsi="Arial"/>
          <w:sz w:val="18"/>
          <w:szCs w:val="18"/>
          <w:color w:val="auto"/>
        </w:rPr>
        <w:t>losses and loss adjustment expenses required a high degree of auditor judgment and an increased extent of effort, including the involvement of our actuarial specialists.</w:t>
      </w:r>
    </w:p>
    <w:p>
      <w:pPr>
        <w:sectPr>
          <w:pgSz w:w="11900" w:h="16838" w:orient="portrait"/>
          <w:cols w:equalWidth="0" w:num="1">
            <w:col w:w="11160"/>
          </w:cols>
          <w:pgMar w:left="320" w:top="125" w:right="419" w:bottom="1440" w:gutter="0" w:footer="0" w:header="0"/>
          <w:type w:val="continuous"/>
        </w:sectPr>
      </w:pPr>
    </w:p>
    <w:p>
      <w:pPr>
        <w:spacing w:after="0" w:line="13" w:lineRule="exact"/>
        <w:rPr>
          <w:sz w:val="20"/>
          <w:szCs w:val="20"/>
          <w:color w:val="auto"/>
        </w:rPr>
      </w:pPr>
    </w:p>
    <w:p>
      <w:pPr>
        <w:ind w:left="20"/>
        <w:spacing w:after="0" w:line="25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80"/>
        <w:spacing w:after="0" w:line="224"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related to the valuation of the reserve for losses and loss adjustment expenses. This included testing controls that management has in place over the inputs, methods and assumptions used in estimating the reserve.</w:t>
      </w:r>
    </w:p>
    <w:p>
      <w:pPr>
        <w:spacing w:after="0" w:line="216" w:lineRule="exact"/>
        <w:rPr>
          <w:sz w:val="20"/>
          <w:szCs w:val="20"/>
          <w:color w:val="auto"/>
        </w:rPr>
      </w:pPr>
    </w:p>
    <w:p>
      <w:pPr>
        <w:sectPr>
          <w:pgSz w:w="11900" w:h="16838" w:orient="portrait"/>
          <w:cols w:equalWidth="0" w:num="2">
            <w:col w:w="1420" w:space="420"/>
            <w:col w:w="9320"/>
          </w:cols>
          <w:pgMar w:left="320" w:top="125" w:right="419" w:bottom="1440" w:gutter="0" w:footer="0" w:header="0"/>
          <w:type w:val="continuous"/>
        </w:sectPr>
      </w:pPr>
    </w:p>
    <w:p>
      <w:pPr>
        <w:spacing w:after="0" w:line="1" w:lineRule="exact"/>
        <w:rPr>
          <w:sz w:val="20"/>
          <w:szCs w:val="20"/>
          <w:color w:val="auto"/>
        </w:rPr>
      </w:pPr>
    </w:p>
    <w:p>
      <w:pPr>
        <w:ind w:left="1840" w:right="100"/>
        <w:spacing w:after="0" w:line="276" w:lineRule="auto"/>
        <w:rPr>
          <w:sz w:val="20"/>
          <w:szCs w:val="20"/>
          <w:color w:val="auto"/>
        </w:rPr>
      </w:pPr>
      <w:r>
        <w:rPr>
          <w:rFonts w:ascii="Arial" w:cs="Arial" w:eastAsia="Arial" w:hAnsi="Arial"/>
          <w:sz w:val="16"/>
          <w:szCs w:val="16"/>
          <w:color w:val="auto"/>
        </w:rPr>
        <w:t>To test the reserve for losses and loss adjustment expenses, we evaluated the methods and assumptions used by the Company with the assistance of our actuarial specialists. We compared the Company’s prior year assumptions of expected development of ultimate loss to actual losses incurred during the current year to identify potential management bias in the determination of the</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reserve for losses and loss adjustment expenses. We evaluated management’s application of actuarial reserving methods and</w:t>
      </w:r>
    </w:p>
    <w:p>
      <w:pPr>
        <w:spacing w:after="0" w:line="2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aforementioned factors, including actuarial assumptions and judgments impacting loss reserves. We independently projected</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reserves for selected lines of business using actual historical data and loss development patterns, as well as industry data and</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other benchmarks where applicable, and compared management’s recorded reserves to these independent estimates.</w:t>
      </w:r>
    </w:p>
    <w:p>
      <w:pPr>
        <w:sectPr>
          <w:pgSz w:w="11900" w:h="16838" w:orient="portrait"/>
          <w:cols w:equalWidth="0" w:num="1">
            <w:col w:w="11160"/>
          </w:cols>
          <w:pgMar w:left="320" w:top="125" w:right="41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James River Group Holdings,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ind w:right="260" w:firstLine="324"/>
        <w:spacing w:after="0" w:line="269" w:lineRule="auto"/>
        <w:rPr>
          <w:sz w:val="20"/>
          <w:szCs w:val="20"/>
          <w:color w:val="auto"/>
        </w:rPr>
      </w:pPr>
      <w:r>
        <w:rPr>
          <w:rFonts w:ascii="Arial" w:cs="Arial" w:eastAsia="Arial" w:hAnsi="Arial"/>
          <w:sz w:val="17"/>
          <w:szCs w:val="17"/>
          <w:color w:val="auto"/>
        </w:rPr>
        <w:t>We have audited James River Group Holdings, Ltd.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James River Group Holdings, Ltd. and subsidiaries (the Company) maintained, in all material respects, effective internal control over financial reporting as of December 31, 2022, based on the COSO criteria</w:t>
      </w:r>
      <w:r>
        <w:rPr>
          <w:rFonts w:ascii="Arial" w:cs="Arial" w:eastAsia="Arial" w:hAnsi="Arial"/>
          <w:sz w:val="17"/>
          <w:szCs w:val="17"/>
          <w:b w:val="1"/>
          <w:bCs w:val="1"/>
          <w:color w:val="auto"/>
        </w:rPr>
        <w:t>.</w:t>
      </w:r>
    </w:p>
    <w:p>
      <w:pPr>
        <w:spacing w:after="0" w:line="2" w:lineRule="exact"/>
        <w:rPr>
          <w:sz w:val="20"/>
          <w:szCs w:val="20"/>
          <w:color w:val="auto"/>
        </w:rPr>
      </w:pPr>
    </w:p>
    <w:p>
      <w:pPr>
        <w:ind w:right="220" w:firstLine="324"/>
        <w:spacing w:after="0" w:line="29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income (loss) and comprehensive (loss) income, changes in shareholders' equity and cash flows for each of the three years in the period ended December 31, 2022, and related notes and financial statement schedules listed in the Index at Item 15(a) and our report dated February 28, 2023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6"/>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182"/>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Invested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6"/>
        </w:trPr>
        <w:tc>
          <w:tcPr>
            <w:tcW w:w="8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Fixed maturity securities, available-for-sale, at fair value (amortized cost: 2022 – $1,969,783; 2021 –</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$1,643,865)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1,783,417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1,677,561</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Equity securities, at fair value (cost: 2022 – $117,169; 2021 – $95,783)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118,627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108,410</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loan participations, at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156,043</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107,812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136,563</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invested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2,192,294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2,130,485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102,005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Premiums receivable and agents’ balances,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340,525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393,967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recoverable on unpaid losses,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1,520,113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1,348,628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Reinsurance recoverable on paid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114,242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82,235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reinsurance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291,498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Deferred policy acquisition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68,526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181,831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5,137,075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4,948,550</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6"/>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182"/>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4"/>
          </w:tcPr>
          <w:p>
            <w:pPr>
              <w:jc w:val="right"/>
              <w:ind w:right="291"/>
              <w:spacing w:after="0"/>
              <w:rPr>
                <w:sz w:val="20"/>
                <w:szCs w:val="20"/>
                <w:color w:val="auto"/>
              </w:rPr>
            </w:pPr>
            <w:r>
              <w:rPr>
                <w:rFonts w:ascii="Arial" w:cs="Arial" w:eastAsia="Arial" w:hAnsi="Arial"/>
                <w:sz w:val="14"/>
                <w:szCs w:val="14"/>
                <w:b w:val="1"/>
                <w:bCs w:val="1"/>
                <w:i w:val="1"/>
                <w:iCs w:val="1"/>
                <w:color w:val="auto"/>
                <w:w w:val="92"/>
              </w:rPr>
              <w:t>(in thousands, except share amounts)</w:t>
            </w: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2,768,995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2,748,473</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727,552</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Payables to reinsurers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135,617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Funds held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97,360</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Deferred reinsurance gain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Junior subordinated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104,055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57,920</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139,033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4,438,411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4,223,188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5"/>
              </w:rPr>
              <w:t>Series A redeemable preferred shares – 2022 and 2021: $0.00125 par value; 20,000,000 shares authorized;</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150,000 and no shares issued and outstanding</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w w:val="98"/>
              </w:rPr>
              <w:t>Common Shares – $0.0002 par value; 200,000,000 shares authorized. 2022 and 2021: 37,470,237 and</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240" w:type="dxa"/>
            <w:vAlign w:val="bottom"/>
          </w:tcPr>
          <w:p>
            <w:pPr>
              <w:ind w:left="480"/>
              <w:spacing w:after="0"/>
              <w:rPr>
                <w:sz w:val="20"/>
                <w:szCs w:val="20"/>
                <w:color w:val="auto"/>
              </w:rPr>
            </w:pPr>
            <w:r>
              <w:rPr>
                <w:rFonts w:ascii="Arial" w:cs="Arial" w:eastAsia="Arial" w:hAnsi="Arial"/>
                <w:sz w:val="18"/>
                <w:szCs w:val="18"/>
                <w:color w:val="auto"/>
              </w:rPr>
              <w:t>37,373,066 shares issued and outstanding, respectively</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862,040</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Retained deficit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(152,055)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(166,663)</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725,362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Series A redeemable preferred shares,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5,137,075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4,948,550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(Loss) and Comprehensive (Loss)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60" w:type="dxa"/>
            <w:vAlign w:val="bottom"/>
            <w:gridSpan w:val="6"/>
          </w:tcPr>
          <w:p>
            <w:pPr>
              <w:jc w:val="center"/>
              <w:ind w:left="571"/>
              <w:spacing w:after="0"/>
              <w:rPr>
                <w:sz w:val="20"/>
                <w:szCs w:val="20"/>
                <w:color w:val="auto"/>
              </w:rPr>
            </w:pPr>
            <w:r>
              <w:rPr>
                <w:rFonts w:ascii="Arial" w:cs="Arial" w:eastAsia="Arial" w:hAnsi="Arial"/>
                <w:sz w:val="14"/>
                <w:szCs w:val="14"/>
                <w:b w:val="1"/>
                <w:bCs w:val="1"/>
                <w:i w:val="1"/>
                <w:iCs w:val="1"/>
                <w:color w:val="auto"/>
                <w:w w:val="88"/>
              </w:rPr>
              <w:t>(in thousands, except share amounts)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1,496,580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1,257,000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(762,919)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(609,226)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647,774</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unearned premiums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606,806</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73,368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668,689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478,545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165,498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656,752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(172,799)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Series A preferred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Net income (loss) available to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(172,799)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Net unrealized (losses) gains, net of taxes of $(27,041) in 2022, $(7,135) in 2021, and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$6,874 in 2020</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(193,022)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(224,720)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55,609</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declared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37,442,856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34,956,957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30,552,210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37,650,969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34,956,957</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30,884,416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40" w:type="dxa"/>
            <w:vAlign w:val="bottom"/>
          </w:tcPr>
          <w:p>
            <w:pPr>
              <w:spacing w:after="0"/>
              <w:rPr>
                <w:sz w:val="12"/>
                <w:szCs w:val="12"/>
                <w:color w:val="auto"/>
              </w:rPr>
            </w:pPr>
          </w:p>
        </w:tc>
        <w:tc>
          <w:tcPr>
            <w:tcW w:w="12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60" w:type="dxa"/>
            <w:vAlign w:val="bottom"/>
          </w:tcPr>
          <w:p>
            <w:pPr>
              <w:jc w:val="center"/>
              <w:ind w:right="40"/>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8"/>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8"/>
          </w:tcPr>
          <w:p>
            <w:pPr>
              <w:ind w:left="2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30,424,391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657,875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778,581</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4,824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50,785</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113,346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RSUs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Compensation expense under share incentive plans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7,625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shares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Cumulative effect of fair value option election (see Note 2)</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(7,827)</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effect of adoption of ASU No. 2016-13</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30,649,261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664,476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49,227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81,899</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795,608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(172,799)</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(51,921)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6,497,500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192,107</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93,446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RSUs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Compensation expense under share incentive plans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6,658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shares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(43,091)</w:t>
            </w:r>
          </w:p>
        </w:tc>
        <w:tc>
          <w:tcPr>
            <w:tcW w:w="0" w:type="dxa"/>
            <w:vAlign w:val="bottom"/>
          </w:tcPr>
          <w:p>
            <w:pPr>
              <w:spacing w:after="0"/>
              <w:rPr>
                <w:sz w:val="1"/>
                <w:szCs w:val="1"/>
                <w:color w:val="auto"/>
              </w:rPr>
            </w:pPr>
          </w:p>
        </w:tc>
      </w:tr>
      <w:tr>
        <w:trPr>
          <w:trHeight w:val="206"/>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2021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37,373,066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862,040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(166,663)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29,978</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725,362</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30,973</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(193,022)</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RSUs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Compensation expense under share incentive plans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8,122</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Series A preferred shares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Dividends on common shares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(7,615)</w:t>
            </w:r>
          </w:p>
        </w:tc>
        <w:tc>
          <w:tcPr>
            <w:tcW w:w="0" w:type="dxa"/>
            <w:vAlign w:val="bottom"/>
          </w:tcPr>
          <w:p>
            <w:pPr>
              <w:spacing w:after="0"/>
              <w:rPr>
                <w:sz w:val="1"/>
                <w:szCs w:val="1"/>
                <w:color w:val="auto"/>
              </w:rPr>
            </w:pPr>
          </w:p>
        </w:tc>
      </w:tr>
      <w:tr>
        <w:trPr>
          <w:trHeight w:val="23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37,470,237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868,858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82"/>
        </w:trPr>
        <w:tc>
          <w:tcPr>
            <w:tcW w:w="6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7"/>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30,973</w:t>
            </w:r>
          </w:p>
        </w:tc>
        <w:tc>
          <w:tcPr>
            <w:tcW w:w="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(172,799)</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4,824</w:t>
            </w:r>
          </w:p>
        </w:tc>
      </w:tr>
      <w:tr>
        <w:trPr>
          <w:trHeight w:val="168"/>
        </w:trPr>
        <w:tc>
          <w:tcPr>
            <w:tcW w:w="662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policy acquisition costs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(79,648)</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(75,236)</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(76,525)</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Amortization of policy acquisition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88,571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69,663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75,578</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realized and unrealized losses (gains) on investments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28,318</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(15,564)</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16,030</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Distributions from equity method investments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4,364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2,434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3,162</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from equity method investments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(3,208)</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Deferred U.S. federal income tax benefit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(20,400)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(4,421)</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Provision for depreciation and amortization</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4,715</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5,019</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Share based compensation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8,122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6,658</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7,625</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Excess tax benefits from equity incentive plan transactions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Change in operating assets and liabilities: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Reserve for losses and loss adjustment expenses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20,522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556,393</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146,574</w:t>
            </w:r>
          </w:p>
        </w:tc>
      </w:tr>
      <w:tr>
        <w:trPr>
          <w:trHeight w:val="182"/>
        </w:trPr>
        <w:tc>
          <w:tcPr>
            <w:tcW w:w="6620" w:type="dxa"/>
            <w:vAlign w:val="bottom"/>
          </w:tcPr>
          <w:p>
            <w:pPr>
              <w:ind w:left="360"/>
              <w:spacing w:after="0"/>
              <w:rPr>
                <w:sz w:val="20"/>
                <w:szCs w:val="20"/>
                <w:color w:val="auto"/>
              </w:rPr>
            </w:pPr>
            <w:r>
              <w:rPr>
                <w:rFonts w:ascii="Arial" w:cs="Arial" w:eastAsia="Arial" w:hAnsi="Arial"/>
                <w:sz w:val="14"/>
                <w:szCs w:val="14"/>
                <w:color w:val="auto"/>
              </w:rPr>
              <w:t>Unearned premiums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(51,536)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97,181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105,994</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Premiums receivable and agents’ balances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53,442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(46,865)</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82"/>
        </w:trPr>
        <w:tc>
          <w:tcPr>
            <w:tcW w:w="6620" w:type="dxa"/>
            <w:vAlign w:val="bottom"/>
          </w:tcPr>
          <w:p>
            <w:pPr>
              <w:ind w:left="360"/>
              <w:spacing w:after="0"/>
              <w:rPr>
                <w:sz w:val="20"/>
                <w:szCs w:val="20"/>
                <w:color w:val="auto"/>
              </w:rPr>
            </w:pPr>
            <w:r>
              <w:rPr>
                <w:rFonts w:ascii="Arial" w:cs="Arial" w:eastAsia="Arial" w:hAnsi="Arial"/>
                <w:sz w:val="14"/>
                <w:szCs w:val="14"/>
                <w:color w:val="auto"/>
              </w:rPr>
              <w:t>Reinsurance balances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96,310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(601,632)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(213,264)</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Funds held</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(60,900)</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(762,560)</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(339,244)</w:t>
            </w:r>
          </w:p>
        </w:tc>
      </w:tr>
      <w:tr>
        <w:trPr>
          <w:trHeight w:val="182"/>
        </w:trPr>
        <w:tc>
          <w:tcPr>
            <w:tcW w:w="6620" w:type="dxa"/>
            <w:vAlign w:val="bottom"/>
          </w:tcPr>
          <w:p>
            <w:pPr>
              <w:ind w:left="360"/>
              <w:spacing w:after="0"/>
              <w:rPr>
                <w:sz w:val="20"/>
                <w:szCs w:val="20"/>
                <w:color w:val="auto"/>
              </w:rPr>
            </w:pPr>
            <w:r>
              <w:rPr>
                <w:rFonts w:ascii="Arial" w:cs="Arial" w:eastAsia="Arial" w:hAnsi="Arial"/>
                <w:sz w:val="14"/>
                <w:szCs w:val="14"/>
                <w:color w:val="auto"/>
              </w:rPr>
              <w:t>Payable to insurance companies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(2,770)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2,286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83,219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43,306</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w:t>
            </w:r>
          </w:p>
        </w:tc>
      </w:tr>
      <w:tr>
        <w:trPr>
          <w:trHeight w:val="176"/>
        </w:trPr>
        <w:tc>
          <w:tcPr>
            <w:tcW w:w="662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 (a)</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222,734</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(913,546)</w:t>
            </w:r>
          </w:p>
        </w:tc>
        <w:tc>
          <w:tcPr>
            <w:tcW w:w="1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(273,830)</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(709,576)</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(362,537)</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(573,482)</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Sales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206,872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135,913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37,674</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Maturities and calls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174,725</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296,170</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240,322</w:t>
            </w: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(38,801)</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(21,845)</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(16,713)</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Sales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7,227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6,838</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Bank loan participations: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Purchases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(89,450)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(126,369)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(77,965)</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52,042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65,291</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135,664</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Maturities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22,417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59,799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32,653</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invested assets: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Purchases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(12,394)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(1,937)</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Return of capital</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20,170</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w:t>
            </w:r>
          </w:p>
        </w:tc>
      </w:tr>
      <w:tr>
        <w:trPr>
          <w:trHeight w:val="182"/>
        </w:trPr>
        <w:tc>
          <w:tcPr>
            <w:tcW w:w="6620" w:type="dxa"/>
            <w:vAlign w:val="bottom"/>
          </w:tcPr>
          <w:p>
            <w:pPr>
              <w:ind w:left="140"/>
              <w:spacing w:after="0"/>
              <w:rPr>
                <w:sz w:val="20"/>
                <w:szCs w:val="20"/>
                <w:color w:val="auto"/>
              </w:rPr>
            </w:pPr>
            <w:r>
              <w:rPr>
                <w:rFonts w:ascii="Arial" w:cs="Arial" w:eastAsia="Arial" w:hAnsi="Arial"/>
                <w:sz w:val="14"/>
                <w:szCs w:val="14"/>
                <w:color w:val="auto"/>
              </w:rPr>
              <w:t>Repayments and redemptions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2,535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3,760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16,292</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Securities receivable or payable, net</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(6,684)</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w:t>
            </w: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Short-term investments, net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28,751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(6,274)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26,636</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(8,219)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(6,303)</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76"/>
        </w:trPr>
        <w:tc>
          <w:tcPr>
            <w:tcW w:w="662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(328,154)</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35,823</w:t>
            </w:r>
          </w:p>
        </w:tc>
        <w:tc>
          <w:tcPr>
            <w:tcW w:w="1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(175,991)</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Senior debt issuances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164,000</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debt repayments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(60,000)</w:t>
            </w: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Issuance of Series A preferred shares (Note 11)</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144,898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Issuances of common shares - public offering</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192,107</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Issuances of common shares under equity incentive plans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1,877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2,580</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 repurchases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(3,077)</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(3,604)</w:t>
            </w: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Dividends on Series A preferred shares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on common shares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(43,236)</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(37,051)</w:t>
            </w:r>
          </w:p>
        </w:tc>
      </w:tr>
      <w:tr>
        <w:trPr>
          <w:trHeight w:val="176"/>
        </w:trPr>
        <w:tc>
          <w:tcPr>
            <w:tcW w:w="662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89,671</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147,671</w:t>
            </w:r>
          </w:p>
        </w:tc>
        <w:tc>
          <w:tcPr>
            <w:tcW w:w="1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65,925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cash, cash equivalents, and restricted cash equivalents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(15,749)</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(730,052)</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(383,896)</w:t>
            </w: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equivalents at beginning of year</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292,128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1,022,180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1,406,076</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1"/>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equivalents at end of year</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276,379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292,128</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1,022,180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6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82"/>
        </w:trPr>
        <w:tc>
          <w:tcPr>
            <w:tcW w:w="6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7"/>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federal income taxes (refunded) paid, net</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(3,932)</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17,236</w:t>
            </w:r>
          </w:p>
        </w:tc>
      </w:tr>
      <w:tr>
        <w:trPr>
          <w:trHeight w:val="20"/>
        </w:trPr>
        <w:tc>
          <w:tcPr>
            <w:tcW w:w="6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7"/>
        </w:trPr>
        <w:tc>
          <w:tcPr>
            <w:tcW w:w="6620" w:type="dxa"/>
            <w:vAlign w:val="bottom"/>
          </w:tcPr>
          <w:p>
            <w:pPr>
              <w:ind w:left="20"/>
              <w:spacing w:after="0"/>
              <w:rPr>
                <w:sz w:val="20"/>
                <w:szCs w:val="20"/>
                <w:color w:val="auto"/>
              </w:rPr>
            </w:pPr>
            <w:r>
              <w:rPr>
                <w:rFonts w:ascii="Arial" w:cs="Arial" w:eastAsia="Arial" w:hAnsi="Arial"/>
                <w:sz w:val="14"/>
                <w:szCs w:val="14"/>
                <w:color w:val="auto"/>
              </w:rPr>
              <w:t>Interest paid</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17,425</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9,927</w:t>
            </w:r>
          </w:p>
        </w:tc>
        <w:tc>
          <w:tcPr>
            <w:tcW w:w="16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11,305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6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Restricted cash equivalents at beginning of year</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102,005</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859,920</w:t>
            </w:r>
          </w:p>
        </w:tc>
        <w:tc>
          <w:tcPr>
            <w:tcW w:w="16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1,199,164</w:t>
            </w:r>
          </w:p>
        </w:tc>
      </w:tr>
      <w:tr>
        <w:trPr>
          <w:trHeight w:val="20"/>
        </w:trPr>
        <w:tc>
          <w:tcPr>
            <w:tcW w:w="6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 equivalents at end of year</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103,215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102,005</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859,920</w:t>
            </w:r>
          </w:p>
        </w:tc>
      </w:tr>
      <w:tr>
        <w:trPr>
          <w:trHeight w:val="196"/>
        </w:trPr>
        <w:tc>
          <w:tcPr>
            <w:tcW w:w="6620" w:type="dxa"/>
            <w:vAlign w:val="bottom"/>
          </w:tcPr>
          <w:p>
            <w:pPr>
              <w:ind w:left="20"/>
              <w:spacing w:after="0"/>
              <w:rPr>
                <w:sz w:val="20"/>
                <w:szCs w:val="20"/>
                <w:color w:val="auto"/>
              </w:rPr>
            </w:pPr>
            <w:r>
              <w:rPr>
                <w:rFonts w:ascii="Arial" w:cs="Arial" w:eastAsia="Arial" w:hAnsi="Arial"/>
                <w:sz w:val="14"/>
                <w:szCs w:val="14"/>
                <w:color w:val="auto"/>
              </w:rPr>
              <w:t>Change in restricted cash equivalents</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1,210</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(757,915)</w:t>
            </w:r>
          </w:p>
        </w:tc>
        <w:tc>
          <w:tcPr>
            <w:tcW w:w="1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(339,244)</w:t>
            </w:r>
          </w:p>
        </w:tc>
      </w:tr>
      <w:tr>
        <w:trPr>
          <w:trHeight w:val="20"/>
        </w:trPr>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121" w:name="page122"/>
    <w:bookmarkEnd w:id="121"/>
    <w:p>
      <w:pPr>
        <w:ind w:left="-8" w:firstLine="8"/>
        <w:spacing w:after="0" w:line="271" w:lineRule="auto"/>
        <w:tabs>
          <w:tab w:leader="none" w:pos="237"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Cash provided by (used in) operating activities for the years ended December 31, 2022, 2021, and 2020 reflects the activity in restricted cash equivalents above. As permitted under the agreements establishing the Indemnity Trust and the LPT Trust, we have withdrawn collateral from the Indemnity Trust and the LPT Trust to fund the Loss Fund Trust as required under the Administrative Services Agreement. Amounts on deposit in the Loss Fund Trust are included in restricted cash equivalents on the Company's consolidated balance sheets. See “Item 7. Management’s Discussion and Analysis of Financial Condition and Results of Operations – </w:t>
      </w:r>
      <w:r>
        <w:rPr>
          <w:rFonts w:ascii="Arial" w:cs="Arial" w:eastAsia="Arial" w:hAnsi="Arial"/>
          <w:sz w:val="17"/>
          <w:szCs w:val="17"/>
          <w:i w:val="1"/>
          <w:iCs w:val="1"/>
          <w:color w:val="auto"/>
        </w:rPr>
        <w:t>Amounts Recoverable from an Indemnifying Party and Reinsurer on Legacy Commercial Auto Book</w:t>
      </w:r>
      <w:r>
        <w:rPr>
          <w:rFonts w:ascii="Arial" w:cs="Arial" w:eastAsia="Arial" w:hAnsi="Arial"/>
          <w:sz w:val="17"/>
          <w:szCs w:val="17"/>
          <w:color w:val="auto"/>
        </w:rPr>
        <w:t>”. Excluding the restricted cash activity above, cash provided by (used in) operating activities was $221.5 million, $(155.6) million, and $65.4 million for the years ended December 31, 2022, 2021, and 2020, respectively. The cash used in operating activities (excluding restricted cash equivalents) in 2021 was largely driven by $317.6 million paid to effect a loss portfolio transfer reinsurance transaction.</w:t>
      </w:r>
    </w:p>
    <w:p>
      <w:pPr>
        <w:spacing w:after="0" w:line="70" w:lineRule="exact"/>
        <w:rPr>
          <w:sz w:val="20"/>
          <w:szCs w:val="20"/>
          <w:color w:val="auto"/>
        </w:rPr>
      </w:pPr>
    </w:p>
    <w:p>
      <w:pPr>
        <w:jc w:val="center"/>
        <w:ind w:right="-91"/>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25" w:right="4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9400" w:firstLine="8"/>
        <w:spacing w:after="0" w:line="400" w:lineRule="auto"/>
        <w:tabs>
          <w:tab w:leader="none" w:pos="305"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right="680" w:firstLine="36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right="600" w:firstLine="364"/>
        <w:spacing w:after="0" w:line="277"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a Bermuda-based reinsurance company as described below:</w:t>
      </w:r>
    </w:p>
    <w:p>
      <w:pPr>
        <w:spacing w:after="0" w:line="62" w:lineRule="exact"/>
        <w:rPr>
          <w:sz w:val="20"/>
          <w:szCs w:val="20"/>
          <w:color w:val="auto"/>
        </w:rPr>
      </w:pPr>
    </w:p>
    <w:p>
      <w:pPr>
        <w:ind w:left="660" w:right="120" w:hanging="328"/>
        <w:spacing w:after="0" w:line="342" w:lineRule="auto"/>
        <w:tabs>
          <w:tab w:leader="none" w:pos="5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James River Group Holdings UK Limited (“James River UK”) is an insurance holding company formed in 2015 in the United Kingdom (“U.K.”). The Company contributed James River Group, Inc. (“James River Group”), a U.S. insurance holding company, to James River UK in 2015.</w:t>
      </w:r>
    </w:p>
    <w:p>
      <w:pPr>
        <w:spacing w:after="0" w:line="15" w:lineRule="exact"/>
        <w:rPr>
          <w:rFonts w:ascii="Arial" w:cs="Arial" w:eastAsia="Arial" w:hAnsi="Arial"/>
          <w:sz w:val="16"/>
          <w:szCs w:val="16"/>
          <w:color w:val="auto"/>
        </w:rPr>
      </w:pPr>
    </w:p>
    <w:p>
      <w:pPr>
        <w:ind w:left="660" w:hanging="328"/>
        <w:spacing w:after="0" w:line="263" w:lineRule="auto"/>
        <w:tabs>
          <w:tab w:leader="none" w:pos="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5" w:lineRule="exact"/>
        <w:rPr>
          <w:rFonts w:ascii="Arial" w:cs="Arial" w:eastAsia="Arial" w:hAnsi="Arial"/>
          <w:sz w:val="18"/>
          <w:szCs w:val="18"/>
          <w:color w:val="auto"/>
        </w:rPr>
      </w:pPr>
    </w:p>
    <w:p>
      <w:pPr>
        <w:ind w:left="660" w:right="20" w:hanging="328"/>
        <w:spacing w:after="0" w:line="342" w:lineRule="auto"/>
        <w:tabs>
          <w:tab w:leader="none" w:pos="5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spacing w:after="0" w:line="15" w:lineRule="exact"/>
        <w:rPr>
          <w:rFonts w:ascii="Arial" w:cs="Arial" w:eastAsia="Arial" w:hAnsi="Arial"/>
          <w:sz w:val="16"/>
          <w:szCs w:val="16"/>
          <w:color w:val="auto"/>
        </w:rPr>
      </w:pPr>
    </w:p>
    <w:p>
      <w:pPr>
        <w:ind w:left="660" w:right="340" w:hanging="328"/>
        <w:spacing w:after="0" w:line="259" w:lineRule="auto"/>
        <w:tabs>
          <w:tab w:leader="none" w:pos="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primarily writes specialty admitted fronting and program business and individual risk workers' compensation insurance.</w:t>
      </w:r>
    </w:p>
    <w:p>
      <w:pPr>
        <w:spacing w:after="0" w:line="78" w:lineRule="exact"/>
        <w:rPr>
          <w:rFonts w:ascii="Arial" w:cs="Arial" w:eastAsia="Arial" w:hAnsi="Arial"/>
          <w:sz w:val="18"/>
          <w:szCs w:val="18"/>
          <w:color w:val="auto"/>
        </w:rPr>
      </w:pPr>
    </w:p>
    <w:p>
      <w:pPr>
        <w:ind w:left="660" w:right="320" w:hanging="328"/>
        <w:spacing w:after="0" w:line="263" w:lineRule="auto"/>
        <w:tabs>
          <w:tab w:leader="none" w:pos="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40" w:firstLine="364"/>
        <w:spacing w:after="0" w:line="259"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(“GAAP”), which vary in some respects from statutory accounting practices (“SAP”) which are prescribed or permitted by the various state insurance departments in the U.S. or by insurance regulators in Bermuda. The accompanying consolidated financial statements include the accounts and operations of the Company and its subsidiaries. Intercompany transactions and balances have been eliminated.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Preparation of the consolidated financial statements in conformity with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and Equity Securities</w:t>
      </w:r>
    </w:p>
    <w:p>
      <w:pPr>
        <w:spacing w:after="0" w:line="121" w:lineRule="exact"/>
        <w:rPr>
          <w:sz w:val="20"/>
          <w:szCs w:val="20"/>
          <w:color w:val="auto"/>
        </w:rPr>
      </w:pPr>
    </w:p>
    <w:p>
      <w:pPr>
        <w:ind w:right="80" w:firstLine="364"/>
        <w:spacing w:after="0" w:line="263" w:lineRule="auto"/>
        <w:rPr>
          <w:sz w:val="20"/>
          <w:szCs w:val="20"/>
          <w:color w:val="auto"/>
        </w:rPr>
      </w:pPr>
      <w:r>
        <w:rPr>
          <w:rFonts w:ascii="Arial" w:cs="Arial" w:eastAsia="Arial" w:hAnsi="Arial"/>
          <w:sz w:val="18"/>
          <w:szCs w:val="18"/>
          <w:color w:val="auto"/>
        </w:rPr>
        <w:t>Fixed maturity securities classified as “available-for-sale” are carried at fair value, and unrealized gains and losses on such securities, net of any deferred taxes, are reported as a separate component of accumulated other comprehensive income. The Company does not have any securities classified as “held-to-maturity” or “trading”.</w:t>
      </w:r>
    </w:p>
    <w:p>
      <w:pPr>
        <w:spacing w:after="0" w:line="76"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Fair value generally represents quoted market value prices for securities traded in the public marketplace or prices analytically determined using bid or closing prices for securities not traded in the public marketplace.</w:t>
      </w:r>
    </w:p>
    <w:p>
      <w:pPr>
        <w:spacing w:after="0" w:line="62"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Premiums and discounts on mortgage-backed securities and asset-backed securities are amortized or accrued using the constant yield method which considers anticipated prepayments at the date of purchase. To the extent that the estimated lives of such securities change as a result of changes in estimated prepayment rates, the adjustments are included in net investment income using the retrospective method.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120" w:firstLine="364"/>
        <w:spacing w:after="0" w:line="277" w:lineRule="auto"/>
        <w:rPr>
          <w:sz w:val="20"/>
          <w:szCs w:val="20"/>
          <w:color w:val="auto"/>
        </w:rPr>
      </w:pPr>
      <w:r>
        <w:rPr>
          <w:rFonts w:ascii="Arial" w:cs="Arial" w:eastAsia="Arial" w:hAnsi="Arial"/>
          <w:sz w:val="18"/>
          <w:szCs w:val="18"/>
          <w:color w:val="auto"/>
        </w:rPr>
        <w:t>Realized investment gains or losses are determined on a specific identification basis. Interest income is recognized as earned, and dividend income is recognized on the ex-dividend date.</w:t>
      </w:r>
    </w:p>
    <w:p>
      <w:pPr>
        <w:spacing w:after="0" w:line="62" w:lineRule="exact"/>
        <w:rPr>
          <w:sz w:val="20"/>
          <w:szCs w:val="20"/>
          <w:color w:val="auto"/>
        </w:rPr>
      </w:pPr>
    </w:p>
    <w:p>
      <w:pPr>
        <w:ind w:right="100" w:firstLine="364"/>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Company adopted ASU 2016-13,</w:t>
      </w:r>
      <w:r>
        <w:rPr>
          <w:rFonts w:ascii="Arial" w:cs="Arial" w:eastAsia="Arial" w:hAnsi="Arial"/>
          <w:sz w:val="18"/>
          <w:szCs w:val="18"/>
          <w:color w:val="auto"/>
        </w:rPr>
        <w:t xml:space="preserve"> </w:t>
      </w:r>
      <w:r>
        <w:rPr>
          <w:rFonts w:ascii="Arial" w:cs="Arial" w:eastAsia="Arial" w:hAnsi="Arial"/>
          <w:sz w:val="18"/>
          <w:szCs w:val="18"/>
          <w:i w:val="1"/>
          <w:iCs w:val="1"/>
          <w:color w:val="231F20"/>
        </w:rPr>
        <w:t>Financial Instruments - Credit Losses (Topic 326): Measurement of Credit Losses on Financial Instruments</w:t>
      </w:r>
      <w:r>
        <w:rPr>
          <w:rFonts w:ascii="Arial" w:cs="Arial" w:eastAsia="Arial" w:hAnsi="Arial"/>
          <w:sz w:val="18"/>
          <w:szCs w:val="18"/>
          <w:color w:val="auto"/>
        </w:rPr>
        <w:t xml:space="preserve"> </w:t>
      </w:r>
      <w:r>
        <w:rPr>
          <w:rFonts w:ascii="Arial" w:cs="Arial" w:eastAsia="Arial" w:hAnsi="Arial"/>
          <w:sz w:val="18"/>
          <w:szCs w:val="18"/>
          <w:color w:val="231F20"/>
        </w:rPr>
        <w:t>on</w:t>
      </w:r>
      <w:r>
        <w:rPr>
          <w:rFonts w:ascii="Arial" w:cs="Arial" w:eastAsia="Arial" w:hAnsi="Arial"/>
          <w:sz w:val="18"/>
          <w:szCs w:val="18"/>
          <w:color w:val="auto"/>
        </w:rPr>
        <w:t xml:space="preserve"> </w:t>
      </w:r>
      <w:r>
        <w:rPr>
          <w:rFonts w:ascii="Arial" w:cs="Arial" w:eastAsia="Arial" w:hAnsi="Arial"/>
          <w:sz w:val="18"/>
          <w:szCs w:val="18"/>
          <w:color w:val="231F20"/>
        </w:rPr>
        <w:t xml:space="preserve">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w:t>
      </w:r>
      <w:r>
        <w:rPr>
          <w:rFonts w:ascii="Arial" w:cs="Arial" w:eastAsia="Arial" w:hAnsi="Arial"/>
          <w:sz w:val="18"/>
          <w:szCs w:val="18"/>
          <w:color w:val="000000"/>
        </w:rPr>
        <w:t>credit-related</w:t>
      </w:r>
      <w:r>
        <w:rPr>
          <w:rFonts w:ascii="Arial" w:cs="Arial" w:eastAsia="Arial" w:hAnsi="Arial"/>
          <w:sz w:val="18"/>
          <w:szCs w:val="18"/>
          <w:color w:val="231F20"/>
        </w:rPr>
        <w:t xml:space="preserve">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continue to be recognized in other comprehensive income.</w:t>
      </w:r>
    </w:p>
    <w:p>
      <w:pPr>
        <w:spacing w:after="0" w:line="84" w:lineRule="exact"/>
        <w:rPr>
          <w:sz w:val="20"/>
          <w:szCs w:val="20"/>
          <w:color w:val="auto"/>
        </w:rPr>
      </w:pPr>
    </w:p>
    <w:p>
      <w:pPr>
        <w:ind w:right="100" w:firstLine="364"/>
        <w:spacing w:after="0" w:line="296" w:lineRule="auto"/>
        <w:rPr>
          <w:sz w:val="20"/>
          <w:szCs w:val="20"/>
          <w:color w:val="auto"/>
        </w:rPr>
      </w:pPr>
      <w:r>
        <w:rPr>
          <w:rFonts w:ascii="Arial" w:cs="Arial" w:eastAsia="Arial" w:hAnsi="Arial"/>
          <w:sz w:val="16"/>
          <w:szCs w:val="16"/>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Loan Participations</w:t>
      </w:r>
    </w:p>
    <w:p>
      <w:pPr>
        <w:spacing w:after="0" w:line="121" w:lineRule="exact"/>
        <w:rPr>
          <w:sz w:val="20"/>
          <w:szCs w:val="20"/>
          <w:color w:val="auto"/>
        </w:rPr>
      </w:pPr>
    </w:p>
    <w:p>
      <w:pPr>
        <w:ind w:right="180" w:firstLine="364"/>
        <w:spacing w:after="0" w:line="259" w:lineRule="auto"/>
        <w:rPr>
          <w:sz w:val="20"/>
          <w:szCs w:val="20"/>
          <w:color w:val="auto"/>
        </w:rPr>
      </w:pPr>
      <w:r>
        <w:rPr>
          <w:rFonts w:ascii="Arial" w:cs="Arial" w:eastAsia="Arial" w:hAnsi="Arial"/>
          <w:sz w:val="18"/>
          <w:szCs w:val="18"/>
          <w:color w:val="auto"/>
        </w:rPr>
        <w:t xml:space="preserve">Bank loan participations are managed by a specialized outside investment manager. </w:t>
      </w:r>
      <w:r>
        <w:rPr>
          <w:rFonts w:ascii="Arial" w:cs="Arial" w:eastAsia="Arial" w:hAnsi="Arial"/>
          <w:sz w:val="18"/>
          <w:szCs w:val="18"/>
          <w:color w:val="231F20"/>
        </w:rPr>
        <w:t>In connection with the adoption of ASU 2016-13, the Company</w:t>
      </w:r>
      <w:r>
        <w:rPr>
          <w:rFonts w:ascii="Arial" w:cs="Arial" w:eastAsia="Arial" w:hAnsi="Arial"/>
          <w:sz w:val="18"/>
          <w:szCs w:val="18"/>
          <w:color w:val="auto"/>
        </w:rPr>
        <w:t xml:space="preserve"> </w:t>
      </w:r>
      <w:r>
        <w:rPr>
          <w:rFonts w:ascii="Arial" w:cs="Arial" w:eastAsia="Arial" w:hAnsi="Arial"/>
          <w:sz w:val="18"/>
          <w:szCs w:val="18"/>
          <w:color w:val="231F20"/>
        </w:rPr>
        <w:t>elected the fair value option in accounting for bank loan participations effective January 1, 2020. Under the fair value option, bank loan participations are measured at fair value, and changes in unrealized gains and losses in bank loan participations are reported in our income statement as net realized and unrealized gains (losses) on investments.</w:t>
      </w:r>
    </w:p>
    <w:p>
      <w:pPr>
        <w:spacing w:after="0" w:line="79" w:lineRule="exact"/>
        <w:rPr>
          <w:sz w:val="20"/>
          <w:szCs w:val="20"/>
          <w:color w:val="auto"/>
        </w:rPr>
      </w:pPr>
    </w:p>
    <w:p>
      <w:pPr>
        <w:jc w:val="both"/>
        <w:ind w:right="620" w:firstLine="364"/>
        <w:spacing w:after="0" w:line="263" w:lineRule="auto"/>
        <w:rPr>
          <w:sz w:val="20"/>
          <w:szCs w:val="20"/>
          <w:color w:val="auto"/>
        </w:rPr>
      </w:pPr>
      <w:r>
        <w:rPr>
          <w:rFonts w:ascii="Arial" w:cs="Arial" w:eastAsia="Arial" w:hAnsi="Arial"/>
          <w:sz w:val="18"/>
          <w:szCs w:val="18"/>
          <w:color w:val="231F20"/>
        </w:rPr>
        <w:t>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income is accrued on the unpaid principal balance. Discounts and premiums are amortized to income using the interest method.</w:t>
      </w:r>
    </w:p>
    <w:p>
      <w:pPr>
        <w:spacing w:after="0" w:line="117"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Interest received on nonaccrual loans generally is reported as investment income. There were no bank loans on nonaccrual status at December 31, 2022 or 2021.</w:t>
      </w:r>
    </w:p>
    <w:p>
      <w:pPr>
        <w:spacing w:after="0" w:line="79" w:lineRule="exact"/>
        <w:rPr>
          <w:sz w:val="20"/>
          <w:szCs w:val="20"/>
          <w:color w:val="auto"/>
        </w:rPr>
      </w:pPr>
    </w:p>
    <w:p>
      <w:pPr>
        <w:jc w:val="both"/>
        <w:ind w:right="640" w:firstLine="364"/>
        <w:spacing w:after="0" w:line="342" w:lineRule="auto"/>
        <w:rPr>
          <w:sz w:val="20"/>
          <w:szCs w:val="20"/>
          <w:color w:val="auto"/>
        </w:rPr>
      </w:pPr>
      <w:r>
        <w:rPr>
          <w:rFonts w:ascii="Arial" w:cs="Arial" w:eastAsia="Arial" w:hAnsi="Arial"/>
          <w:sz w:val="16"/>
          <w:szCs w:val="16"/>
          <w:color w:val="auto"/>
        </w:rPr>
        <w:t>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Invested Assets</w:t>
      </w:r>
    </w:p>
    <w:p>
      <w:pPr>
        <w:spacing w:after="0" w:line="121" w:lineRule="exact"/>
        <w:rPr>
          <w:sz w:val="20"/>
          <w:szCs w:val="20"/>
          <w:color w:val="auto"/>
        </w:rPr>
      </w:pPr>
    </w:p>
    <w:p>
      <w:pPr>
        <w:ind w:right="80" w:firstLine="364"/>
        <w:spacing w:after="0" w:line="259" w:lineRule="auto"/>
        <w:rPr>
          <w:sz w:val="20"/>
          <w:szCs w:val="20"/>
          <w:color w:val="auto"/>
        </w:rPr>
      </w:pPr>
      <w:r>
        <w:rPr>
          <w:rFonts w:ascii="Arial" w:cs="Arial" w:eastAsia="Arial" w:hAnsi="Arial"/>
          <w:sz w:val="18"/>
          <w:szCs w:val="18"/>
          <w:color w:val="auto"/>
        </w:rPr>
        <w:t>Other invested assets at December 31, 2022 and 2021 include the Company’s interests in private debt and equity investments. The investments are primarily focused in renewable energy, limited partnerships, and bank holding companies. Equity interests in various limited liability companies (“LLCs”) and limited partnerships are accounted for under the equity method, as the Company has determined that the equity method best reflects its economic interest in the underlying equity investment.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Short-term investments are carried at amortized cost, which approximates fair value. Short-term investments have maturities greater than three months but less than one year at the date of purchase.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considers highly liquid investments with maturities of three months or less at the date of purchase to be cash equivalents.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Equivalents</w:t>
      </w:r>
    </w:p>
    <w:p>
      <w:pPr>
        <w:spacing w:after="0" w:line="121" w:lineRule="exact"/>
        <w:rPr>
          <w:sz w:val="20"/>
          <w:szCs w:val="20"/>
          <w:color w:val="auto"/>
        </w:rPr>
      </w:pPr>
    </w:p>
    <w:p>
      <w:pPr>
        <w:jc w:val="both"/>
        <w:ind w:right="60" w:firstLine="364"/>
        <w:spacing w:after="0" w:line="263" w:lineRule="auto"/>
        <w:rPr>
          <w:sz w:val="20"/>
          <w:szCs w:val="20"/>
          <w:color w:val="auto"/>
        </w:rPr>
      </w:pPr>
      <w:r>
        <w:rPr>
          <w:rFonts w:ascii="Arial" w:cs="Arial" w:eastAsia="Arial" w:hAnsi="Arial"/>
          <w:sz w:val="18"/>
          <w:szCs w:val="18"/>
          <w:color w:val="auto"/>
        </w:rPr>
        <w:t>The Company considers highly liquid investments with maturities of three months or less at the date of purchase that are segregated for a specific use to be restricted cash equivalents. Certain restricted cash equivalents invested in funds with floating net asset values are measured at fair value with changes in fair value recognized in net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Written Premiums</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Direct written premiums are earned on a pro rata basis over the terms of the policies, generally 12 months. The portion of premiums written applicable to the unexpired terms of the policies in force is recorded as unearned premiums. Policies are accounted for on an individual basis, with no aggregation by counterparty.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Reinsurance Premiums</w:t>
      </w:r>
    </w:p>
    <w:p>
      <w:pPr>
        <w:spacing w:after="0" w:line="121" w:lineRule="exact"/>
        <w:rPr>
          <w:sz w:val="20"/>
          <w:szCs w:val="20"/>
          <w:color w:val="auto"/>
        </w:rPr>
      </w:pPr>
    </w:p>
    <w:p>
      <w:pPr>
        <w:ind w:right="140" w:firstLine="364"/>
        <w:spacing w:after="0" w:line="275" w:lineRule="auto"/>
        <w:rPr>
          <w:sz w:val="20"/>
          <w:szCs w:val="20"/>
          <w:color w:val="auto"/>
        </w:rPr>
      </w:pPr>
      <w:r>
        <w:rPr>
          <w:rFonts w:ascii="Arial" w:cs="Arial" w:eastAsia="Arial" w:hAnsi="Arial"/>
          <w:sz w:val="17"/>
          <w:szCs w:val="17"/>
          <w:color w:val="auto"/>
        </w:rPr>
        <w:t>Assumed reinsurance written premiums include amounts reported by brokers and ceding companies, supplemented by the Company’s own estimates of premiums when reports have not been received. Premiums on the Company’s excess of loss and pro rata reinsurance contracts are estimated when the business is underwritten. For excess of loss contracts, the deposit premium, as defined in the contract, is generally recorded as an estimate of premiums written at the inception date of the treaty. Estimates of premiums written under pro rata contracts are recorded in the period in which the underlying risks are expected to begin and are based on information provided by the brokers and the ceding companies.</w:t>
      </w:r>
    </w:p>
    <w:p>
      <w:pPr>
        <w:spacing w:after="0" w:line="68" w:lineRule="exact"/>
        <w:rPr>
          <w:sz w:val="20"/>
          <w:szCs w:val="20"/>
          <w:color w:val="auto"/>
        </w:rPr>
      </w:pPr>
    </w:p>
    <w:p>
      <w:pPr>
        <w:ind w:right="340" w:firstLine="364"/>
        <w:spacing w:after="0" w:line="277" w:lineRule="auto"/>
        <w:rPr>
          <w:sz w:val="20"/>
          <w:szCs w:val="20"/>
          <w:color w:val="auto"/>
        </w:rPr>
      </w:pPr>
      <w:r>
        <w:rPr>
          <w:rFonts w:ascii="Arial" w:cs="Arial" w:eastAsia="Arial" w:hAnsi="Arial"/>
          <w:sz w:val="18"/>
          <w:szCs w:val="18"/>
          <w:color w:val="auto"/>
        </w:rPr>
        <w:t>Reinsurance premium estimates are reviewed by management periodically. Any adjustment to these estimates is recorded in the period in which it becomes known.</w:t>
      </w:r>
    </w:p>
    <w:p>
      <w:pPr>
        <w:spacing w:after="0" w:line="62" w:lineRule="exact"/>
        <w:rPr>
          <w:sz w:val="20"/>
          <w:szCs w:val="20"/>
          <w:color w:val="auto"/>
        </w:rPr>
      </w:pPr>
    </w:p>
    <w:p>
      <w:pPr>
        <w:ind w:right="40" w:firstLine="364"/>
        <w:spacing w:after="0" w:line="255" w:lineRule="auto"/>
        <w:rPr>
          <w:sz w:val="20"/>
          <w:szCs w:val="20"/>
          <w:color w:val="auto"/>
        </w:rPr>
      </w:pPr>
      <w:r>
        <w:rPr>
          <w:rFonts w:ascii="Arial" w:cs="Arial" w:eastAsia="Arial" w:hAnsi="Arial"/>
          <w:sz w:val="18"/>
          <w:szCs w:val="18"/>
          <w:color w:val="auto"/>
        </w:rPr>
        <w:t>Reinsurance premiums assumed are earned over the terms of the underlying policies or reinsurance contracts. Contracts and policies written on a “losses occurring” basis cover claims that may occur during the term of the contract or policy, which is typically 12 months. Accordingly, the premium is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 Contracts are accounted for on an individual basis, with no aggregation by counterparty.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Receivable and Agents’ Balances, Net</w:t>
      </w:r>
    </w:p>
    <w:p>
      <w:pPr>
        <w:spacing w:after="0" w:line="121" w:lineRule="exact"/>
        <w:rPr>
          <w:sz w:val="20"/>
          <w:szCs w:val="20"/>
          <w:color w:val="auto"/>
        </w:rPr>
      </w:pPr>
    </w:p>
    <w:p>
      <w:pPr>
        <w:ind w:right="100" w:firstLine="364"/>
        <w:spacing w:after="0" w:line="289" w:lineRule="auto"/>
        <w:rPr>
          <w:sz w:val="20"/>
          <w:szCs w:val="20"/>
          <w:color w:val="auto"/>
        </w:rPr>
      </w:pPr>
      <w:r>
        <w:rPr>
          <w:rFonts w:ascii="Arial" w:cs="Arial" w:eastAsia="Arial" w:hAnsi="Arial"/>
          <w:sz w:val="16"/>
          <w:szCs w:val="16"/>
          <w:color w:val="auto"/>
        </w:rPr>
        <w:t>Premiums receivable and agents’ balances are carried at face value net of any allowance for credit losses. The allowance for credit losses represents the current estimate of expected credit losses based on the Company’s assessment of the collectability of receivables that are past due, historical collection percentages, and consideration of current economic conditions and expectations of future conditions that could affect ultimate collections. Receivables greater than 90 days past due were $9.4 million and $7.5 million at December 31, 2022 and 2021, respectively. The allowance for credit losses was $16.2 million and $16.7 million at December 31, 2022 and 2021, respectively. Credit loss expense was $1.1 million for the year ended December 31, 2022, $9.4 million for the year ended December 31, 2021 ($7.1 million of which was deducted from amounts due to our reinsurers), and $3.3 million for the year ended December 31, 2020. Receivables written off against the allowance for credit losses totaled $1.5 million for the year ended December 31, 2022, $1.1 million for the year ended December 31, 2021, and $660,000 for the year ended December 31, 2020. Account balances are charged off against the allowance after all means of collection have been exhausted and the potential for recovery is considered remote.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121" w:lineRule="exact"/>
        <w:rPr>
          <w:sz w:val="20"/>
          <w:szCs w:val="20"/>
          <w:color w:val="auto"/>
        </w:rPr>
      </w:pPr>
    </w:p>
    <w:p>
      <w:pPr>
        <w:ind w:right="60" w:firstLine="364"/>
        <w:spacing w:after="0" w:line="293" w:lineRule="auto"/>
        <w:rPr>
          <w:sz w:val="20"/>
          <w:szCs w:val="20"/>
          <w:color w:val="auto"/>
        </w:rPr>
      </w:pPr>
      <w:r>
        <w:rPr>
          <w:rFonts w:ascii="Arial" w:cs="Arial" w:eastAsia="Arial" w:hAnsi="Arial"/>
          <w:sz w:val="16"/>
          <w:szCs w:val="16"/>
          <w:color w:val="auto"/>
        </w:rPr>
        <w:t>Costs which are incrementally or directly related to the successful acquisition of new or renewal insurance business are deferred. These deferred costs are primarily commissions to agents, ceding commissions paid on reinsurance assumed, premium taxes, and the portion of underwriting fixed compensation and payroll related fringe benefits directly related to an insurance contract that has been acquired, net of ceding commissions related to reinsurance ceded. Amortization of such policy acquisition costs is charged to expense in proportion to premium earned over the estimated policy life. To the extent that unearned premiums on existing policies are not adequate to cover projected related costs and expenses, deferred policy acquisition costs are charged to earnings. The Company considers anticipated investment income in determining whether a premium deficiency exists.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and Adjustable Features of Insurance and Reinsurance Contracts</w:t>
      </w:r>
    </w:p>
    <w:p>
      <w:pPr>
        <w:spacing w:after="0" w:line="121" w:lineRule="exact"/>
        <w:rPr>
          <w:sz w:val="20"/>
          <w:szCs w:val="20"/>
          <w:color w:val="auto"/>
        </w:rPr>
      </w:pPr>
    </w:p>
    <w:p>
      <w:pPr>
        <w:ind w:right="300" w:firstLine="364"/>
        <w:spacing w:after="0" w:line="277" w:lineRule="auto"/>
        <w:rPr>
          <w:sz w:val="20"/>
          <w:szCs w:val="20"/>
          <w:color w:val="auto"/>
        </w:rPr>
      </w:pPr>
      <w:r>
        <w:rPr>
          <w:rFonts w:ascii="Arial" w:cs="Arial" w:eastAsia="Arial" w:hAnsi="Arial"/>
          <w:sz w:val="18"/>
          <w:szCs w:val="18"/>
          <w:color w:val="auto"/>
        </w:rPr>
        <w:t>Certain premiums and losses are ceded to other insurance companies or assumed from other insurance companies under various excess of loss and quota-share reinsurance contracts. The Company enters into ceded reinsurance contracts to limit its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exposure to large losses, to limit exposure on new lines of insurance written by the Company, and to provide additional capacity for growth.</w:t>
      </w:r>
    </w:p>
    <w:p>
      <w:pPr>
        <w:spacing w:after="0" w:line="117" w:lineRule="exact"/>
        <w:rPr>
          <w:sz w:val="20"/>
          <w:szCs w:val="20"/>
          <w:color w:val="auto"/>
        </w:rPr>
      </w:pPr>
    </w:p>
    <w:p>
      <w:pPr>
        <w:ind w:right="100" w:firstLine="364"/>
        <w:spacing w:after="0" w:line="253" w:lineRule="auto"/>
        <w:rPr>
          <w:sz w:val="20"/>
          <w:szCs w:val="20"/>
          <w:color w:val="auto"/>
        </w:rPr>
      </w:pPr>
      <w:r>
        <w:rPr>
          <w:rFonts w:ascii="Arial" w:cs="Arial" w:eastAsia="Arial" w:hAnsi="Arial"/>
          <w:sz w:val="18"/>
          <w:szCs w:val="18"/>
          <w:color w:val="auto"/>
        </w:rPr>
        <w:t>Premiums, commissions, and losses and loss adjustment expenses on reinsured business are accounted for on a basis consistent with that used in accounting for the original policies issued and the terms of the reinsurance contracts. Reinsurance recoverables and prepaid reinsurance premiums are reported as assets. The Company uses a provision matrix to calculate the allowance for credit losses on reinsurance recoverables by applying impairment rates based on historical loss data to similarly rated reinsurance companies based on the expected duration of the receivables. The Company also considers the expected impact of current and future expected economic conditions and adjusts estimates if needed based on an evaluation of these factors. The allowance for credit losses on reinsurance recoverables at December 31, 2022 and 2021 was $612,000 and $631,000, respectively. Other amounts payable to insurance companies and reinsurers or receivable from insurance companies and reinsurers are netted where the right of offset exists. The Company receives ceding commissions in connection with certain ceded reinsurance. The ceding commissions are recorded as a reduction of other operating expenses.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Certain reinsurance contracts include provisions that adjust premiums or acquisition expenses based upon the loss experience under the contracts.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Premiums written and earned, as well as related acquisition expenses are recorded based upon the projected loss experience under the contracts.</w:t>
      </w:r>
    </w:p>
    <w:p>
      <w:pPr>
        <w:spacing w:after="0" w:line="114"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The Company’s Specialty Admitted Insurance segment writes insurance under specialty admitted fronting and program arrangements. The fronting and program arrangements may contain contractual provisions that adjust acquisition expenses based upon loss experience under the contracts. The specialty admitted fronting and program arrangements are significantly reinsured. These reinsurance contracts may also contain provisions that adjust premiums or acquisition expenses based upon the loss experience under the contracts. Premiums written and earned, as well as related acquisition expenses, are recorded based upon the projected loss experience under the contracts.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160" w:firstLine="364"/>
        <w:spacing w:after="0" w:line="259" w:lineRule="auto"/>
        <w:rPr>
          <w:sz w:val="20"/>
          <w:szCs w:val="20"/>
          <w:color w:val="auto"/>
        </w:rPr>
      </w:pPr>
      <w:r>
        <w:rPr>
          <w:rFonts w:ascii="Arial" w:cs="Arial" w:eastAsia="Arial" w:hAnsi="Arial"/>
          <w:sz w:val="18"/>
          <w:szCs w:val="18"/>
          <w:color w:val="auto"/>
        </w:rPr>
        <w:t>Other income is principally comprised of fee income earned on policies for which the Company has no exposure to underwriting risk. Fee income of $3.8 million, $4.5 million, and $3.4 million is included in other income for the years ended December 31, 2022, 2021, and 2020, respectively. Fees are earned on a pro rata basis over the service period of the underlying business. Policies are accounted for on an individual basis, with no aggregation by counterparty.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364"/>
        <w:spacing w:after="0" w:line="296" w:lineRule="auto"/>
        <w:rPr>
          <w:sz w:val="20"/>
          <w:szCs w:val="20"/>
          <w:color w:val="auto"/>
        </w:rPr>
      </w:pPr>
      <w:r>
        <w:rPr>
          <w:rFonts w:ascii="Arial" w:cs="Arial" w:eastAsia="Arial" w:hAnsi="Arial"/>
          <w:sz w:val="16"/>
          <w:szCs w:val="16"/>
          <w:color w:val="auto"/>
        </w:rPr>
        <w:t>Deferred tax assets and deferred tax liabilities are provided for the future tax consequences attributable to temporary differences between the financial statement carrying amounts of assets and liabilities and their respective U.S. tax basis. Deferred tax assets and liabilities are measured using enacted U.S. corporate tax rates expected to apply to taxable income in the years in which those temporary differences are expected to be recovered or settled. Deferred tax assets are reduced by a valuation allowance only when management believes it is more likely than not that some, or all, of the deferred tax assets will not be realized. The Company determined that no valuation allowance was necessary at December 31, 2022 or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80" w:firstLine="364"/>
        <w:spacing w:after="0" w:line="268" w:lineRule="auto"/>
        <w:rPr>
          <w:sz w:val="20"/>
          <w:szCs w:val="20"/>
          <w:color w:val="auto"/>
        </w:rPr>
      </w:pPr>
      <w:r>
        <w:rPr>
          <w:rFonts w:ascii="Arial" w:cs="Arial" w:eastAsia="Arial" w:hAnsi="Arial"/>
          <w:sz w:val="17"/>
          <w:szCs w:val="17"/>
          <w:color w:val="auto"/>
        </w:rPr>
        <w:t>Goodwill is tested annually for impairment in the fourth quarter of each calendar year, or more frequently if events or changes in circumstances indicate that the carrying amount of the Company’s reporting units, including goodwill, may exceed their fair values. The Company first assesses qualitative factors in determining whether it is necessary to perform the quantitative goodwill impairment test. If management determines that it is more likely than not that the fair value of a reporting unit is less than the carrying value based on qualitative factors then they will perform the quantitative goodwill impairment test. For the quantitative goodwill impairment testing, the fair value of the reporting units is determined using a combination of a market approach and an income approach which projects the future cash flows produced by the reporting units and discounts those cash flows to their present value. The projection of future cash flows is necessarily dependent upon assumptions on the future levels of income as well as business trends, prospects, market, and economic conditions. The results of the two approaches are weighted to determine the fair value of each reporting unit. When the fair value is less than the carrying value of the net assets of the reporting unit, including goodwill, an impairment loss is charged to operations. To determine the amount of any goodwill impairment, the implied fair value of reporting unit goodwill is compared to the carrying amount of that goodwill. The implied fair value of goodwill is determined in the same manner as the amount of goodwill recognized in a business combination is determined. That is, the fair value of a reporting unit is assigned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jc w:val="both"/>
        <w:ind w:right="160" w:firstLine="364"/>
        <w:spacing w:after="0" w:line="263" w:lineRule="auto"/>
        <w:rPr>
          <w:sz w:val="20"/>
          <w:szCs w:val="20"/>
          <w:color w:val="auto"/>
        </w:rPr>
      </w:pPr>
      <w:r>
        <w:rPr>
          <w:rFonts w:ascii="Arial" w:cs="Arial" w:eastAsia="Arial" w:hAnsi="Arial"/>
          <w:sz w:val="18"/>
          <w:szCs w:val="18"/>
          <w:color w:val="auto"/>
        </w:rPr>
        <w:t>Intangible assets are initially recognized and measured at fair value. Specifically identified intangible assets with indefinite lives include trademarks and state insurance licenses and authorities. Other specifically identified intangible assets with lives ranging from 7.0 to 27.5 years represent relationships with brokers. These intangible assets are amortized on a straight-line basis over their estimated useful lives.</w:t>
      </w:r>
    </w:p>
    <w:p>
      <w:pPr>
        <w:spacing w:after="0" w:line="76" w:lineRule="exact"/>
        <w:rPr>
          <w:sz w:val="20"/>
          <w:szCs w:val="20"/>
          <w:color w:val="auto"/>
        </w:rPr>
      </w:pPr>
    </w:p>
    <w:p>
      <w:pPr>
        <w:ind w:right="200" w:firstLine="364"/>
        <w:spacing w:after="0" w:line="279" w:lineRule="auto"/>
        <w:rPr>
          <w:sz w:val="20"/>
          <w:szCs w:val="20"/>
          <w:color w:val="auto"/>
        </w:rPr>
      </w:pPr>
      <w:r>
        <w:rPr>
          <w:rFonts w:ascii="Arial" w:cs="Arial" w:eastAsia="Arial" w:hAnsi="Arial"/>
          <w:sz w:val="17"/>
          <w:szCs w:val="17"/>
          <w:color w:val="auto"/>
        </w:rPr>
        <w:t>Intangible assets with indefinite useful lives are reviewed for impairment at least annually. In evaluating whether there has been impairment to the intangible asset, management determines the fair value of the intangible asset and compares the resulting fair value to the carrying value of the intangible asset. If the carrying value exceeds the fair value, the intangible asset is written down to fair value, and the impairment is reported through earnings. The Company evaluates intangible assets with definite lives for impairment when impairment indicators are noted.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00" w:firstLine="364"/>
        <w:spacing w:after="0" w:line="254" w:lineRule="auto"/>
        <w:rPr>
          <w:sz w:val="20"/>
          <w:szCs w:val="20"/>
          <w:color w:val="auto"/>
        </w:rPr>
      </w:pPr>
      <w:r>
        <w:rPr>
          <w:rFonts w:ascii="Arial" w:cs="Arial" w:eastAsia="Arial" w:hAnsi="Arial"/>
          <w:sz w:val="18"/>
          <w:szCs w:val="18"/>
          <w:color w:val="auto"/>
        </w:rPr>
        <w:t>Long-lived assets with finite lives are tested for impairment whenever recognized events or changes in circumstances indicate the carrying value of these assets may not be recoverable. If indicators of impairment are present, fair value is calculated using estimated future cash flows expected to be generated from the use of those assets.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That assessment is based on the carrying amount of the asset or asset group at the date it is tested for recoverability. An impairment loss is measured as the amount by which the carrying amount of a long-lived asset or asset group exceeds its fair value.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ind w:right="340" w:firstLine="364"/>
        <w:spacing w:after="0" w:line="263" w:lineRule="auto"/>
        <w:rPr>
          <w:sz w:val="20"/>
          <w:szCs w:val="20"/>
          <w:color w:val="auto"/>
        </w:rPr>
      </w:pPr>
      <w:r>
        <w:rPr>
          <w:rFonts w:ascii="Arial" w:cs="Arial" w:eastAsia="Arial" w:hAnsi="Arial"/>
          <w:sz w:val="18"/>
          <w:szCs w:val="18"/>
          <w:color w:val="auto"/>
        </w:rPr>
        <w:t>Property and equipment, which is included in “other assets” in the accompanying consolidated balance sheets, is reported at cost less accumulated depreciation and is depreciated principally on a straight-line basis over the estimated useful lives of the depreciable assets, generally three years to ten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121" w:lineRule="exact"/>
        <w:rPr>
          <w:sz w:val="20"/>
          <w:szCs w:val="20"/>
          <w:color w:val="auto"/>
        </w:rPr>
      </w:pPr>
    </w:p>
    <w:p>
      <w:pPr>
        <w:ind w:right="60" w:firstLine="364"/>
        <w:spacing w:after="0" w:line="301" w:lineRule="auto"/>
        <w:rPr>
          <w:sz w:val="20"/>
          <w:szCs w:val="20"/>
          <w:color w:val="auto"/>
        </w:rPr>
      </w:pPr>
      <w:r>
        <w:rPr>
          <w:rFonts w:ascii="Arial" w:cs="Arial" w:eastAsia="Arial" w:hAnsi="Arial"/>
          <w:sz w:val="16"/>
          <w:szCs w:val="16"/>
          <w:color w:val="auto"/>
        </w:rPr>
        <w:t>The reserve for losses and loss adjustment expenses represents the estimated ultimate cost of all reported and unreported losses and loss adjustment expenses incurred and unpaid at the balance sheet date. The Company does not discount this reserve. The process of estimating the reserve for losses and loss adjustment expenses requires a high degree of judgment and is subject to a number of variables. The reserve for losses and loss adjustment expenses is estimated using individual case-basis valuations and statistical analyses. Those estimates are subject to the effects of trends in loss severity and frequency.</w:t>
      </w:r>
    </w:p>
    <w:p>
      <w:pPr>
        <w:spacing w:after="0" w:line="49" w:lineRule="exact"/>
        <w:rPr>
          <w:sz w:val="20"/>
          <w:szCs w:val="20"/>
          <w:color w:val="auto"/>
        </w:rPr>
      </w:pPr>
    </w:p>
    <w:p>
      <w:pPr>
        <w:ind w:right="80" w:firstLine="364"/>
        <w:spacing w:after="0" w:line="286" w:lineRule="auto"/>
        <w:rPr>
          <w:sz w:val="20"/>
          <w:szCs w:val="20"/>
          <w:color w:val="auto"/>
        </w:rPr>
      </w:pPr>
      <w:r>
        <w:rPr>
          <w:rFonts w:ascii="Arial" w:cs="Arial" w:eastAsia="Arial" w:hAnsi="Arial"/>
          <w:sz w:val="16"/>
          <w:szCs w:val="16"/>
          <w:color w:val="auto"/>
        </w:rPr>
        <w:t>The Company utilizes various actuarially-accepted reserving methodologies in determining the continuum of expected outcomes for its reserves. These methodologies utilize various inputs, including management’s initial expected loss ratio (the ratio of losses and loss adjustment expenses incurred to net earned premiums), expected reporting patterns and payment patterns for losses and loss adjustment expenses (based on insurance industry data and the Company’s own experience), and the Company’s actual paid and reported losses and loss adjustment expenses. An internal actuary reviews these results and (after applying appropriate professional judgment and other actuarial techniques that are considered necessary) presents recommendations to the Company’s management. Management uses this information and its judgment to make decisions on the final recorded reserve for losses and loss adjustment expenses. Management believes that the use of judgment is necessary to arrive at a best estimate for the reserve for losses and loss adjustment expenses given the long-tailed nature of the business generally written by the Company and the limited operating experience of the Casualty Reinsurance segment, the fronting and program business in the Specialty Admitted Insurance segment, and the commercial auto business in the Excess and Surplus Lines segment. Judgment is also required to make actuarial adjustments, if needed, for changes in claims processing and case reserving that could cause current reported loss and paid loss development patterns to deviate from historical patterns. The Company believes that the insurance that it writes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w:t>
      </w:r>
    </w:p>
    <w:p>
      <w:pPr>
        <w:spacing w:after="0" w:line="63"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Catastrophes of significant magnitude, including hurricanes and earthquakes, involve complex coverage issues. In estimating the reserve for losses and loss adjustment expenses for these catastrophes, management uses case reserve estimates based on information obtained from site inspections by the Company’s adjustors and the terms of coverage provided in the policies. Management estimates reserves for incurred but not reported claims for these catastrophes using judgment based on an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assessment of the Company’s property insurance exposures where the catastrophes occur and the Company’s progress in settling claims.</w:t>
      </w:r>
    </w:p>
    <w:p>
      <w:pPr>
        <w:spacing w:after="0" w:line="117" w:lineRule="exact"/>
        <w:rPr>
          <w:sz w:val="20"/>
          <w:szCs w:val="20"/>
          <w:color w:val="auto"/>
        </w:rPr>
      </w:pPr>
    </w:p>
    <w:p>
      <w:pPr>
        <w:ind w:right="20" w:firstLine="364"/>
        <w:spacing w:after="0" w:line="254" w:lineRule="auto"/>
        <w:rPr>
          <w:sz w:val="20"/>
          <w:szCs w:val="20"/>
          <w:color w:val="auto"/>
        </w:rPr>
      </w:pPr>
      <w:r>
        <w:rPr>
          <w:rFonts w:ascii="Arial" w:cs="Arial" w:eastAsia="Arial" w:hAnsi="Arial"/>
          <w:sz w:val="18"/>
          <w:szCs w:val="18"/>
          <w:color w:val="auto"/>
        </w:rPr>
        <w:t>Although management believes that the reserve for losses and loss adjustment expenses is reasonable, it is possible that the Company’s actual incurred losses and loss adjustment expenses will not develop in a manner consistent with the assumptions inherent in the determination of these reserves. Specifically, the Company’s actual ultimate loss ratio could differ from management’s initial expected loss ratio and/or the Company’s actual reporting patterns for losses could differ from the expected reporting patterns. Accordingly, the ultimate settlement of losses and the related loss adjustment expenses may vary significantly from the estimates included in the Company’s consolidated financial statements. These estimates are reviewed continually by management and are adjusted as necessary as experience develops or new information becomes known; such adjustments are included in current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121" w:lineRule="exact"/>
        <w:rPr>
          <w:sz w:val="20"/>
          <w:szCs w:val="20"/>
          <w:color w:val="auto"/>
        </w:rPr>
      </w:pPr>
    </w:p>
    <w:p>
      <w:pPr>
        <w:ind w:right="80" w:firstLine="364"/>
        <w:spacing w:after="0" w:line="301" w:lineRule="auto"/>
        <w:rPr>
          <w:sz w:val="20"/>
          <w:szCs w:val="20"/>
          <w:color w:val="auto"/>
        </w:rPr>
      </w:pPr>
      <w:r>
        <w:rPr>
          <w:rFonts w:ascii="Arial" w:cs="Arial" w:eastAsia="Arial" w:hAnsi="Arial"/>
          <w:sz w:val="16"/>
          <w:szCs w:val="16"/>
          <w:color w:val="auto"/>
        </w:rPr>
        <w:t>The Company expenses the fair value of share equity awards over the vesting period of the award on a straight-line basis. The Black-Scholes-Merton option pricing model is used to value the options granted (see Note 13). Forfeitures of share-based awards are recognized as they occur. As the share based compensation expense is incurred, a corresponding increase to additional paid-in capital in shareholders’ equity is recognized. Share based compensation expense is reflected in “other operating expenses” in the accompanying consolidated statements of income (loss) and comprehensive (loss)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right="40" w:firstLine="364"/>
        <w:spacing w:after="0" w:line="254" w:lineRule="auto"/>
        <w:rPr>
          <w:sz w:val="20"/>
          <w:szCs w:val="20"/>
          <w:color w:val="auto"/>
        </w:rPr>
      </w:pPr>
      <w:r>
        <w:rPr>
          <w:rFonts w:ascii="Arial" w:cs="Arial" w:eastAsia="Arial" w:hAnsi="Arial"/>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4" w:lineRule="exact"/>
        <w:rPr>
          <w:sz w:val="20"/>
          <w:szCs w:val="20"/>
          <w:color w:val="auto"/>
        </w:rPr>
      </w:pPr>
    </w:p>
    <w:p>
      <w:pPr>
        <w:ind w:firstLine="364"/>
        <w:spacing w:after="0" w:line="275" w:lineRule="auto"/>
        <w:rPr>
          <w:sz w:val="20"/>
          <w:szCs w:val="20"/>
          <w:color w:val="auto"/>
        </w:rPr>
      </w:pPr>
      <w:r>
        <w:rPr>
          <w:rFonts w:ascii="Arial" w:cs="Arial" w:eastAsia="Arial" w:hAnsi="Arial"/>
          <w:sz w:val="17"/>
          <w:szCs w:val="17"/>
          <w:color w:val="auto"/>
        </w:rPr>
        <w:t>The Company holds interests in VIEs through certain equity method investments included in “other invested assets” in the accompanying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$9.2 million and $26.9 million as of December 31, 2022 and 2021, respectively, representing the Company’s maximum exposure to loss.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121" w:lineRule="exact"/>
        <w:rPr>
          <w:sz w:val="20"/>
          <w:szCs w:val="20"/>
          <w:color w:val="auto"/>
        </w:rPr>
      </w:pPr>
    </w:p>
    <w:p>
      <w:pPr>
        <w:ind w:right="180" w:firstLine="364"/>
        <w:spacing w:after="0" w:line="257" w:lineRule="auto"/>
        <w:rPr>
          <w:sz w:val="20"/>
          <w:szCs w:val="20"/>
          <w:color w:val="auto"/>
        </w:rPr>
      </w:pPr>
      <w:r>
        <w:rPr>
          <w:rFonts w:ascii="Arial" w:cs="Arial" w:eastAsia="Arial" w:hAnsi="Arial"/>
          <w:sz w:val="18"/>
          <w:szCs w:val="18"/>
          <w:color w:val="auto"/>
        </w:rPr>
        <w:t>Basic earnings (loss) per share excludes dilution and is computed by dividing net income (loss) by the weighted-average number of common shares outstanding for the period. Diluted earnings (loss) per share reflects the dilution that could occur if securities or other contracts to issue common shares were exercised or converted into common shares as calculated using the treasury stock method. When inclusion of potential common shares increases the earnings per share or reduces the loss per share, the effect on earnings is anti-dilutive, and the diluted net earnings or net loss per share is computed excluding these potential common shares.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200" w:firstLine="36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(loss) per common share computations contained in the consolidated financial statements.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6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82"/>
        </w:trPr>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80" w:type="dxa"/>
            <w:vAlign w:val="bottom"/>
            <w:gridSpan w:val="7"/>
          </w:tcPr>
          <w:p>
            <w:pPr>
              <w:jc w:val="center"/>
              <w:ind w:right="212"/>
              <w:spacing w:after="0"/>
              <w:rPr>
                <w:sz w:val="20"/>
                <w:szCs w:val="20"/>
                <w:color w:val="auto"/>
              </w:rPr>
            </w:pPr>
            <w:r>
              <w:rPr>
                <w:rFonts w:ascii="Arial" w:cs="Arial" w:eastAsia="Arial" w:hAnsi="Arial"/>
                <w:sz w:val="14"/>
                <w:szCs w:val="14"/>
                <w:b w:val="1"/>
                <w:bCs w:val="1"/>
                <w:i w:val="1"/>
                <w:iCs w:val="1"/>
                <w:color w:val="auto"/>
                <w:w w:val="87"/>
              </w:rPr>
              <w:t>(in thousands, except share and per share amounts)</w:t>
            </w:r>
          </w:p>
        </w:tc>
      </w:tr>
      <w:tr>
        <w:trPr>
          <w:trHeight w:val="20"/>
        </w:trPr>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Less: Dividends on Series A preferred shares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shareholders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37,442,856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34,956,957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30,552,210</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potential common shares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332,206</w:t>
            </w:r>
          </w:p>
        </w:tc>
      </w:tr>
      <w:tr>
        <w:trPr>
          <w:trHeight w:val="223"/>
        </w:trPr>
        <w:tc>
          <w:tcPr>
            <w:tcW w:w="68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37,650,969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34,956,957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30,884,416</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Dilutive potential common shares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00" w:firstLine="364"/>
        <w:spacing w:after="0" w:line="263" w:lineRule="auto"/>
        <w:rPr>
          <w:sz w:val="20"/>
          <w:szCs w:val="20"/>
          <w:color w:val="auto"/>
        </w:rPr>
      </w:pPr>
      <w:r>
        <w:rPr>
          <w:rFonts w:ascii="Arial" w:cs="Arial" w:eastAsia="Arial" w:hAnsi="Arial"/>
          <w:sz w:val="18"/>
          <w:szCs w:val="18"/>
          <w:color w:val="auto"/>
        </w:rPr>
        <w:t>For the years ended December 31, 2022 and 2021, potential common shares of 4,728,461 and 175,360, respectively, were excluded from the calculation of diluted earnings (loss) per common share as their effects were anti-dilutive. For the year ended December 31, 2020, all potential common shares were dilutive.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ind w:right="60" w:firstLine="364"/>
        <w:spacing w:after="0" w:line="269" w:lineRule="auto"/>
        <w:rPr>
          <w:sz w:val="20"/>
          <w:szCs w:val="20"/>
          <w:color w:val="auto"/>
        </w:rPr>
      </w:pPr>
      <w:r>
        <w:rPr>
          <w:rFonts w:ascii="Arial" w:cs="Arial" w:eastAsia="Arial" w:hAnsi="Arial"/>
          <w:sz w:val="17"/>
          <w:szCs w:val="17"/>
          <w:color w:val="auto"/>
        </w:rPr>
        <w:t xml:space="preserve">In August 2020, the FASB issued </w:t>
      </w:r>
      <w:r>
        <w:rPr>
          <w:rFonts w:ascii="Arial" w:cs="Arial" w:eastAsia="Arial" w:hAnsi="Arial"/>
          <w:sz w:val="17"/>
          <w:szCs w:val="17"/>
          <w:i w:val="1"/>
          <w:iCs w:val="1"/>
          <w:color w:val="auto"/>
        </w:rPr>
        <w:t>ASU 2020-06, 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the accounting for convertible debt instruments and convertible preferred stock and became effective for interim and annual periods beginning after December 15, 2021. The Company adopted the new standard concurrent with the issuance of our 7% Series A Perpetual Cumulative Convertible Preferred Shares, par value $0.00125 per share, on March 1, 2022. Under ASU 2020-06,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The new guidance also requires entities to use the if-converted method for all convertible instruments in the diluted earnings per share calculation and generally requires them to include the effect of potential share settlement for instruments that may be settled in cash or shares. Adoption of the new standard did not materially impact our financial position, results of operations, or earnings per share for the year ended December 31, 2022.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Accounting Standards</w:t>
      </w:r>
    </w:p>
    <w:p>
      <w:pPr>
        <w:spacing w:after="0" w:line="121"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There are no prospective accounting standards which are expected to have a material impact on our financial statements subsequent to December 31,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9"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330,852</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401,249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670,212</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309,015</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72,089</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1,969,783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1,783,417</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333,717</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246,631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732,335</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304,488</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60,390</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December 31, 2022 are summarized, by contractual maturity,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Cost or</w:t>
            </w:r>
          </w:p>
        </w:tc>
        <w:tc>
          <w:tcPr>
            <w:tcW w:w="440" w:type="dxa"/>
            <w:vAlign w:val="bottom"/>
          </w:tcPr>
          <w:p>
            <w:pPr>
              <w:spacing w:after="0"/>
              <w:rPr>
                <w:sz w:val="14"/>
                <w:szCs w:val="14"/>
                <w:color w:val="auto"/>
              </w:rPr>
            </w:pPr>
          </w:p>
        </w:tc>
        <w:tc>
          <w:tcPr>
            <w:tcW w:w="9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52,229</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493,890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468,007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320,871</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283,070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232,046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335,066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309,015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1,783,417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12 Months or More</w:t>
            </w:r>
          </w:p>
        </w:tc>
        <w:tc>
          <w:tcPr>
            <w:tcW w:w="2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4"/>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4"/>
              <w:spacing w:after="0" w:line="14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7"/>
        </w:trPr>
        <w:tc>
          <w:tcPr>
            <w:tcW w:w="4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(56,316)</w:t>
            </w:r>
          </w:p>
        </w:tc>
        <w:tc>
          <w:tcPr>
            <w:tcW w:w="0" w:type="dxa"/>
            <w:vAlign w:val="bottom"/>
          </w:tcPr>
          <w:p>
            <w:pPr>
              <w:spacing w:after="0"/>
              <w:rPr>
                <w:sz w:val="1"/>
                <w:szCs w:val="1"/>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98,594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324,464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(37,254)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(66,292)</w:t>
            </w: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114,955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299,940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(26,127)</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U.S. Treasury securities and obligations guaranteed</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by the U.S. government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1,112,489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(189,491)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U.S. Treasury securities and obligations guaranteed</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by the U.S. government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617,605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At December 31, 2022, the Company held fixed maturity securities of 560 issuers that were in an unrealized loss position with a total fair value of $1,588.2 million and gross unrealized losses of $189.5 million. None of the fixed maturity securities with unrealized losses has ever missed, or been delinquent on, a scheduled principal or interest payment. At December 31, 2022, 99.8%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December 31, 2022 had an aggregate fair value of $2.7 million and an aggregate net unrealized loss of $221,000.</w:t>
      </w:r>
    </w:p>
    <w:p>
      <w:pPr>
        <w:spacing w:after="0" w:line="70" w:lineRule="exact"/>
        <w:rPr>
          <w:sz w:val="20"/>
          <w:szCs w:val="20"/>
          <w:color w:val="auto"/>
        </w:rPr>
      </w:pPr>
    </w:p>
    <w:p>
      <w:pPr>
        <w:ind w:right="120" w:firstLine="364"/>
        <w:spacing w:after="0" w:line="255" w:lineRule="auto"/>
        <w:rPr>
          <w:sz w:val="20"/>
          <w:szCs w:val="20"/>
          <w:color w:val="auto"/>
        </w:rPr>
      </w:pPr>
      <w:r>
        <w:rPr>
          <w:rFonts w:ascii="Arial" w:cs="Arial" w:eastAsia="Arial" w:hAnsi="Arial"/>
          <w:sz w:val="18"/>
          <w:szCs w:val="18"/>
          <w:color w:val="auto"/>
        </w:rPr>
        <w:t xml:space="preserve">The Company adopted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continue to be recognized in other comprehensive income.</w:t>
      </w:r>
    </w:p>
    <w:p>
      <w:pPr>
        <w:spacing w:after="0" w:line="84" w:lineRule="exact"/>
        <w:rPr>
          <w:sz w:val="20"/>
          <w:szCs w:val="20"/>
          <w:color w:val="auto"/>
        </w:rPr>
      </w:pPr>
    </w:p>
    <w:p>
      <w:pPr>
        <w:ind w:right="120" w:firstLine="364"/>
        <w:spacing w:after="0" w:line="271" w:lineRule="auto"/>
        <w:rPr>
          <w:sz w:val="20"/>
          <w:szCs w:val="20"/>
          <w:color w:val="auto"/>
        </w:rPr>
      </w:pPr>
      <w:r>
        <w:rPr>
          <w:rFonts w:ascii="Arial" w:cs="Arial" w:eastAsia="Arial" w:hAnsi="Arial"/>
          <w:sz w:val="17"/>
          <w:szCs w:val="17"/>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expected cash flows equals or exceeds a security's amortized cost. As a result of this review, management concluded that there were no credit-related impairments of fixed maturities at December 31, 2022, 2021, or 2020. Management does not intend to sell the 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80" w:firstLine="364"/>
        <w:spacing w:after="0" w:line="272" w:lineRule="auto"/>
        <w:rPr>
          <w:sz w:val="20"/>
          <w:szCs w:val="20"/>
          <w:color w:val="auto"/>
        </w:rPr>
      </w:pPr>
      <w:r>
        <w:rPr>
          <w:rFonts w:ascii="Arial" w:cs="Arial" w:eastAsia="Arial" w:hAnsi="Arial"/>
          <w:sz w:val="17"/>
          <w:szCs w:val="17"/>
          <w:color w:val="auto"/>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69" w:lineRule="exact"/>
        <w:rPr>
          <w:sz w:val="20"/>
          <w:szCs w:val="20"/>
          <w:color w:val="auto"/>
        </w:rPr>
      </w:pPr>
    </w:p>
    <w:p>
      <w:pPr>
        <w:ind w:right="40" w:firstLine="364"/>
        <w:spacing w:after="0" w:line="287" w:lineRule="auto"/>
        <w:rPr>
          <w:sz w:val="20"/>
          <w:szCs w:val="20"/>
          <w:color w:val="auto"/>
        </w:rPr>
      </w:pPr>
      <w:r>
        <w:rPr>
          <w:rFonts w:ascii="Arial" w:cs="Arial" w:eastAsia="Arial" w:hAnsi="Arial"/>
          <w:sz w:val="16"/>
          <w:szCs w:val="16"/>
          <w:color w:val="auto"/>
        </w:rPr>
        <w:t xml:space="preserve">Applying the fair value option to the bank loan portfolio increases volatility in the Company's financial statements, but management believes it is less subjective and less burdensome to implement and maintain than ASU 2016-13, which would have otherwise been required. At December 31, 2022, the Company's bank loan portfolio had an aggregate unpaid principal balance of $175.7 million and an aggregate fair value of $155.0 million. Investment income on bank loan participations included in net investment income was $12.6 million, $10.6 million, $12.2 million during the years ended December 31, 2022, 2021, and 2020 respectively. Net realized and unrealized (losses) gains on investments includes losses of $15.9 million and gains of $6.7 million and $1.3 million related to changes in unrealized gains and losses on bank loan participations for the years ended December 31, 2022, 2021, and 2020, respectively. For the year ended December 31, 2022, management concluded that $1.5 million of the unrealized losses were due to credit-related impairments. Management concluded that none of the unrealized losses were due to credit-related impairments for the year ended December 31, 2021. For the year ended </w:t>
      </w:r>
      <w:r>
        <w:rPr>
          <w:rFonts w:ascii="Arial" w:cs="Arial" w:eastAsia="Arial" w:hAnsi="Arial"/>
          <w:sz w:val="16"/>
          <w:szCs w:val="16"/>
          <w:color w:val="231F20"/>
        </w:rPr>
        <w:t>December 31, 2020, management concluded that</w:t>
      </w:r>
      <w:r>
        <w:rPr>
          <w:rFonts w:ascii="Arial" w:cs="Arial" w:eastAsia="Arial" w:hAnsi="Arial"/>
          <w:sz w:val="16"/>
          <w:szCs w:val="16"/>
          <w:color w:val="auto"/>
        </w:rPr>
        <w:t xml:space="preserve"> $8.3 million of the unrealized losses were due to credit-related impairments.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64" w:lineRule="exact"/>
        <w:rPr>
          <w:sz w:val="20"/>
          <w:szCs w:val="20"/>
          <w:color w:val="auto"/>
        </w:rPr>
      </w:pPr>
    </w:p>
    <w:p>
      <w:pPr>
        <w:ind w:right="100" w:firstLine="364"/>
        <w:spacing w:after="0" w:line="273" w:lineRule="auto"/>
        <w:rPr>
          <w:sz w:val="20"/>
          <w:szCs w:val="20"/>
          <w:color w:val="auto"/>
        </w:rPr>
      </w:pPr>
      <w:r>
        <w:rPr>
          <w:rFonts w:ascii="Arial" w:cs="Arial" w:eastAsia="Arial" w:hAnsi="Arial"/>
          <w:sz w:val="17"/>
          <w:szCs w:val="17"/>
          <w:color w:val="auto"/>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0"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December 31, 2022 or 2021.</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5"/>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12,150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invested assets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9,181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6,619</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Gross investment income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77,820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73,368</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7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(17,286)</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23"/>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(15,414)</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fair values of short-term investments and 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7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(16,030)</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 in the Company’s available-for-sale fixed maturity gross unrealized net losses was $(220.1) million for the year ended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Company's available-for-sale fixed maturity gross unrealized net (losses) gains was $(59.1) million and $57.7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60" w:firstLine="36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Carrying Value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Investment Income</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6"/>
          </w:tcPr>
          <w:p>
            <w:pPr>
              <w:jc w:val="center"/>
              <w:ind w:left="733"/>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Pr>
          <w:p>
            <w:pPr>
              <w:spacing w:after="0"/>
              <w:rPr>
                <w:sz w:val="15"/>
                <w:szCs w:val="15"/>
                <w:color w:val="auto"/>
              </w:rPr>
            </w:pPr>
          </w:p>
        </w:tc>
      </w:tr>
      <w:tr>
        <w:trPr>
          <w:trHeight w:val="193"/>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3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center"/>
              <w:ind w:right="23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20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9,159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3"/>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20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r>
      <w:tr>
        <w:trPr>
          <w:trHeight w:val="223"/>
        </w:trPr>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5,630</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0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3"/>
        </w:trPr>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20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0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w:t>
            </w:r>
          </w:p>
        </w:tc>
      </w:tr>
      <w:tr>
        <w:trPr>
          <w:trHeight w:val="223"/>
        </w:trPr>
        <w:tc>
          <w:tcPr>
            <w:tcW w:w="4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hanging="332"/>
        <w:spacing w:after="0" w:line="288" w:lineRule="auto"/>
        <w:tabs>
          <w:tab w:leader="none" w:pos="3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Excess and Surplus Lines and Corporate and Other segments own equity interests ranging from 2.6% to 4.9% in various LLCs whose principal objective is capital appreciation and income generation from owning and operating renewable energy production facilities (wind and solar). The LLCs are managed by an entity for which two of our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During the fourth quarter of 2022, the underlying projects in two of our LLCs were sold at the manager's discretion. We received $20.2 million, comprised of $17.2 million in the Excess and Surplus Lines segment and $3.0 million in the Corporate and Other segment, and could receive additional contingent payments in the future according to terms of the transaction. The Company received cash distributions from all renewable energy investments totaling $21.6 million and $1.8 million for the years ended December 31, 2022 and 2021, respectively.</w:t>
      </w:r>
    </w:p>
    <w:p>
      <w:pPr>
        <w:spacing w:after="0" w:line="60" w:lineRule="exact"/>
        <w:rPr>
          <w:rFonts w:ascii="Arial" w:cs="Arial" w:eastAsia="Arial" w:hAnsi="Arial"/>
          <w:sz w:val="16"/>
          <w:szCs w:val="16"/>
          <w:color w:val="auto"/>
        </w:rPr>
      </w:pPr>
    </w:p>
    <w:p>
      <w:pPr>
        <w:ind w:left="340" w:hanging="332"/>
        <w:spacing w:after="0" w:line="273" w:lineRule="auto"/>
        <w:tabs>
          <w:tab w:leader="none" w:pos="402"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Company's Excess and Surplus Lines and Corporate and Other segments have invested in notes receivable for renewable energy projects. </w:t>
      </w:r>
      <w:r>
        <w:rPr>
          <w:rFonts w:ascii="Arial" w:cs="Arial" w:eastAsia="Arial" w:hAnsi="Arial"/>
          <w:sz w:val="17"/>
          <w:szCs w:val="17"/>
          <w:color w:val="231F20"/>
        </w:rPr>
        <w:t>At</w:t>
      </w:r>
      <w:r>
        <w:rPr>
          <w:rFonts w:ascii="Arial" w:cs="Arial" w:eastAsia="Arial" w:hAnsi="Arial"/>
          <w:sz w:val="17"/>
          <w:szCs w:val="17"/>
          <w:color w:val="auto"/>
        </w:rPr>
        <w:t xml:space="preserve"> December 31, 2022, </w:t>
      </w:r>
      <w:r>
        <w:rPr>
          <w:rFonts w:ascii="Arial" w:cs="Arial" w:eastAsia="Arial" w:hAnsi="Arial"/>
          <w:sz w:val="17"/>
          <w:szCs w:val="17"/>
          <w:color w:val="231F20"/>
        </w:rPr>
        <w:t>the Company held two notes issued by an</w:t>
      </w:r>
      <w:r>
        <w:rPr>
          <w:rFonts w:ascii="Arial" w:cs="Arial" w:eastAsia="Arial" w:hAnsi="Arial"/>
          <w:sz w:val="17"/>
          <w:szCs w:val="17"/>
          <w:color w:val="auto"/>
        </w:rPr>
        <w:t xml:space="preserve"> entity for which two of our former directors serve as officers</w:t>
      </w:r>
      <w:r>
        <w:rPr>
          <w:rFonts w:ascii="Arial" w:cs="Arial" w:eastAsia="Arial" w:hAnsi="Arial"/>
          <w:sz w:val="17"/>
          <w:szCs w:val="17"/>
          <w:color w:val="231F20"/>
        </w:rPr>
        <w:t>. Interest on the notes,</w:t>
      </w:r>
      <w:r>
        <w:rPr>
          <w:rFonts w:ascii="Arial" w:cs="Arial" w:eastAsia="Arial" w:hAnsi="Arial"/>
          <w:sz w:val="17"/>
          <w:szCs w:val="17"/>
          <w:color w:val="auto"/>
        </w:rPr>
        <w:t xml:space="preserve"> </w:t>
      </w:r>
      <w:r>
        <w:rPr>
          <w:rFonts w:ascii="Arial" w:cs="Arial" w:eastAsia="Arial" w:hAnsi="Arial"/>
          <w:sz w:val="17"/>
          <w:szCs w:val="17"/>
          <w:color w:val="231F20"/>
        </w:rPr>
        <w:t xml:space="preserve">which mature in 2025, is fixed at </w:t>
      </w:r>
      <w:r>
        <w:rPr>
          <w:rFonts w:ascii="Arial" w:cs="Arial" w:eastAsia="Arial" w:hAnsi="Arial"/>
          <w:sz w:val="17"/>
          <w:szCs w:val="17"/>
          <w:color w:val="000000"/>
        </w:rPr>
        <w:t>12%.</w:t>
      </w:r>
      <w:r>
        <w:rPr>
          <w:rFonts w:ascii="Arial" w:cs="Arial" w:eastAsia="Arial" w:hAnsi="Arial"/>
          <w:sz w:val="17"/>
          <w:szCs w:val="17"/>
          <w:color w:val="231F20"/>
        </w:rPr>
        <w:t xml:space="preserve"> During the year ended </w:t>
      </w:r>
      <w:r>
        <w:rPr>
          <w:rFonts w:ascii="Arial" w:cs="Arial" w:eastAsia="Arial" w:hAnsi="Arial"/>
          <w:sz w:val="17"/>
          <w:szCs w:val="17"/>
          <w:color w:val="000000"/>
        </w:rPr>
        <w:t>December 31, 2022</w:t>
      </w:r>
      <w:r>
        <w:rPr>
          <w:rFonts w:ascii="Arial" w:cs="Arial" w:eastAsia="Arial" w:hAnsi="Arial"/>
          <w:sz w:val="17"/>
          <w:szCs w:val="17"/>
          <w:color w:val="231F20"/>
        </w:rPr>
        <w:t xml:space="preserve">, the Company received principal repayments of $1.1 million and $1.4 million on the notes receivable in the Company's Excess and Surplus Lines segment and Corporate and Other segment, respectively. During the year ended </w:t>
      </w:r>
      <w:r>
        <w:rPr>
          <w:rFonts w:ascii="Arial" w:cs="Arial" w:eastAsia="Arial" w:hAnsi="Arial"/>
          <w:sz w:val="17"/>
          <w:szCs w:val="17"/>
          <w:color w:val="000000"/>
        </w:rPr>
        <w:t>December 31, 2021</w:t>
      </w:r>
      <w:r>
        <w:rPr>
          <w:rFonts w:ascii="Arial" w:cs="Arial" w:eastAsia="Arial" w:hAnsi="Arial"/>
          <w:sz w:val="17"/>
          <w:szCs w:val="17"/>
          <w:color w:val="231F20"/>
        </w:rPr>
        <w:t>, the Company received principal repayments of $1.7 million and $2.1 million on the notes receivable in the Company's Excess and Surplus Lines segment and Corporate and Other segment, respectively.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left="340" w:right="100" w:hanging="332"/>
        <w:spacing w:after="0" w:line="296" w:lineRule="auto"/>
        <w:tabs>
          <w:tab w:leader="none" w:pos="39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Income from the partnerships is recognized under the equity method of accounting. During the year ended December 31, 2022, the Company recognized an impairment loss of $538,000 on one limited partnership in the Corporate &amp; Other segment. At December 31, 2022, the Company’s Excess and Surplus Lines segment has outstanding commitments to invest another $5.3 million in these limited partnerships.</w:t>
      </w:r>
    </w:p>
    <w:p>
      <w:pPr>
        <w:spacing w:after="0" w:line="53" w:lineRule="exact"/>
        <w:rPr>
          <w:rFonts w:ascii="Arial" w:cs="Arial" w:eastAsia="Arial" w:hAnsi="Arial"/>
          <w:sz w:val="16"/>
          <w:szCs w:val="16"/>
          <w:color w:val="auto"/>
        </w:rPr>
      </w:pPr>
    </w:p>
    <w:p>
      <w:pPr>
        <w:ind w:left="340" w:right="140" w:hanging="332"/>
        <w:spacing w:after="0" w:line="286" w:lineRule="auto"/>
        <w:tabs>
          <w:tab w:leader="none" w:pos="40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Company's Excess and Surplus Lines segment holds $4.5 million of subordinated notes issued by a bank holding company for which the Company’s Non-Executive Chairman was previously the Lead Independent Director and an investor and for which one of the Company’s directors is also an investor (the "Bank Holding Company"). Interest on the notes, which mature in 2023, is fixed at 7.6% per annum.</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maintains fixed maturity securities, short-term investments, accrued investment income, and cash and cash equivalents amounting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$515.7 million at December 31, 2022 in trust accounts or on deposit as collateral for outstanding letters of credit issued as security to third-party reinsureds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reinsurance assumed by JRG Re.</w:t>
      </w:r>
    </w:p>
    <w:p>
      <w:pPr>
        <w:spacing w:after="0" w:line="103" w:lineRule="exact"/>
        <w:rPr>
          <w:sz w:val="20"/>
          <w:szCs w:val="20"/>
          <w:color w:val="auto"/>
        </w:rPr>
      </w:pPr>
    </w:p>
    <w:p>
      <w:pPr>
        <w:ind w:right="220" w:firstLine="364"/>
        <w:spacing w:after="0" w:line="277" w:lineRule="auto"/>
        <w:rPr>
          <w:sz w:val="20"/>
          <w:szCs w:val="20"/>
          <w:color w:val="auto"/>
        </w:rPr>
      </w:pPr>
      <w:r>
        <w:rPr>
          <w:rFonts w:ascii="Arial" w:cs="Arial" w:eastAsia="Arial" w:hAnsi="Arial"/>
          <w:sz w:val="18"/>
          <w:szCs w:val="18"/>
          <w:color w:val="auto"/>
        </w:rPr>
        <w:t>At December 31, 2022 and 2021, cash and investments with a fair value of $61.0 million and $54.9 million, respectively, were on deposit with state insurance departments to satisfy regulatory requirements.</w:t>
      </w:r>
    </w:p>
    <w:p>
      <w:pPr>
        <w:spacing w:after="0" w:line="58"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An analysis of deferred policy acquisition costs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14"/>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Policy acquisition costs deferred: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Commissions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51,306</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Underwriting and other issue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25,219</w:t>
            </w:r>
          </w:p>
        </w:tc>
      </w:tr>
      <w:tr>
        <w:trPr>
          <w:trHeight w:val="223"/>
        </w:trPr>
        <w:tc>
          <w:tcPr>
            <w:tcW w:w="7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62,953</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right="200" w:firstLine="364"/>
        <w:spacing w:after="0" w:line="263"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w:t>
      </w:r>
    </w:p>
    <w:p>
      <w:pPr>
        <w:spacing w:after="0" w:line="76" w:lineRule="exact"/>
        <w:rPr>
          <w:sz w:val="20"/>
          <w:szCs w:val="20"/>
          <w:color w:val="auto"/>
        </w:rPr>
      </w:pPr>
    </w:p>
    <w:p>
      <w:pPr>
        <w:ind w:right="20" w:firstLine="364"/>
        <w:spacing w:after="0" w:line="259" w:lineRule="auto"/>
        <w:rPr>
          <w:sz w:val="20"/>
          <w:szCs w:val="20"/>
          <w:color w:val="auto"/>
        </w:rPr>
      </w:pPr>
      <w:r>
        <w:rPr>
          <w:rFonts w:ascii="Arial" w:cs="Arial" w:eastAsia="Arial" w:hAnsi="Arial"/>
          <w:sz w:val="18"/>
          <w:szCs w:val="18"/>
          <w:color w:val="auto"/>
        </w:rPr>
        <w:t>All of the Company’s goodwill is an asset of the Excess and Surplus Lines segment. The Company’s annual testing performed in the fourth quarter of 2022, 2021 and 2020 indicated that no impairment of goodwill had occurred. The carrying amount of goodwill at December 31, 2022 and 2021 was $181.8 million. Accumulated goodwill impairment losses were $99.6 million at December 31, 2022 and 2021. The most recent goodwill impairment losses occurred in 2010.</w:t>
      </w:r>
    </w:p>
    <w:p>
      <w:pPr>
        <w:spacing w:after="0" w:line="79" w:lineRule="exact"/>
        <w:rPr>
          <w:sz w:val="20"/>
          <w:szCs w:val="20"/>
          <w:color w:val="auto"/>
        </w:rPr>
      </w:pPr>
    </w:p>
    <w:p>
      <w:pPr>
        <w:ind w:right="460" w:firstLine="364"/>
        <w:spacing w:after="0" w:line="311" w:lineRule="auto"/>
        <w:rPr>
          <w:sz w:val="20"/>
          <w:szCs w:val="20"/>
          <w:color w:val="auto"/>
        </w:rPr>
      </w:pPr>
      <w:r>
        <w:rPr>
          <w:rFonts w:ascii="Arial" w:cs="Arial" w:eastAsia="Arial" w:hAnsi="Arial"/>
          <w:sz w:val="16"/>
          <w:szCs w:val="16"/>
          <w:color w:val="auto"/>
        </w:rPr>
        <w:t>Specifically identifiable intangible assets were acquired in the Merger. During the fourth quarters of 2022, 2021 and 2020, the indefinite-lived intangible assets for trademarks and insurance licenses and authorities were tested for impairment. Intangible assets for broker relationships that have specific lives and are subject to amortization were also reviewed for impairment. There were no impairments recognized in 2022, 2021, or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right"/>
              <w:ind w:right="67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960" w:type="dxa"/>
            <w:vAlign w:val="bottom"/>
          </w:tcPr>
          <w:p>
            <w:pPr>
              <w:spacing w:after="0"/>
              <w:rPr>
                <w:sz w:val="10"/>
                <w:szCs w:val="10"/>
                <w:color w:val="auto"/>
              </w:rPr>
            </w:pPr>
          </w:p>
        </w:tc>
        <w:tc>
          <w:tcPr>
            <w:tcW w:w="110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1300" w:type="dxa"/>
            <w:vAlign w:val="bottom"/>
            <w:gridSpan w:val="3"/>
          </w:tcPr>
          <w:p>
            <w:pPr>
              <w:jc w:val="center"/>
              <w:ind w:right="230"/>
              <w:spacing w:after="0" w:line="145"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0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6"/>
              </w:rPr>
              <w:t>Life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960" w:type="dxa"/>
            <w:vAlign w:val="bottom"/>
          </w:tcPr>
          <w:p>
            <w:pPr>
              <w:spacing w:after="0"/>
              <w:rPr>
                <w:sz w:val="17"/>
                <w:szCs w:val="17"/>
                <w:color w:val="auto"/>
              </w:rPr>
            </w:pPr>
          </w:p>
        </w:tc>
        <w:tc>
          <w:tcPr>
            <w:tcW w:w="130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2"/>
              </w:rPr>
              <w:t>(Years)</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4"/>
          </w:tcPr>
          <w:p>
            <w:pPr>
              <w:jc w:val="right"/>
              <w:ind w:right="657"/>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Indefinite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Insurance licenses and authorities</w:t>
            </w:r>
          </w:p>
        </w:tc>
        <w:tc>
          <w:tcPr>
            <w:tcW w:w="1300" w:type="dxa"/>
            <w:vAlign w:val="bottom"/>
            <w:gridSpan w:val="3"/>
          </w:tcPr>
          <w:p>
            <w:pPr>
              <w:jc w:val="center"/>
              <w:ind w:right="230"/>
              <w:spacing w:after="0"/>
              <w:rPr>
                <w:sz w:val="20"/>
                <w:szCs w:val="20"/>
                <w:color w:val="auto"/>
              </w:rPr>
            </w:pPr>
            <w:r>
              <w:rPr>
                <w:rFonts w:ascii="Arial" w:cs="Arial" w:eastAsia="Arial" w:hAnsi="Arial"/>
                <w:sz w:val="18"/>
                <w:szCs w:val="18"/>
                <w:color w:val="auto"/>
                <w:w w:val="95"/>
              </w:rPr>
              <w:t>Indefinite</w:t>
            </w:r>
          </w:p>
        </w:tc>
        <w:tc>
          <w:tcPr>
            <w:tcW w:w="100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intangibles not subject to amortization</w:t>
            </w: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31,164</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Broker relationships</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24.6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subject to amortization</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42,775</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800" w:type="dxa"/>
            <w:vAlign w:val="bottom"/>
            <w:gridSpan w:val="11"/>
          </w:tcPr>
          <w:p>
            <w:pPr>
              <w:ind w:left="380"/>
              <w:spacing w:after="0"/>
              <w:rPr>
                <w:sz w:val="20"/>
                <w:szCs w:val="20"/>
                <w:color w:val="auto"/>
              </w:rPr>
            </w:pPr>
            <w:r>
              <w:rPr>
                <w:rFonts w:ascii="Arial" w:cs="Arial" w:eastAsia="Arial" w:hAnsi="Arial"/>
                <w:sz w:val="18"/>
                <w:szCs w:val="18"/>
                <w:color w:val="auto"/>
                <w:w w:val="92"/>
              </w:rPr>
              <w:t>Future estimated amortization of specifically identifiable intangible assets as of December 31, 2022 is as follows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2026</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summarizes the changes in the net carrying values of intangible assets by segment for the year ended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Impairment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3"/>
          </w:tcPr>
          <w:p>
            <w:pPr>
              <w:ind w:left="8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Broker relationships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5"/>
              </w:rPr>
              <w:t>(363)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5"/>
              </w:rPr>
              <w:t>(363)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Insurance licenses and authorities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identifiable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5"/>
              </w:rPr>
              <w:t>(363)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35,676</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summarizes the changes in the net carrying values of intangible assets by segment for the year ended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Impairment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3"/>
          </w:tcPr>
          <w:p>
            <w:pPr>
              <w:ind w:left="8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Broker relationships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5"/>
              </w:rPr>
              <w:t>(363)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5"/>
              </w:rPr>
              <w:t>(363)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Insurance licenses and authorities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identifiable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5"/>
              </w:rPr>
              <w:t>(363)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Amortization of intangible assets was $366,000 for the Excess and Surplus Lines segment and $172,000 for the Specialty Admitted Insurance segment for the year ended December 31, 2020.</w:t>
      </w:r>
    </w:p>
    <w:p>
      <w:pPr>
        <w:spacing w:after="0" w:line="58"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Property and equipment, net of accumulated depreciation, is included in "other assets" on the consolidated balance sheets and consists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82"/>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Electronic data processing hardware and software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equipment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2,221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cost basis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(4,449)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entered into operating leases for office space in Bermuda, North Carolina, Virginia, Arizona, and Georgia. The present value of future lease payments for the Company’s leases with terms greater than 12 months are included on the consolidated balance sheets as lease liabilities and right-of-use lease assets. For leases with terms of 12 months or less, lease payments are recognized in other operating expenses on a straight-line basis over the lease term.</w:t>
      </w:r>
    </w:p>
    <w:p>
      <w:pPr>
        <w:spacing w:after="0" w:line="79" w:lineRule="exact"/>
        <w:rPr>
          <w:sz w:val="20"/>
          <w:szCs w:val="20"/>
          <w:color w:val="auto"/>
        </w:rPr>
      </w:pPr>
    </w:p>
    <w:p>
      <w:pPr>
        <w:jc w:val="both"/>
        <w:ind w:right="580" w:firstLine="324"/>
        <w:spacing w:after="0" w:line="311" w:lineRule="auto"/>
        <w:rPr>
          <w:sz w:val="20"/>
          <w:szCs w:val="20"/>
          <w:color w:val="auto"/>
        </w:rPr>
      </w:pPr>
      <w:r>
        <w:rPr>
          <w:rFonts w:ascii="Arial" w:cs="Arial" w:eastAsia="Arial" w:hAnsi="Arial"/>
          <w:sz w:val="16"/>
          <w:szCs w:val="16"/>
          <w:color w:val="auto"/>
        </w:rPr>
        <w:t>Total expected lease payments are based on the lease payments specified in the contract and the stated term, including any options to extend or terminate that the Company is reasonably certain to exercise. The Company elected the practical expedient to account for lease components and any associated non-lease components as a single lease component, and therefore allocates all of the expected lease payments to the lease component.</w:t>
      </w:r>
    </w:p>
    <w:p>
      <w:pPr>
        <w:spacing w:after="0" w:line="4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lease liability, which represents the Company’s obligation to make lease payments arising from the lease, is calculated based on the present value of expected lease payments over the remaining lease term, discounted using the Company’s collateralized incremental borrowing rate at the commencement date. The lease liability is then adjusted for any prepaid rent, lease incentives received or capitalized initial direct costs to determine the lease asset, which represents the Company's right to use the underlying asset for the lease term. Lease liabilities and right-of-use assets are included in other liabilities and other assets, respectively,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At December 31, 2022, lease liabilities and right-of-use assets associated with the Company's operating leases were $9.1 million and $8.2 million, respectively ($12.8 million and $11.7 million at December 31, 2021, respectively). The weighted-average discount rate and weighted average remaining lease term for operating leases was 4.1% and 3.1 years, respectively, as of December 31, 2022.</w:t>
      </w:r>
    </w:p>
    <w:p>
      <w:pPr>
        <w:spacing w:after="0" w:line="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table below summarizes maturities of the Company’s operating lease liabilities as of December 31, 2022, which reconciles to total lease liabilities included in other liabilities on the Company’s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96"/>
              </w:rPr>
              <w:t>(in thousands)</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3,935</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2,556</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9,613</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r>
      <w:tr>
        <w:trPr>
          <w:trHeight w:val="20"/>
        </w:trPr>
        <w:tc>
          <w:tcPr>
            <w:tcW w:w="9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Operating lease liabilities include $6.7 million associated with office space in a building that is owned by a partnership in which the Company has a minority interest.</w:t>
      </w:r>
    </w:p>
    <w:p>
      <w:pPr>
        <w:spacing w:after="0" w:line="62"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 xml:space="preserve">Operating lease costs were $5.0 million, $5.1 million, and $5.0 million for the years </w:t>
      </w:r>
      <w:r>
        <w:rPr>
          <w:rFonts w:ascii="Arial" w:cs="Arial" w:eastAsia="Arial" w:hAnsi="Arial"/>
          <w:sz w:val="17"/>
          <w:szCs w:val="17"/>
          <w:color w:val="231F20"/>
        </w:rPr>
        <w:t>ended</w:t>
      </w:r>
      <w:r>
        <w:rPr>
          <w:rFonts w:ascii="Arial" w:cs="Arial" w:eastAsia="Arial" w:hAnsi="Arial"/>
          <w:sz w:val="17"/>
          <w:szCs w:val="17"/>
          <w:color w:val="auto"/>
        </w:rPr>
        <w:t xml:space="preserve"> December 31, 2022</w:t>
      </w:r>
      <w:r>
        <w:rPr>
          <w:rFonts w:ascii="Arial" w:cs="Arial" w:eastAsia="Arial" w:hAnsi="Arial"/>
          <w:sz w:val="17"/>
          <w:szCs w:val="17"/>
          <w:color w:val="231F20"/>
        </w:rPr>
        <w:t>, 2021, and 2020, respectively.</w:t>
      </w:r>
      <w:r>
        <w:rPr>
          <w:rFonts w:ascii="Arial" w:cs="Arial" w:eastAsia="Arial" w:hAnsi="Arial"/>
          <w:sz w:val="17"/>
          <w:szCs w:val="17"/>
          <w:color w:val="auto"/>
        </w:rPr>
        <w:t xml:space="preserve"> </w:t>
      </w:r>
      <w:r>
        <w:rPr>
          <w:rFonts w:ascii="Arial" w:cs="Arial" w:eastAsia="Arial" w:hAnsi="Arial"/>
          <w:sz w:val="17"/>
          <w:szCs w:val="17"/>
          <w:color w:val="231F20"/>
        </w:rPr>
        <w:t xml:space="preserve">Operating </w:t>
      </w:r>
      <w:r>
        <w:rPr>
          <w:rFonts w:ascii="Arial" w:cs="Arial" w:eastAsia="Arial" w:hAnsi="Arial"/>
          <w:sz w:val="17"/>
          <w:szCs w:val="17"/>
          <w:color w:val="000000"/>
        </w:rPr>
        <w:t>lease costs are primarily comprised of rental expense for operating leases. Rental expense is recognized on a straight line basis over the lease</w:t>
      </w:r>
      <w:r>
        <w:rPr>
          <w:rFonts w:ascii="Arial" w:cs="Arial" w:eastAsia="Arial" w:hAnsi="Arial"/>
          <w:sz w:val="17"/>
          <w:szCs w:val="17"/>
          <w:color w:val="231F20"/>
        </w:rPr>
        <w:t xml:space="preserve"> </w:t>
      </w:r>
      <w:r>
        <w:rPr>
          <w:rFonts w:ascii="Arial" w:cs="Arial" w:eastAsia="Arial" w:hAnsi="Arial"/>
          <w:sz w:val="17"/>
          <w:szCs w:val="17"/>
          <w:color w:val="000000"/>
        </w:rPr>
        <w:t>term and includes amortization of the right-of-use lease asset and imputed interest on the lease liability. Operating lease costs are included in other operating expenses in the Company's consolidated statements of income (loss) and comprehensive (loss) income.</w:t>
      </w:r>
    </w:p>
    <w:p>
      <w:pPr>
        <w:spacing w:after="0" w:line="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ind w:firstLine="364"/>
        <w:spacing w:after="0" w:line="254" w:lineRule="auto"/>
        <w:rPr>
          <w:sz w:val="20"/>
          <w:szCs w:val="20"/>
          <w:color w:val="auto"/>
        </w:rPr>
      </w:pPr>
      <w:r>
        <w:rPr>
          <w:rFonts w:ascii="Arial" w:cs="Arial" w:eastAsia="Arial" w:hAnsi="Arial"/>
          <w:sz w:val="18"/>
          <w:szCs w:val="18"/>
          <w:color w:val="auto"/>
        </w:rPr>
        <w:t>In establishing the reserve for losses and loss adjustment expenses, the Company’s internal actuaries estimate an initial expected ultimate loss ratio for each of our lines of business by accident year (or for the Casualty Reinsurance segment, on a contract by contract basis). Input from the Company’s underwriting and claims departments, including premium pricing assumptions and historical experience, are considered by the Company’s internal actuaries in estimating the initial expected loss ratios. The Company’s internal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87" w:lineRule="exact"/>
        <w:rPr>
          <w:sz w:val="20"/>
          <w:szCs w:val="20"/>
          <w:color w:val="auto"/>
        </w:rPr>
      </w:pPr>
    </w:p>
    <w:p>
      <w:pPr>
        <w:ind w:right="60" w:firstLine="364"/>
        <w:spacing w:after="0" w:line="269" w:lineRule="auto"/>
        <w:rPr>
          <w:sz w:val="20"/>
          <w:szCs w:val="20"/>
          <w:color w:val="auto"/>
        </w:rPr>
      </w:pPr>
      <w:r>
        <w:rPr>
          <w:rFonts w:ascii="Arial" w:cs="Arial" w:eastAsia="Arial" w:hAnsi="Arial"/>
          <w:sz w:val="17"/>
          <w:szCs w:val="17"/>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segment, the internal actuaries perform a study on each of these parameters at least annually and make recommendations for the initial expected loss ratios, the incurred and paid loss development factors and the weighting of the five actuarial methods by accident year and line of business. Members of management’s Reserve Committee review and approve the parameter review actuarial recommendations, and absent any developments requiring an earlier review, these approved parameters are used in the reserve estimation process for the next four quarters at which time a new parameter study is performed. For the Specialty Admitted Insurance segment, expected loss ratios, loss development factors, and loss cost trends are reviewed and updated at least annually. For the Casualty Reinsurance segment, periodic assessments are made on a contract by contract basis. Method weights are generally less rigid for the Casualty Reinsurance segment given the heterogeneous nature of the various contracts, and the potential for significant changes in mix of business within individual treaties.</w:t>
      </w:r>
    </w:p>
    <w:p>
      <w:pPr>
        <w:spacing w:after="0" w:line="74" w:lineRule="exact"/>
        <w:rPr>
          <w:sz w:val="20"/>
          <w:szCs w:val="20"/>
          <w:color w:val="auto"/>
        </w:rPr>
      </w:pPr>
    </w:p>
    <w:p>
      <w:pPr>
        <w:ind w:right="60" w:firstLine="364"/>
        <w:spacing w:after="0" w:line="263" w:lineRule="auto"/>
        <w:rPr>
          <w:sz w:val="20"/>
          <w:szCs w:val="20"/>
          <w:color w:val="auto"/>
        </w:rPr>
      </w:pPr>
      <w:r>
        <w:rPr>
          <w:rFonts w:ascii="Arial" w:cs="Arial" w:eastAsia="Arial" w:hAnsi="Arial"/>
          <w:sz w:val="18"/>
          <w:szCs w:val="18"/>
          <w:color w:val="auto"/>
        </w:rPr>
        <w:t>Different reserving methods are appropriate in different situations, and the Company’s internal actuaries use their judgment and experience to determine the weighting of the methods to use for each accident year and each line of business and, for the Casualty Reinsurance segment, on a contract by contract basis. For example, the current accident year has very little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incurred and paid loss development data on which to base reserve projections. As a result, the Company relies heavily on the initial expected loss ratio in estimating reserves for the current accident year. The Company generally sets the initial expected loss ratio for the current accident year consistent with the internal actuaries’ pricing assumptions adjusted upward where warranted based on management's judgment in order to produce the best estimate. We believe that this is a reasonable and appropriate reserving assumption for the current accident year since our pricing assumptions are actuarially driven and since the Company expects to make an acceptable return on the new business written.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data is available for the oldest accident years, so more weight is given to this development data and less weight is given to the initial expected loss ratio.</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provides a reconciliation of the beginning and ending reserve balances for losses and loss adjustment expenses, net of reinsurance, to the gross amounts reported in the consolidated balance sheets. Reinsurance recoverables on unpaid losses and loss adjustment expenses are presented gross of an allowance for credit losses on reinsurance balances of $612,000, $631,000, and $335,000 at December 31, 2022, 2021, and 2020,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Reserve for losses and loss adjustment expenses net of reinsurance recoverables at beginning of</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1,399,214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1,377,461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386,341</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Arial" w:cs="Arial" w:eastAsia="Arial" w:hAnsi="Arial"/>
                <w:sz w:val="18"/>
                <w:szCs w:val="18"/>
                <w:color w:val="auto"/>
              </w:rPr>
              <w:t>Prior years - retroactive reinsurance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 - excluding retroactive reinsurance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92,204</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544,814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478,545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 Loss and loss adjustment expense payments net of reinsurance: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31,952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357,366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437,993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469,945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 Deferred reinsurance gain - retroactive reinsurance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Deduct: Loss reserves ceded in loss portfolio transfers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299,493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Add: Changes in reinsurance recoverable of Casualty Re LPT unrelated to net reserve activity</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w w:val="89"/>
              </w:rPr>
              <w:t>Reserve for losses and loss adjustment expenses net of reinsurance recoverables at end of period</w:t>
            </w: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1,248,270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1,399,214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1,386,061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Add: Reinsurance recoverables on unpaid losses and loss adjustment expenses at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1,520,725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1,349,259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806,019</w:t>
            </w:r>
          </w:p>
        </w:tc>
        <w:tc>
          <w:tcPr>
            <w:tcW w:w="0" w:type="dxa"/>
            <w:vAlign w:val="bottom"/>
          </w:tcPr>
          <w:p>
            <w:pPr>
              <w:spacing w:after="0"/>
              <w:rPr>
                <w:sz w:val="1"/>
                <w:szCs w:val="1"/>
                <w:color w:val="auto"/>
              </w:rPr>
            </w:pPr>
          </w:p>
        </w:tc>
      </w:tr>
      <w:tr>
        <w:trPr>
          <w:trHeight w:val="155"/>
        </w:trPr>
        <w:tc>
          <w:tcPr>
            <w:tcW w:w="7020" w:type="dxa"/>
            <w:vAlign w:val="bottom"/>
          </w:tcPr>
          <w:p>
            <w:pPr>
              <w:ind w:left="20"/>
              <w:spacing w:after="0" w:line="156" w:lineRule="exact"/>
              <w:rPr>
                <w:sz w:val="20"/>
                <w:szCs w:val="20"/>
                <w:color w:val="auto"/>
              </w:rPr>
            </w:pPr>
            <w:r>
              <w:rPr>
                <w:rFonts w:ascii="Arial" w:cs="Arial" w:eastAsia="Arial" w:hAnsi="Arial"/>
                <w:sz w:val="18"/>
                <w:szCs w:val="18"/>
                <w:color w:val="auto"/>
                <w:w w:val="92"/>
              </w:rPr>
              <w:t>Reserve for losses and loss adjustment expenses gross of reinsurance recoverables on unpaid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2,768,995</w:t>
            </w:r>
          </w:p>
        </w:tc>
        <w:tc>
          <w:tcPr>
            <w:tcW w:w="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2,748,473</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2,192,080</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losses and loss adjustment expenses at end of period</w:t>
            </w:r>
          </w:p>
        </w:tc>
        <w:tc>
          <w:tcPr>
            <w:tcW w:w="3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40" w:firstLine="364"/>
        <w:spacing w:after="0" w:line="291" w:lineRule="auto"/>
        <w:rPr>
          <w:sz w:val="20"/>
          <w:szCs w:val="20"/>
          <w:color w:val="auto"/>
        </w:rPr>
      </w:pPr>
      <w:r>
        <w:rPr>
          <w:rFonts w:ascii="Arial" w:cs="Arial" w:eastAsia="Arial" w:hAnsi="Arial"/>
          <w:sz w:val="16"/>
          <w:szCs w:val="16"/>
          <w:color w:val="auto"/>
        </w:rPr>
        <w:t>The foregoing reconciliation shows that $9.1 million of adverse development was experienced in 2022 on the reserve for losses and loss adjustment expenses held at December 31, 2021 (excluding adverse prior year development on the loss portfolio transfers subject to retroactive reinsurance accounting</w:t>
      </w:r>
    </w:p>
    <w:p>
      <w:pPr>
        <w:ind w:right="220" w:firstLine="8"/>
        <w:spacing w:after="0" w:line="295" w:lineRule="auto"/>
        <w:tabs>
          <w:tab w:leader="none" w:pos="1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Loss Portfolio Transfers</w:t>
      </w:r>
      <w:r>
        <w:rPr>
          <w:rFonts w:ascii="Arial" w:cs="Arial" w:eastAsia="Arial" w:hAnsi="Arial"/>
          <w:sz w:val="16"/>
          <w:szCs w:val="16"/>
          <w:color w:val="auto"/>
        </w:rPr>
        <w:t xml:space="preserve"> below). This adverse reserve development included $210,000 of favorable development in the Excess and Surplus Lines segment, $4.2 million of favorable development in the Specialty Admitted Insurance segment, and $13.4 million of adverse development in the Casualty Reinsurance segment, including $6.8 million of net adverse reserve development in the three months ended March 31, 2022 associated with the Casualty Re LPT. The Company also experienced $5.0 million of net catastrophe losses in the current accident year in 2022 related to Hurricane Ian.</w:t>
      </w:r>
    </w:p>
    <w:p>
      <w:pPr>
        <w:spacing w:after="0" w:line="53" w:lineRule="exact"/>
        <w:rPr>
          <w:sz w:val="20"/>
          <w:szCs w:val="20"/>
          <w:color w:val="auto"/>
        </w:rPr>
      </w:pPr>
    </w:p>
    <w:p>
      <w:pPr>
        <w:ind w:right="60" w:firstLine="364"/>
        <w:spacing w:after="0" w:line="259" w:lineRule="auto"/>
        <w:rPr>
          <w:sz w:val="20"/>
          <w:szCs w:val="20"/>
          <w:color w:val="auto"/>
        </w:rPr>
      </w:pPr>
      <w:r>
        <w:rPr>
          <w:rFonts w:ascii="Arial" w:cs="Arial" w:eastAsia="Arial" w:hAnsi="Arial"/>
          <w:sz w:val="18"/>
          <w:szCs w:val="18"/>
          <w:color w:val="auto"/>
        </w:rPr>
        <w:t>The foregoing reconciliation shows that $325.8 million of adverse development was experienced in 2021 on the reserve for losses and loss adjustment expenses held at December 31, 2020. This adverse reserve development included $190.7 million of adverse development in the Excess and Surplus Lines segment including $200.1 million of adverse development in the commercial auto line of business that was primarily related to the 2019 and prior accident years with Rasier LLC and its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affiliates </w:t>
      </w:r>
      <w:r>
        <w:rPr>
          <w:rFonts w:ascii="Arial" w:cs="Arial" w:eastAsia="Arial" w:hAnsi="Arial"/>
          <w:sz w:val="17"/>
          <w:szCs w:val="17"/>
          <w:color w:val="212529"/>
        </w:rPr>
        <w:t>(collectively, “Rasier”)</w:t>
      </w:r>
      <w:r>
        <w:rPr>
          <w:rFonts w:ascii="Arial" w:cs="Arial" w:eastAsia="Arial" w:hAnsi="Arial"/>
          <w:sz w:val="17"/>
          <w:szCs w:val="17"/>
          <w:color w:val="auto"/>
        </w:rPr>
        <w:t>. The adverse development for commercial auto was partially offset by $9.4 million of favorable development in other Excess and Surplus Lines underwriting divisions. Favorable reserve development in the Specialty Admitted Insurance segment was $2.5 million as losses on our workers’ compensation business written prior to 2020 continued to develop more favorably than we had anticipated. The Casualty Reinsurance segment experienced $137.6 million of adverse development on prior accident years. Actual reported and paid losses in the Casualty Reinsurance segment significantly exceeded expectations in 2021, particularly in the fourth quarter of 2021, causing us to refine some of the assumptions used to determine our best estimate of ultimate losses for this segment. Specifically, we responded to this highly elevated loss emergence by making significant adjustments to our assumed tail factors, other development factors, initial expected loss ratios, and weights given to various actuarial methods. In particular, we gave significantly more weight to incurred loss development methods and Bornhuetter – Ferguson incurred loss development methods than had been done previously. These actuarial refinements resulted in material deterioration in ultimate loss selections for underwriting years 2014 through 2018. The adverse development was concentrated in a few large treaties for general liability and professional liability lines of business. Of the $137.6 million of adverse development recognized in 2021, $113.4 million was concentrated in these treaties. The Company also experienced $5.0 million of net catastrophe losses in the current accident year in 2021 related to Hurricane Ida.</w:t>
      </w:r>
    </w:p>
    <w:p>
      <w:pPr>
        <w:spacing w:after="0" w:line="71" w:lineRule="exact"/>
        <w:rPr>
          <w:sz w:val="20"/>
          <w:szCs w:val="20"/>
          <w:color w:val="auto"/>
        </w:rPr>
      </w:pPr>
    </w:p>
    <w:p>
      <w:pPr>
        <w:ind w:right="40" w:firstLine="364"/>
        <w:spacing w:after="0" w:line="270" w:lineRule="auto"/>
        <w:rPr>
          <w:sz w:val="20"/>
          <w:szCs w:val="20"/>
          <w:color w:val="auto"/>
        </w:rPr>
      </w:pPr>
      <w:r>
        <w:rPr>
          <w:rFonts w:ascii="Arial" w:cs="Arial" w:eastAsia="Arial" w:hAnsi="Arial"/>
          <w:sz w:val="17"/>
          <w:szCs w:val="17"/>
          <w:color w:val="auto"/>
        </w:rPr>
        <w:t>The foregoing reconciliation shows that $92.2 million of adverse development was experienced in 2020 on the reserve for losses and loss adjustment expenses held at December 31, 2019. This adverse reserve development included $59.4 million of adverse development in the Excess and Surplus Lines segment including $91.4 million of adverse development in the commercial auto line of business that was primarily related to the 2018 and prior accident years with Rasier. The adverse development for commercial auto was partially offset by $32.0 million of favorable development in other Excess and Surplus Lines underwriting divisions that was primarily related to the 2018 and 2019 accident years. The Company also experienced $5.0 million of favorable development on prior accident years in the Specialty Admitted Insurance segment, as losses on our workers’ compensation business written prior to 2019 continued to develop more favorably than we had anticipated. The Casualty Reinsurance segment experienced $37.8 million of adverse development on prior accident years primarily in accident years 2014 through 2018. This adverse development was mainly in the general liability and commercial auto lines of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Transfers</w:t>
      </w:r>
    </w:p>
    <w:p>
      <w:pPr>
        <w:spacing w:after="0" w:line="117"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Loss portfolio transfers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when they no longer meet the Company's appetite or are no longer aligned with the Company's risk management guidelines.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Auto Loss Portfolio Transfer</w:t>
      </w:r>
    </w:p>
    <w:p>
      <w:pPr>
        <w:spacing w:after="0" w:line="117"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structured to be fully collateralized, is not subject to an aggregate limit, and is subject to certain exclusions. A pre-tax loss of $29.6 million was recognized as adverse loss and loss adjustment reserve development in the Excess and Surplus Lines segment for the third quarter of 2021 associated with the loss portfolio transfer.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 Loss Portfolio Transfer</w:t>
      </w:r>
    </w:p>
    <w:p>
      <w:pPr>
        <w:spacing w:after="0" w:line="117" w:lineRule="exact"/>
        <w:rPr>
          <w:sz w:val="20"/>
          <w:szCs w:val="20"/>
          <w:color w:val="auto"/>
        </w:rPr>
      </w:pPr>
    </w:p>
    <w:p>
      <w:pPr>
        <w:ind w:right="60" w:firstLine="364"/>
        <w:spacing w:after="0" w:line="271" w:lineRule="auto"/>
        <w:rPr>
          <w:sz w:val="20"/>
          <w:szCs w:val="20"/>
          <w:color w:val="auto"/>
        </w:rPr>
      </w:pPr>
      <w:r>
        <w:rPr>
          <w:rFonts w:ascii="Arial" w:cs="Arial" w:eastAsia="Arial" w:hAnsi="Arial"/>
          <w:sz w:val="17"/>
          <w:szCs w:val="17"/>
          <w:color w:val="auto"/>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Account balance on a quarterly basis. The total premium, initial Funds Withheld Account credit, and aggregate limit was adjusted for claims paid from October 1, 2021 to the Retrocession Closing Date. The Casualty Reinsurance segment incurred $6.8 million of net adverse reserve development in the three months ended March 31, 2022 associated with the Casualty Re LPT.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Retroactive Reinsurance Accounting</w:t>
      </w:r>
    </w:p>
    <w:p>
      <w:pPr>
        <w:spacing w:after="0" w:line="117" w:lineRule="exact"/>
        <w:rPr>
          <w:sz w:val="20"/>
          <w:szCs w:val="20"/>
          <w:color w:val="auto"/>
        </w:rPr>
      </w:pPr>
    </w:p>
    <w:p>
      <w:pPr>
        <w:ind w:right="200" w:firstLine="364"/>
        <w:spacing w:after="0" w:line="291" w:lineRule="auto"/>
        <w:rPr>
          <w:sz w:val="20"/>
          <w:szCs w:val="20"/>
          <w:color w:val="auto"/>
        </w:rPr>
      </w:pPr>
      <w:r>
        <w:rPr>
          <w:rFonts w:ascii="Arial" w:cs="Arial" w:eastAsia="Arial" w:hAnsi="Arial"/>
          <w:sz w:val="16"/>
          <w:szCs w:val="16"/>
          <w:color w:val="auto"/>
        </w:rPr>
        <w:t>The Company periodically reevaluates the remaining reserves subject to the Commercial Auto LPT and the Casualty Re LPT (the “Loss Portfolio Transfers”), and when recognized adverse prior year development on the subject business causes the cumulative amounts ceded under a loss portfolio transfer to exceed the consideration paid, the loss portfolio transfer moves into a gain position subject to retroactive reinsurance accounting under GAAP. Gains are deferred under retroactive reinsurance accounting and recognized in earnings in proportion to actual paid recoveries under the loss portfolio transfer using the recovery method. While the deferral of gains can introduce volatility in our results in the short-term, over the life of the contract, we would expect no economic impact to the Company as long as any additional losses are within the limit of the loss portfolio transfer and the counterparty performs under the contract. The impact of retroactive reinsurance accounting is not indicative of our current and ongoing operations.</w:t>
      </w:r>
    </w:p>
    <w:p>
      <w:pPr>
        <w:spacing w:after="0" w:line="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For the year ended December 31, 2022, due to adverse paid loss trends on the legacy Rasier business, the Company recognized adverse prior year development of $46.7 million on the reserves subject to the Commercial Auto LPT, resulting in a corresponding additional amount ceded under the Commercial Auto LPT. As a result, the cumulative amounts ceded under the Commercial Auto LPT exceed the consideration paid, moving the Commercial Auto LPT into a gain position. Similarly, due to adverse paid and reported loss trends on the business subject to the Casualty Re LPT, the Company ceded an additional $6.1 million of losses recoverable under the Casualty Re LPT for the year ended December 31, 2022, moving the Casualty Re LPT also into a gain position and, accordingly, the Company has applied retroactive reinsurance accounting to both loss portfolio transfers. Retroactive reinsurance benefits totaling $32.7 million ($31.0 million for the Commercial Auto LPT and $1.7 million for the Casualty Re LPT) were recorded in losses and loss adjustment expenses on the Consolidated Statements of Income (Loss) and Comprehensive (Loss) Income for the year ended December 31, 2022 using the recovery method. As of December 31, 2022, the cumulative amounts ceded under the Loss Portfolio Transfers was $732.9 million ($391.8 million under the Commercial Auto LPT and $341.1 million under the Casualty Re LPT). At December 31, 2021, $345.1 million was ceded under the Commercial Auto LPT. The total unrecognized deferred retroactive reinsurance gain of $20.1 million ($15.7 million related to the Commercial Auto LPT and $4.4 million related to the Casualty Re LPT) at December 31, 2022 under the Loss Portfolio Transfers is separately presented on the Company's Consolidated Balance Sheets. The Company has $58.9 million of aggregate limit remaining under the Casualty Re LPT at December 31, 2022.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following tables present incurred and paid losses and loss adjustment expenses, net of reinsurance as of December 31, 2022 for: (1) the Excess and Surplus Lines segment split between all excess and surplus lines business excluding commercial auto, and separately, commercial auto, (2) the Specialty Admitted Insurance segment split between individual risk workers’ compensation and fronting and programs, and (3) the Casualty Reinsurance segment. The information provided herein about incurred and paid accident year claims development for the years ended December 31, 2021 and prior is presented as “unaudited” supplementary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and Surplus Lines — Excluding Commercial Auto</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7"/>
                <w:szCs w:val="17"/>
                <w:color w:val="auto"/>
              </w:rPr>
            </w:pPr>
          </w:p>
        </w:tc>
        <w:tc>
          <w:tcPr>
            <w:tcW w:w="680" w:type="dxa"/>
            <w:vAlign w:val="bottom"/>
          </w:tcPr>
          <w:p>
            <w:pPr>
              <w:jc w:val="right"/>
              <w:ind w:right="20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96,729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96,064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85,433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81,009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82,830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83,855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82,732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82,517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83,594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84,376</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91,391</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126,443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113,417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104,847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102,434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103,688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110,466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114,398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116,085</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135,491</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132,136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124,265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128,674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134,272</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151,563</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214,653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194,759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189,671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188,061</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207,210</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304,435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286,343</w:t>
            </w:r>
          </w:p>
        </w:tc>
      </w:tr>
      <w:tr>
        <w:trPr>
          <w:trHeight w:val="216"/>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340,436</w:t>
            </w:r>
          </w:p>
        </w:tc>
      </w:tr>
      <w:tr>
        <w:trPr>
          <w:trHeight w:val="213"/>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1,735,228</w:t>
            </w:r>
          </w:p>
        </w:tc>
      </w:tr>
      <w:tr>
        <w:trPr>
          <w:trHeight w:val="21"/>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3,867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30,382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44,421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59,641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66,553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71,035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74,635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76,295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80,137</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85,433</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17,164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34,801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55,911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73,455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87,344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94,494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103,138</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116,059</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22,956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42,764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81,303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102,866</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105,538</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62,227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103,836</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73,106</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55,070</w:t>
            </w:r>
          </w:p>
        </w:tc>
      </w:tr>
      <w:tr>
        <w:trPr>
          <w:trHeight w:val="216"/>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12,713</w:t>
            </w:r>
          </w:p>
        </w:tc>
      </w:tr>
      <w:tr>
        <w:trPr>
          <w:trHeight w:val="213"/>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837,896</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7220" w:type="dxa"/>
            <w:vAlign w:val="bottom"/>
            <w:tcBorders>
              <w:bottom w:val="single" w:sz="8" w:color="CCEEFF"/>
            </w:tcBorders>
            <w:gridSpan w:val="20"/>
            <w:shd w:val="clear" w:color="auto" w:fill="CCEEFF"/>
          </w:tcPr>
          <w:p>
            <w:pPr>
              <w:ind w:left="20"/>
              <w:spacing w:after="0"/>
              <w:rPr>
                <w:sz w:val="20"/>
                <w:szCs w:val="20"/>
                <w:color w:val="auto"/>
              </w:rPr>
            </w:pPr>
            <w:r>
              <w:rPr>
                <w:rFonts w:ascii="Arial" w:cs="Arial" w:eastAsia="Arial" w:hAnsi="Arial"/>
                <w:sz w:val="16"/>
                <w:szCs w:val="16"/>
                <w:color w:val="auto"/>
                <w:w w:val="92"/>
              </w:rPr>
              <w:t>All outstanding losses and loss adjustment expenses prior to 2013, net of reinsurance (53 claims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10,383</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20" w:type="dxa"/>
            <w:vAlign w:val="bottom"/>
            <w:gridSpan w:val="14"/>
          </w:tcPr>
          <w:p>
            <w:pPr>
              <w:ind w:left="20"/>
              <w:spacing w:after="0"/>
              <w:rPr>
                <w:sz w:val="20"/>
                <w:szCs w:val="20"/>
                <w:color w:val="auto"/>
              </w:rPr>
            </w:pPr>
            <w:r>
              <w:rPr>
                <w:rFonts w:ascii="Arial" w:cs="Arial" w:eastAsia="Arial" w:hAnsi="Arial"/>
                <w:sz w:val="16"/>
                <w:szCs w:val="16"/>
                <w:color w:val="auto"/>
                <w:w w:val="97"/>
              </w:rPr>
              <w:t>Total outstanding losses and loss adjustment expenses, net of reinsurance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907,715</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and Surplus Lines — Commercial Auto</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72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1,351</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1,301</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17,233</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18,953</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20,222</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33,113</w:t>
            </w:r>
          </w:p>
        </w:tc>
        <w:tc>
          <w:tcPr>
            <w:tcW w:w="2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35,149</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36,636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37,839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38,046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37,915</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74,340</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109,286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164,046</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207,355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208,743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272,421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355,713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366,636</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371,637</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240,773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339,771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365,279</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12,324</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16,565</w:t>
            </w:r>
          </w:p>
        </w:tc>
      </w:tr>
      <w:tr>
        <w:trPr>
          <w:trHeight w:val="216"/>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26,126</w:t>
            </w:r>
          </w:p>
        </w:tc>
      </w:tr>
      <w:tr>
        <w:trPr>
          <w:trHeight w:val="213"/>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1,382,027</w:t>
            </w:r>
          </w:p>
        </w:tc>
      </w:tr>
      <w:tr>
        <w:trPr>
          <w:trHeight w:val="21"/>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24"/>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60</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20,070</w:t>
            </w: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34,819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35,983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37,462</w:t>
            </w: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158,819</w:t>
            </w: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41,467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192,961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309,860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344,235</w:t>
            </w: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329,009</w:t>
            </w: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192,982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285,725</w:t>
            </w: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3"/>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1,190,109</w:t>
            </w: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tcBorders>
              <w:bottom w:val="single" w:sz="8" w:color="CCEEFF"/>
            </w:tcBorders>
            <w:gridSpan w:val="17"/>
            <w:shd w:val="clear" w:color="auto" w:fill="CCEEFF"/>
          </w:tcPr>
          <w:p>
            <w:pPr>
              <w:ind w:left="20"/>
              <w:spacing w:after="0"/>
              <w:rPr>
                <w:sz w:val="20"/>
                <w:szCs w:val="20"/>
                <w:color w:val="auto"/>
              </w:rPr>
            </w:pPr>
            <w:r>
              <w:rPr>
                <w:rFonts w:ascii="Arial" w:cs="Arial" w:eastAsia="Arial" w:hAnsi="Arial"/>
                <w:sz w:val="16"/>
                <w:szCs w:val="16"/>
                <w:color w:val="auto"/>
                <w:w w:val="92"/>
              </w:rPr>
              <w:t>Total outstanding losses and loss adjustment expenses, net of reinsurance before Rasier LPT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191,918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8"/>
            <w:vMerge w:val="restart"/>
          </w:tcPr>
          <w:p>
            <w:pPr>
              <w:ind w:left="20"/>
              <w:spacing w:after="0"/>
              <w:rPr>
                <w:sz w:val="20"/>
                <w:szCs w:val="20"/>
                <w:color w:val="auto"/>
              </w:rPr>
            </w:pPr>
            <w:r>
              <w:rPr>
                <w:rFonts w:ascii="Arial" w:cs="Arial" w:eastAsia="Arial" w:hAnsi="Arial"/>
                <w:sz w:val="16"/>
                <w:szCs w:val="16"/>
                <w:color w:val="auto"/>
              </w:rPr>
              <w:t>Reinsurance recoverable for Rasier LPT</w:t>
            </w: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40" w:type="dxa"/>
            <w:vAlign w:val="bottom"/>
            <w:tcBorders>
              <w:bottom w:val="single" w:sz="8" w:color="CCEEFF"/>
            </w:tcBorders>
            <w:gridSpan w:val="8"/>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132,049</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w w:val="97"/>
              </w:rPr>
              <w:t>Total outstanding losses and loss adjustment expenses, net of reinsurance</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59,869</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Admitted — Individual Risk Workers’ Compensation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7"/>
                <w:szCs w:val="17"/>
                <w:color w:val="auto"/>
              </w:rPr>
            </w:pPr>
          </w:p>
        </w:tc>
        <w:tc>
          <w:tcPr>
            <w:tcW w:w="680" w:type="dxa"/>
            <w:vAlign w:val="bottom"/>
          </w:tcPr>
          <w:p>
            <w:pPr>
              <w:jc w:val="right"/>
              <w:ind w:right="20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12,525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13,668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12,786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10,598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10,573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10,438</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12,553</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20,938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18,376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16,409</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12,790</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15,487</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12,139</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20,631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18,129</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19,389</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14,713</w:t>
            </w:r>
          </w:p>
        </w:tc>
      </w:tr>
      <w:tr>
        <w:trPr>
          <w:trHeight w:val="216"/>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14,507</w:t>
            </w:r>
          </w:p>
        </w:tc>
      </w:tr>
      <w:tr>
        <w:trPr>
          <w:trHeight w:val="212"/>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146,554</w:t>
            </w:r>
          </w:p>
        </w:tc>
      </w:tr>
      <w:tr>
        <w:trPr>
          <w:trHeight w:val="21"/>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4,487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9,846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10,246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10,263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10,309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10,337</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12,306</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6,604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13,285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16,071</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12,483</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15,236</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11,765</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16,909</w:t>
            </w: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16,665</w:t>
            </w: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10,780</w:t>
            </w:r>
          </w:p>
        </w:tc>
      </w:tr>
      <w:tr>
        <w:trPr>
          <w:trHeight w:val="216"/>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5,943</w:t>
            </w:r>
          </w:p>
        </w:tc>
      </w:tr>
      <w:tr>
        <w:trPr>
          <w:trHeight w:val="213"/>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128,495</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7220" w:type="dxa"/>
            <w:vAlign w:val="bottom"/>
            <w:tcBorders>
              <w:bottom w:val="single" w:sz="8" w:color="CCEEFF"/>
            </w:tcBorders>
            <w:gridSpan w:val="20"/>
            <w:shd w:val="clear" w:color="auto" w:fill="CCEEFF"/>
          </w:tcPr>
          <w:p>
            <w:pPr>
              <w:ind w:left="20"/>
              <w:spacing w:after="0"/>
              <w:rPr>
                <w:sz w:val="20"/>
                <w:szCs w:val="20"/>
                <w:color w:val="auto"/>
              </w:rPr>
            </w:pPr>
            <w:r>
              <w:rPr>
                <w:rFonts w:ascii="Arial" w:cs="Arial" w:eastAsia="Arial" w:hAnsi="Arial"/>
                <w:sz w:val="16"/>
                <w:szCs w:val="16"/>
                <w:color w:val="auto"/>
                <w:w w:val="93"/>
              </w:rPr>
              <w:t>All outstanding losses and loss adjustment expenses prior to 2013, net of reinsurance (7 claims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220" w:type="dxa"/>
            <w:vAlign w:val="bottom"/>
            <w:gridSpan w:val="20"/>
          </w:tcPr>
          <w:p>
            <w:pPr>
              <w:ind w:left="20"/>
              <w:spacing w:after="0"/>
              <w:rPr>
                <w:sz w:val="20"/>
                <w:szCs w:val="20"/>
                <w:color w:val="auto"/>
              </w:rPr>
            </w:pPr>
            <w:r>
              <w:rPr>
                <w:rFonts w:ascii="Arial" w:cs="Arial" w:eastAsia="Arial" w:hAnsi="Arial"/>
                <w:sz w:val="16"/>
                <w:szCs w:val="16"/>
                <w:color w:val="auto"/>
                <w:w w:val="95"/>
              </w:rPr>
              <w:t>Outstanding losses and loss adjustment expenses assumed from involuntary workers’ compensation pools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5220" w:type="dxa"/>
            <w:vAlign w:val="bottom"/>
            <w:tcBorders>
              <w:bottom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w w:val="97"/>
              </w:rPr>
              <w:t>Total outstanding losses and loss adjustment expenses, net of reinsurance</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22,432</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Admitted — Fronting and Programs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200" w:type="dxa"/>
            <w:vAlign w:val="bottom"/>
          </w:tcPr>
          <w:p>
            <w:pPr>
              <w:spacing w:after="0"/>
              <w:rPr>
                <w:sz w:val="17"/>
                <w:szCs w:val="17"/>
                <w:color w:val="auto"/>
              </w:rPr>
            </w:pPr>
          </w:p>
        </w:tc>
        <w:tc>
          <w:tcPr>
            <w:tcW w:w="660" w:type="dxa"/>
            <w:vAlign w:val="bottom"/>
          </w:tcPr>
          <w:p>
            <w:pPr>
              <w:jc w:val="right"/>
              <w:ind w:right="20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8,279</w:t>
            </w: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14,304</w:t>
            </w: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24,893</w:t>
            </w: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19,268</w:t>
            </w: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19,991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18,956</w:t>
            </w: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31,555</w:t>
            </w: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44,857</w:t>
            </w:r>
          </w:p>
        </w:tc>
      </w:tr>
      <w:tr>
        <w:trPr>
          <w:trHeight w:val="216"/>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47,262</w:t>
            </w:r>
          </w:p>
        </w:tc>
      </w:tr>
      <w:tr>
        <w:trPr>
          <w:trHeight w:val="213"/>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212,487</w:t>
            </w:r>
          </w:p>
        </w:tc>
      </w:tr>
      <w:tr>
        <w:trPr>
          <w:trHeight w:val="21"/>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200" w:type="dxa"/>
            <w:vAlign w:val="bottom"/>
          </w:tcPr>
          <w:p>
            <w:pPr>
              <w:spacing w:after="0"/>
              <w:rPr>
                <w:sz w:val="17"/>
                <w:szCs w:val="17"/>
                <w:color w:val="auto"/>
              </w:rPr>
            </w:pPr>
          </w:p>
        </w:tc>
        <w:tc>
          <w:tcPr>
            <w:tcW w:w="660" w:type="dxa"/>
            <w:vAlign w:val="bottom"/>
          </w:tcPr>
          <w:p>
            <w:pPr>
              <w:jc w:val="right"/>
              <w:ind w:right="20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7"/>
                <w:szCs w:val="17"/>
                <w:color w:val="auto"/>
              </w:rPr>
            </w:pPr>
          </w:p>
        </w:tc>
        <w:tc>
          <w:tcPr>
            <w:tcW w:w="580" w:type="dxa"/>
            <w:vAlign w:val="bottom"/>
          </w:tcPr>
          <w:p>
            <w:pPr>
              <w:jc w:val="right"/>
              <w:ind w:right="20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660" w:type="dxa"/>
            <w:vAlign w:val="bottom"/>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52</w:t>
            </w:r>
          </w:p>
        </w:tc>
        <w:tc>
          <w:tcPr>
            <w:tcW w:w="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52</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1,687</w:t>
            </w: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2,728</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w:t>
            </w:r>
          </w:p>
        </w:tc>
      </w:tr>
      <w:tr>
        <w:trPr>
          <w:trHeight w:val="213"/>
        </w:trPr>
        <w:tc>
          <w:tcPr>
            <w:tcW w:w="1360" w:type="dxa"/>
            <w:vAlign w:val="bottom"/>
          </w:tcPr>
          <w:p>
            <w:pPr>
              <w:ind w:left="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2,058</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6,165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7,824</w:t>
            </w:r>
          </w:p>
        </w:tc>
      </w:tr>
      <w:tr>
        <w:trPr>
          <w:trHeight w:val="219"/>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5,123</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w:t>
            </w:r>
          </w:p>
        </w:tc>
      </w:tr>
      <w:tr>
        <w:trPr>
          <w:trHeight w:val="213"/>
        </w:trPr>
        <w:tc>
          <w:tcPr>
            <w:tcW w:w="1360" w:type="dxa"/>
            <w:vAlign w:val="bottom"/>
          </w:tcPr>
          <w:p>
            <w:pPr>
              <w:ind w:left="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1,223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20,655</w:t>
            </w:r>
          </w:p>
        </w:tc>
      </w:tr>
      <w:tr>
        <w:trPr>
          <w:trHeight w:val="219"/>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14,059</w:t>
            </w:r>
          </w:p>
        </w:tc>
      </w:tr>
      <w:tr>
        <w:trPr>
          <w:trHeight w:val="213"/>
        </w:trPr>
        <w:tc>
          <w:tcPr>
            <w:tcW w:w="136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13,007</w:t>
            </w:r>
          </w:p>
        </w:tc>
      </w:tr>
      <w:tr>
        <w:trPr>
          <w:trHeight w:val="219"/>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20,903</w:t>
            </w:r>
          </w:p>
        </w:tc>
      </w:tr>
      <w:tr>
        <w:trPr>
          <w:trHeight w:val="213"/>
        </w:trPr>
        <w:tc>
          <w:tcPr>
            <w:tcW w:w="136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18,106</w:t>
            </w:r>
          </w:p>
        </w:tc>
      </w:tr>
      <w:tr>
        <w:trPr>
          <w:trHeight w:val="216"/>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13,018</w:t>
            </w:r>
          </w:p>
        </w:tc>
      </w:tr>
      <w:tr>
        <w:trPr>
          <w:trHeight w:val="213"/>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122,705</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5"/>
        </w:trPr>
        <w:tc>
          <w:tcPr>
            <w:tcW w:w="4640" w:type="dxa"/>
            <w:vAlign w:val="bottom"/>
            <w:tcBorders>
              <w:bottom w:val="single" w:sz="8" w:color="CCEEFF"/>
            </w:tcBorders>
            <w:gridSpan w:val="11"/>
            <w:shd w:val="clear" w:color="auto" w:fill="CCEEFF"/>
          </w:tcPr>
          <w:p>
            <w:pPr>
              <w:ind w:left="20"/>
              <w:spacing w:after="0"/>
              <w:rPr>
                <w:sz w:val="20"/>
                <w:szCs w:val="20"/>
                <w:color w:val="auto"/>
              </w:rPr>
            </w:pPr>
            <w:r>
              <w:rPr>
                <w:rFonts w:ascii="Arial" w:cs="Arial" w:eastAsia="Arial" w:hAnsi="Arial"/>
                <w:sz w:val="16"/>
                <w:szCs w:val="16"/>
                <w:color w:val="auto"/>
                <w:w w:val="89"/>
              </w:rPr>
              <w:t>All outstanding losses and loss adjustment expenses, net of reinsurance</w:t>
            </w: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89,782</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1940" w:type="dxa"/>
            <w:vAlign w:val="bottom"/>
            <w:tcBorders>
              <w:top w:val="single" w:sz="8" w:color="CCEEFF"/>
            </w:tcBorders>
            <w:gridSpan w:val="5"/>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520" w:type="dxa"/>
            <w:vAlign w:val="bottom"/>
            <w:gridSpan w:val="14"/>
          </w:tcPr>
          <w:p>
            <w:pPr>
              <w:ind w:left="20"/>
              <w:spacing w:after="0"/>
              <w:rPr>
                <w:sz w:val="20"/>
                <w:szCs w:val="20"/>
                <w:color w:val="auto"/>
              </w:rPr>
            </w:pPr>
            <w:r>
              <w:rPr>
                <w:rFonts w:ascii="Arial" w:cs="Arial" w:eastAsia="Arial" w:hAnsi="Arial"/>
                <w:sz w:val="16"/>
                <w:szCs w:val="16"/>
                <w:color w:val="auto"/>
                <w:w w:val="92"/>
              </w:rPr>
              <w:t>Outstanding losses and loss adjustment expenses, assumed from involuntary pools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5"/>
        </w:trPr>
        <w:tc>
          <w:tcPr>
            <w:tcW w:w="532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9"/>
              </w:rPr>
              <w:t>Total outstanding losses and loss adjustment expenses, net of reinsurance</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90,749</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Casualty Reinsurance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133,230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96"/>
              </w:rPr>
              <w:t>130,361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131,352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134,446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96"/>
              </w:rPr>
              <w:t>137,801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96"/>
              </w:rPr>
              <w:t>143,124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146,760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149,682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153,622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154,225</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118,881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115,927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114,636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116,981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121,200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139,341</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6"/>
                <w:szCs w:val="16"/>
                <w:color w:val="auto"/>
              </w:rPr>
              <w:t>119,157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6"/>
                <w:szCs w:val="16"/>
                <w:color w:val="auto"/>
              </w:rPr>
              <w:t>108,870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108,699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109,117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120,185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133,790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135,112</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112,759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105,533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103,544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133,990</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134,628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128,472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176,828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179,757</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121,529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165,417</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85,549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100,895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101,462</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82,626</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82,610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85,582</w:t>
            </w:r>
          </w:p>
        </w:tc>
      </w:tr>
      <w:tr>
        <w:trPr>
          <w:trHeight w:val="216"/>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108,751</w:t>
            </w:r>
          </w:p>
        </w:tc>
      </w:tr>
      <w:tr>
        <w:trPr>
          <w:trHeight w:val="212"/>
        </w:trPr>
        <w:tc>
          <w:tcPr>
            <w:tcW w:w="12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1,286,263</w:t>
            </w:r>
          </w:p>
        </w:tc>
      </w:tr>
      <w:tr>
        <w:trPr>
          <w:trHeight w:val="21"/>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-316230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-316230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-591185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20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ind w:right="221"/>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r>
      <w:tr>
        <w:trPr>
          <w:trHeight w:val="213"/>
        </w:trPr>
        <w:tc>
          <w:tcPr>
            <w:tcW w:w="1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59,756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75,094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93,902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108,396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119,256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127,732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134,644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139,250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142,824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146,765</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131,196</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53,986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68,002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80,208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90,661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100,548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110,692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121,675</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117,831</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47,739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72,891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126,747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151,158</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118,445</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37,488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56,907</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26,690</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11,078</w:t>
            </w:r>
          </w:p>
        </w:tc>
      </w:tr>
      <w:tr>
        <w:trPr>
          <w:trHeight w:val="216"/>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r>
      <w:tr>
        <w:trPr>
          <w:trHeight w:val="213"/>
        </w:trPr>
        <w:tc>
          <w:tcPr>
            <w:tcW w:w="1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883,532</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5"/>
        </w:trPr>
        <w:tc>
          <w:tcPr>
            <w:tcW w:w="5540" w:type="dxa"/>
            <w:vAlign w:val="bottom"/>
            <w:tcBorders>
              <w:bottom w:val="single" w:sz="8" w:color="CCEEFF"/>
            </w:tcBorders>
            <w:gridSpan w:val="15"/>
            <w:shd w:val="clear" w:color="auto" w:fill="CCEEFF"/>
          </w:tcPr>
          <w:p>
            <w:pPr>
              <w:ind w:left="20"/>
              <w:spacing w:after="0"/>
              <w:rPr>
                <w:sz w:val="20"/>
                <w:szCs w:val="20"/>
                <w:color w:val="auto"/>
              </w:rPr>
            </w:pPr>
            <w:r>
              <w:rPr>
                <w:rFonts w:ascii="Arial" w:cs="Arial" w:eastAsia="Arial" w:hAnsi="Arial"/>
                <w:sz w:val="16"/>
                <w:szCs w:val="16"/>
                <w:color w:val="auto"/>
                <w:w w:val="90"/>
              </w:rPr>
              <w:t>All outstanding losses and loss adjustment expenses prior to 2013, net of reinsurance</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9,431</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460" w:type="dxa"/>
            <w:vAlign w:val="bottom"/>
            <w:gridSpan w:val="18"/>
          </w:tcPr>
          <w:p>
            <w:pPr>
              <w:ind w:left="20"/>
              <w:spacing w:after="0"/>
              <w:rPr>
                <w:sz w:val="20"/>
                <w:szCs w:val="20"/>
                <w:color w:val="auto"/>
              </w:rPr>
            </w:pPr>
            <w:r>
              <w:rPr>
                <w:rFonts w:ascii="Arial" w:cs="Arial" w:eastAsia="Arial" w:hAnsi="Arial"/>
                <w:sz w:val="16"/>
                <w:szCs w:val="16"/>
                <w:color w:val="auto"/>
                <w:w w:val="91"/>
              </w:rPr>
              <w:t>Total outstanding losses and loss adjustment expenses, net of reinsurance before Casualty Re LPT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412,162</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7"/>
        </w:trPr>
        <w:tc>
          <w:tcPr>
            <w:tcW w:w="324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w w:val="98"/>
              </w:rPr>
              <w:t>Reinsurance recoverable for Casualty Re LPT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244,657</w:t>
            </w:r>
          </w:p>
        </w:tc>
      </w:tr>
      <w:tr>
        <w:trPr>
          <w:trHeight w:val="213"/>
        </w:trPr>
        <w:tc>
          <w:tcPr>
            <w:tcW w:w="5240" w:type="dxa"/>
            <w:vAlign w:val="bottom"/>
            <w:gridSpan w:val="14"/>
          </w:tcPr>
          <w:p>
            <w:pPr>
              <w:ind w:left="20"/>
              <w:spacing w:after="0"/>
              <w:rPr>
                <w:sz w:val="20"/>
                <w:szCs w:val="20"/>
                <w:color w:val="auto"/>
              </w:rPr>
            </w:pPr>
            <w:r>
              <w:rPr>
                <w:rFonts w:ascii="Arial" w:cs="Arial" w:eastAsia="Arial" w:hAnsi="Arial"/>
                <w:sz w:val="16"/>
                <w:szCs w:val="16"/>
                <w:color w:val="auto"/>
                <w:w w:val="98"/>
              </w:rPr>
              <w:t>Total outstanding losses and loss adjustment expenses, net of reinsurance</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167,505</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The reconciliation of the net incurred and paid claims development tables to the reserve for losses and loss adjustment expenses in the consolidated balance sheet at December 31, 2022 is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E&amp;S – excluding commercial auto</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907,715</w:t>
            </w:r>
          </w:p>
        </w:tc>
      </w:tr>
      <w:tr>
        <w:trPr>
          <w:trHeight w:val="229"/>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E&amp;S – commercial auto</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59,869</w:t>
            </w: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Specialty Admitted – individual risk workers’ compensation</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22,432</w:t>
            </w:r>
          </w:p>
        </w:tc>
      </w:tr>
      <w:tr>
        <w:trPr>
          <w:trHeight w:val="229"/>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Specialty Admitted – fronting and programs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90,749</w:t>
            </w:r>
          </w:p>
        </w:tc>
      </w:tr>
      <w:tr>
        <w:trPr>
          <w:trHeight w:val="230"/>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Casualty Reinsurance</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167,505</w:t>
            </w:r>
          </w:p>
        </w:tc>
      </w:tr>
      <w:tr>
        <w:trPr>
          <w:trHeight w:val="223"/>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reserve for losses and loss adjustment expenses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1,248,270</w:t>
            </w:r>
          </w:p>
        </w:tc>
      </w:tr>
      <w:tr>
        <w:trPr>
          <w:trHeight w:val="229"/>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8"/>
              </w:rPr>
              <w:t>Reinsurance recoverables on unpaid losses (gross of $612,000 allowance for credit losses on reinsurance recoverables)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1,520,725</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reserve for losses and loss adjustment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2,768,995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40" w:firstLine="364"/>
        <w:spacing w:after="0" w:line="277" w:lineRule="auto"/>
        <w:rPr>
          <w:sz w:val="20"/>
          <w:szCs w:val="20"/>
          <w:color w:val="auto"/>
        </w:rPr>
      </w:pPr>
      <w:r>
        <w:rPr>
          <w:rFonts w:ascii="Arial" w:cs="Arial" w:eastAsia="Arial" w:hAnsi="Arial"/>
          <w:sz w:val="18"/>
          <w:szCs w:val="18"/>
          <w:color w:val="auto"/>
        </w:rPr>
        <w:t>The following is unaudited supplementary information about average annual percentage payouts of incurred claims by age, net of reinsurance, as of December 31, 2022.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1</w:t>
            </w: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2</w:t>
            </w: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3</w:t>
            </w: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4</w:t>
            </w: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5</w:t>
            </w: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6</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7</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8</w:t>
            </w:r>
          </w:p>
        </w:tc>
        <w:tc>
          <w:tcPr>
            <w:tcW w:w="8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9</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Year 10</w:t>
            </w:r>
          </w:p>
        </w:tc>
        <w:tc>
          <w:tcPr>
            <w:tcW w:w="0" w:type="dxa"/>
            <w:vAlign w:val="bottom"/>
          </w:tcPr>
          <w:p>
            <w:pPr>
              <w:spacing w:after="0"/>
              <w:rPr>
                <w:sz w:val="1"/>
                <w:szCs w:val="1"/>
                <w:color w:val="auto"/>
              </w:rPr>
            </w:pPr>
          </w:p>
        </w:tc>
      </w:tr>
      <w:tr>
        <w:trPr>
          <w:trHeight w:val="212"/>
        </w:trPr>
        <w:tc>
          <w:tcPr>
            <w:tcW w:w="2520" w:type="dxa"/>
            <w:vAlign w:val="bottom"/>
          </w:tcPr>
          <w:p>
            <w:pPr>
              <w:ind w:left="20"/>
              <w:spacing w:after="0"/>
              <w:rPr>
                <w:sz w:val="20"/>
                <w:szCs w:val="20"/>
                <w:color w:val="auto"/>
              </w:rPr>
            </w:pPr>
            <w:r>
              <w:rPr>
                <w:rFonts w:ascii="Arial" w:cs="Arial" w:eastAsia="Arial" w:hAnsi="Arial"/>
                <w:sz w:val="16"/>
                <w:szCs w:val="16"/>
                <w:color w:val="auto"/>
              </w:rPr>
              <w:t>E&amp;S – excluding commercial auto</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E&amp;S – commercial auto</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line="166" w:lineRule="exact"/>
              <w:rPr>
                <w:sz w:val="20"/>
                <w:szCs w:val="20"/>
                <w:color w:val="auto"/>
              </w:rPr>
            </w:pPr>
            <w:r>
              <w:rPr>
                <w:rFonts w:ascii="Arial" w:cs="Arial" w:eastAsia="Arial" w:hAnsi="Arial"/>
                <w:sz w:val="16"/>
                <w:szCs w:val="16"/>
                <w:color w:val="auto"/>
              </w:rPr>
              <w:t>Specialty Admitted – individual risk</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28.5 %</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15.1 %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9"/>
        </w:trPr>
        <w:tc>
          <w:tcPr>
            <w:tcW w:w="2520" w:type="dxa"/>
            <w:vAlign w:val="bottom"/>
          </w:tcPr>
          <w:p>
            <w:pPr>
              <w:ind w:left="180"/>
              <w:spacing w:after="0"/>
              <w:rPr>
                <w:sz w:val="20"/>
                <w:szCs w:val="20"/>
                <w:color w:val="auto"/>
              </w:rPr>
            </w:pPr>
            <w:r>
              <w:rPr>
                <w:rFonts w:ascii="Arial" w:cs="Arial" w:eastAsia="Arial" w:hAnsi="Arial"/>
                <w:sz w:val="16"/>
                <w:szCs w:val="16"/>
                <w:color w:val="auto"/>
              </w:rPr>
              <w:t>workers’ compensation</w:t>
            </w: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Specialty Admitted – fronting and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programs</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Casualty Reinsurance</w:t>
            </w:r>
          </w:p>
        </w:tc>
        <w:tc>
          <w:tcPr>
            <w:tcW w:w="760" w:type="dxa"/>
            <w:vAlign w:val="bottom"/>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firstLine="364"/>
        <w:spacing w:after="0" w:line="279" w:lineRule="auto"/>
        <w:rPr>
          <w:sz w:val="20"/>
          <w:szCs w:val="20"/>
          <w:color w:val="auto"/>
        </w:rPr>
      </w:pPr>
      <w:r>
        <w:rPr>
          <w:rFonts w:ascii="Arial" w:cs="Arial" w:eastAsia="Arial" w:hAnsi="Arial"/>
          <w:sz w:val="17"/>
          <w:szCs w:val="17"/>
          <w:color w:val="auto"/>
        </w:rPr>
        <w:t>In determining the cumulative number of reported claims, the Company measures claim counts by individual claimant for individual risk workers’ compensation policies in the Specialty Admitted Insurance segment. In the Excess and Surplus Lines insurance segment and for fronting and programs in the Specialty Admitted Insurance segment, the Company measures claim counts by claim event. The claim counts include all claims reported, even if the Company does not establish a liability for the claim (i.e. reserve for losses and loss adjustment expenses).</w:t>
      </w:r>
    </w:p>
    <w:p>
      <w:pPr>
        <w:spacing w:after="0" w:line="63" w:lineRule="exact"/>
        <w:rPr>
          <w:sz w:val="20"/>
          <w:szCs w:val="20"/>
          <w:color w:val="auto"/>
        </w:rPr>
      </w:pPr>
    </w:p>
    <w:p>
      <w:pPr>
        <w:ind w:right="60" w:firstLine="364"/>
        <w:spacing w:after="0" w:line="275" w:lineRule="auto"/>
        <w:rPr>
          <w:sz w:val="20"/>
          <w:szCs w:val="20"/>
          <w:color w:val="auto"/>
        </w:rPr>
      </w:pPr>
      <w:r>
        <w:rPr>
          <w:rFonts w:ascii="Arial" w:cs="Arial" w:eastAsia="Arial" w:hAnsi="Arial"/>
          <w:sz w:val="17"/>
          <w:szCs w:val="17"/>
          <w:color w:val="auto"/>
        </w:rPr>
        <w:t>The Casualty Reinsurance segment typically assumes written premium under quota share arrangements. The Company typically does not have direct access to claim frequency information underlying its assumed quota share arrangements given the nature of that business. In addition, multiple claims are often aggregated by the ceding company before being reported to the Company. We do not use claim frequency information in the Casualty Reinsurance segment in the determination of loss reserves or for other internal purposes. Based on these considerations, the Company does not believe providing claims frequency information is practicable as it relates to the Casualty Reinsurance segment.</w:t>
      </w:r>
    </w:p>
    <w:p>
      <w:pPr>
        <w:spacing w:after="0" w:line="68"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The table below provides information on IBNR liabilities and claims frequency for: (1) the Excess and Surplus Lines segment split between commercial auto and all non commercial auto, and (2) the Specialty Admitted Insurance segment split between individual risk workers’ compensation and fronting and programs: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and Surplus Lines — Excluding Commercial Auto</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Incurred Losses</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44"/>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34"/>
              <w:spacing w:after="0" w:line="145" w:lineRule="exact"/>
              <w:rPr>
                <w:sz w:val="20"/>
                <w:szCs w:val="20"/>
                <w:color w:val="auto"/>
              </w:rPr>
            </w:pPr>
            <w:r>
              <w:rPr>
                <w:rFonts w:ascii="Arial" w:cs="Arial" w:eastAsia="Arial" w:hAnsi="Arial"/>
                <w:sz w:val="14"/>
                <w:szCs w:val="14"/>
                <w:b w:val="1"/>
                <w:bCs w:val="1"/>
                <w:color w:val="auto"/>
                <w:w w:val="93"/>
              </w:rPr>
              <w:t>and Loss Adj</w:t>
            </w:r>
          </w:p>
        </w:tc>
        <w:tc>
          <w:tcPr>
            <w:tcW w:w="200" w:type="dxa"/>
            <w:vAlign w:val="bottom"/>
          </w:tcPr>
          <w:p>
            <w:pPr>
              <w:spacing w:after="0"/>
              <w:rPr>
                <w:sz w:val="12"/>
                <w:szCs w:val="12"/>
                <w:color w:val="auto"/>
              </w:rPr>
            </w:pPr>
          </w:p>
        </w:tc>
        <w:tc>
          <w:tcPr>
            <w:tcW w:w="142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IBNR</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2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8"/>
              </w:rPr>
              <w:t>Expenses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173"/>
              <w:spacing w:after="0"/>
              <w:rPr>
                <w:sz w:val="20"/>
                <w:szCs w:val="20"/>
                <w:color w:val="auto"/>
              </w:rPr>
            </w:pPr>
            <w:r>
              <w:rPr>
                <w:rFonts w:ascii="Arial" w:cs="Arial" w:eastAsia="Arial" w:hAnsi="Arial"/>
                <w:sz w:val="14"/>
                <w:szCs w:val="14"/>
                <w:b w:val="1"/>
                <w:bCs w:val="1"/>
                <w:i w:val="1"/>
                <w:iCs w:val="1"/>
                <w:color w:val="auto"/>
                <w:w w:val="88"/>
              </w:rPr>
              <w:t>($ in thousands)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84,376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1,198</w:t>
            </w:r>
          </w:p>
        </w:tc>
        <w:tc>
          <w:tcPr>
            <w:tcW w:w="1420" w:type="dxa"/>
            <w:vAlign w:val="bottom"/>
          </w:tcPr>
          <w:p>
            <w:pPr>
              <w:jc w:val="right"/>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91,391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116,085</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2,250</w:t>
            </w:r>
          </w:p>
        </w:tc>
        <w:tc>
          <w:tcPr>
            <w:tcW w:w="1420" w:type="dxa"/>
            <w:vAlign w:val="bottom"/>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135,491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3,187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134,272</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5,842</w:t>
            </w:r>
          </w:p>
        </w:tc>
        <w:tc>
          <w:tcPr>
            <w:tcW w:w="1420" w:type="dxa"/>
            <w:vAlign w:val="bottom"/>
          </w:tcPr>
          <w:p>
            <w:pPr>
              <w:jc w:val="right"/>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151,563</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16,626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188,061</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34,591</w:t>
            </w:r>
          </w:p>
        </w:tc>
        <w:tc>
          <w:tcPr>
            <w:tcW w:w="1420" w:type="dxa"/>
            <w:vAlign w:val="bottom"/>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207,210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74,904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286,343</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180,621</w:t>
            </w:r>
          </w:p>
        </w:tc>
        <w:tc>
          <w:tcPr>
            <w:tcW w:w="1420" w:type="dxa"/>
            <w:vAlign w:val="bottom"/>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340,436</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301,739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41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Excess and Surplus Lines — Commercial Auto</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Incurred Losses</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IBNR before Rasier</w:t>
            </w:r>
          </w:p>
        </w:tc>
        <w:tc>
          <w:tcPr>
            <w:tcW w:w="200" w:type="dxa"/>
            <w:vAlign w:val="bottom"/>
          </w:tcPr>
          <w:p>
            <w:pPr>
              <w:spacing w:after="0"/>
              <w:rPr>
                <w:sz w:val="23"/>
                <w:szCs w:val="23"/>
                <w:color w:val="auto"/>
              </w:rPr>
            </w:pPr>
          </w:p>
        </w:tc>
        <w:tc>
          <w:tcPr>
            <w:tcW w:w="142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5"/>
              </w:rPr>
              <w:t>IBNR net of Rasier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Loss Adj</w:t>
            </w: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7"/>
                <w:szCs w:val="17"/>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rPr>
              <w:t>LPT</w:t>
            </w:r>
          </w:p>
        </w:tc>
        <w:tc>
          <w:tcPr>
            <w:tcW w:w="200" w:type="dxa"/>
            <w:vAlign w:val="bottom"/>
          </w:tcPr>
          <w:p>
            <w:pPr>
              <w:spacing w:after="0"/>
              <w:rPr>
                <w:sz w:val="17"/>
                <w:szCs w:val="17"/>
                <w:color w:val="auto"/>
              </w:rPr>
            </w:pPr>
          </w:p>
        </w:tc>
        <w:tc>
          <w:tcPr>
            <w:tcW w:w="1420" w:type="dxa"/>
            <w:vAlign w:val="bottom"/>
          </w:tcPr>
          <w:p>
            <w:pPr>
              <w:jc w:val="center"/>
              <w:ind w:right="133"/>
              <w:spacing w:after="0"/>
              <w:rPr>
                <w:sz w:val="20"/>
                <w:szCs w:val="20"/>
                <w:color w:val="auto"/>
              </w:rPr>
            </w:pPr>
            <w:r>
              <w:rPr>
                <w:rFonts w:ascii="Arial" w:cs="Arial" w:eastAsia="Arial" w:hAnsi="Arial"/>
                <w:sz w:val="14"/>
                <w:szCs w:val="14"/>
                <w:b w:val="1"/>
                <w:bCs w:val="1"/>
                <w:color w:val="auto"/>
              </w:rPr>
              <w:t>LPT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182"/>
        </w:trPr>
        <w:tc>
          <w:tcPr>
            <w:tcW w:w="5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i w:val="1"/>
                <w:iCs w:val="1"/>
                <w:color w:val="auto"/>
              </w:rPr>
              <w:t>($ in thousands)</w:t>
            </w: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22</w:t>
            </w:r>
          </w:p>
        </w:tc>
        <w:tc>
          <w:tcPr>
            <w:tcW w:w="1420" w:type="dxa"/>
            <w:vAlign w:val="bottom"/>
          </w:tcPr>
          <w:p>
            <w:pPr>
              <w:jc w:val="right"/>
              <w:spacing w:after="0"/>
              <w:rPr>
                <w:sz w:val="20"/>
                <w:szCs w:val="20"/>
                <w:color w:val="auto"/>
              </w:rPr>
            </w:pPr>
            <w:r>
              <w:rPr>
                <w:rFonts w:ascii="Arial" w:cs="Arial" w:eastAsia="Arial" w:hAnsi="Arial"/>
                <w:sz w:val="18"/>
                <w:szCs w:val="18"/>
                <w:color w:val="auto"/>
              </w:rPr>
              <w:t>41,771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366,636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3,189</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197</w:t>
            </w:r>
          </w:p>
        </w:tc>
        <w:tc>
          <w:tcPr>
            <w:tcW w:w="1420" w:type="dxa"/>
            <w:vAlign w:val="bottom"/>
          </w:tcPr>
          <w:p>
            <w:pPr>
              <w:jc w:val="right"/>
              <w:spacing w:after="0"/>
              <w:rPr>
                <w:sz w:val="20"/>
                <w:szCs w:val="20"/>
                <w:color w:val="auto"/>
              </w:rPr>
            </w:pPr>
            <w:r>
              <w:rPr>
                <w:rFonts w:ascii="Arial" w:cs="Arial" w:eastAsia="Arial" w:hAnsi="Arial"/>
                <w:sz w:val="18"/>
                <w:szCs w:val="18"/>
                <w:color w:val="auto"/>
              </w:rPr>
              <w:t>134,150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3,473</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97,339</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365,279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3,711</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421</w:t>
            </w:r>
          </w:p>
        </w:tc>
        <w:tc>
          <w:tcPr>
            <w:tcW w:w="1420" w:type="dxa"/>
            <w:vAlign w:val="bottom"/>
          </w:tcPr>
          <w:p>
            <w:pPr>
              <w:jc w:val="right"/>
              <w:spacing w:after="0"/>
              <w:rPr>
                <w:sz w:val="20"/>
                <w:szCs w:val="20"/>
                <w:color w:val="auto"/>
              </w:rPr>
            </w:pPr>
            <w:r>
              <w:rPr>
                <w:rFonts w:ascii="Arial" w:cs="Arial" w:eastAsia="Arial" w:hAnsi="Arial"/>
                <w:sz w:val="18"/>
                <w:szCs w:val="18"/>
                <w:color w:val="auto"/>
              </w:rPr>
              <w:t>71,444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7,434</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7,434</w:t>
            </w:r>
          </w:p>
        </w:tc>
        <w:tc>
          <w:tcPr>
            <w:tcW w:w="142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22,093</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22,093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405"/>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Specialty Admitted - Individual Risk Workers’ Compensation</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Incurred Losses</w:t>
            </w: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and Loss Adj</w:t>
            </w:r>
          </w:p>
        </w:tc>
        <w:tc>
          <w:tcPr>
            <w:tcW w:w="200" w:type="dxa"/>
            <w:vAlign w:val="bottom"/>
          </w:tcPr>
          <w:p>
            <w:pPr>
              <w:spacing w:after="0"/>
              <w:rPr>
                <w:sz w:val="12"/>
                <w:szCs w:val="12"/>
                <w:color w:val="auto"/>
              </w:rPr>
            </w:pPr>
          </w:p>
        </w:tc>
        <w:tc>
          <w:tcPr>
            <w:tcW w:w="142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IBNR</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8"/>
              </w:rPr>
              <w:t>Expenses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173"/>
              <w:spacing w:after="0"/>
              <w:rPr>
                <w:sz w:val="20"/>
                <w:szCs w:val="20"/>
                <w:color w:val="auto"/>
              </w:rPr>
            </w:pPr>
            <w:r>
              <w:rPr>
                <w:rFonts w:ascii="Arial" w:cs="Arial" w:eastAsia="Arial" w:hAnsi="Arial"/>
                <w:sz w:val="14"/>
                <w:szCs w:val="14"/>
                <w:b w:val="1"/>
                <w:bCs w:val="1"/>
                <w:i w:val="1"/>
                <w:iCs w:val="1"/>
                <w:color w:val="auto"/>
                <w:w w:val="88"/>
              </w:rPr>
              <w:t>($ in thousands)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10,438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101</w:t>
            </w:r>
          </w:p>
        </w:tc>
        <w:tc>
          <w:tcPr>
            <w:tcW w:w="142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12,553</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16,409</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338</w:t>
            </w:r>
          </w:p>
        </w:tc>
        <w:tc>
          <w:tcPr>
            <w:tcW w:w="142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12,790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15,487</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156</w:t>
            </w:r>
          </w:p>
        </w:tc>
        <w:tc>
          <w:tcPr>
            <w:tcW w:w="142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12,139</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18,129</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548</w:t>
            </w:r>
          </w:p>
        </w:tc>
        <w:tc>
          <w:tcPr>
            <w:tcW w:w="142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19,389</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1,203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14,713</w:t>
            </w:r>
          </w:p>
        </w:tc>
        <w:tc>
          <w:tcPr>
            <w:tcW w:w="20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1,945</w:t>
            </w:r>
          </w:p>
        </w:tc>
        <w:tc>
          <w:tcPr>
            <w:tcW w:w="142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14,507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2,709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Specialty Admitted — Fronting and Programs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Incurred Losses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44"/>
        </w:trPr>
        <w:tc>
          <w:tcPr>
            <w:tcW w:w="6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40" w:type="dxa"/>
            <w:vAlign w:val="bottom"/>
          </w:tcPr>
          <w:p>
            <w:pPr>
              <w:spacing w:after="0"/>
              <w:rPr>
                <w:sz w:val="12"/>
                <w:szCs w:val="12"/>
                <w:color w:val="auto"/>
              </w:rPr>
            </w:pPr>
          </w:p>
        </w:tc>
        <w:tc>
          <w:tcPr>
            <w:tcW w:w="1300" w:type="dxa"/>
            <w:vAlign w:val="bottom"/>
          </w:tcPr>
          <w:p>
            <w:pPr>
              <w:jc w:val="center"/>
              <w:ind w:right="75"/>
              <w:spacing w:after="0" w:line="145" w:lineRule="exact"/>
              <w:rPr>
                <w:sz w:val="20"/>
                <w:szCs w:val="20"/>
                <w:color w:val="auto"/>
              </w:rPr>
            </w:pPr>
            <w:r>
              <w:rPr>
                <w:rFonts w:ascii="Arial" w:cs="Arial" w:eastAsia="Arial" w:hAnsi="Arial"/>
                <w:sz w:val="14"/>
                <w:szCs w:val="14"/>
                <w:b w:val="1"/>
                <w:bCs w:val="1"/>
                <w:color w:val="auto"/>
                <w:w w:val="93"/>
              </w:rPr>
              <w:t>and Loss Adj</w:t>
            </w:r>
          </w:p>
        </w:tc>
        <w:tc>
          <w:tcPr>
            <w:tcW w:w="26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IBNR</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75"/>
              <w:spacing w:after="0"/>
              <w:rPr>
                <w:sz w:val="20"/>
                <w:szCs w:val="20"/>
                <w:color w:val="auto"/>
              </w:rPr>
            </w:pPr>
            <w:r>
              <w:rPr>
                <w:rFonts w:ascii="Arial" w:cs="Arial" w:eastAsia="Arial" w:hAnsi="Arial"/>
                <w:sz w:val="14"/>
                <w:szCs w:val="14"/>
                <w:b w:val="1"/>
                <w:bCs w:val="1"/>
                <w:color w:val="auto"/>
                <w:w w:val="88"/>
              </w:rPr>
              <w:t>Expenses</w:t>
            </w: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182"/>
        </w:trPr>
        <w:tc>
          <w:tcPr>
            <w:tcW w:w="6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8"/>
              </w:rPr>
              <w:t>($ in thousands)</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8,279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24,893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18,956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44,857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8180" w:type="dxa"/>
            <w:vAlign w:val="bottom"/>
            <w:gridSpan w:val="6"/>
          </w:tcPr>
          <w:p>
            <w:pPr>
              <w:spacing w:after="0"/>
              <w:rPr>
                <w:sz w:val="20"/>
                <w:szCs w:val="20"/>
                <w:color w:val="auto"/>
              </w:rPr>
            </w:pPr>
            <w:r>
              <w:rPr>
                <w:rFonts w:ascii="Arial" w:cs="Arial" w:eastAsia="Arial" w:hAnsi="Arial"/>
                <w:sz w:val="18"/>
                <w:szCs w:val="18"/>
                <w:color w:val="auto"/>
              </w:rPr>
              <w:t>The table below provides information on IBNR liabilities for the Casualty Reinsurance segment:</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Incurred Losses</w:t>
            </w: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IBNR before Casualty</w:t>
            </w:r>
          </w:p>
        </w:tc>
        <w:tc>
          <w:tcPr>
            <w:tcW w:w="14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7"/>
              </w:rPr>
              <w:t>IBNR Net of Casualty</w:t>
            </w:r>
          </w:p>
        </w:tc>
        <w:tc>
          <w:tcPr>
            <w:tcW w:w="0" w:type="dxa"/>
            <w:vAlign w:val="bottom"/>
          </w:tcPr>
          <w:p>
            <w:pPr>
              <w:spacing w:after="0"/>
              <w:rPr>
                <w:sz w:val="1"/>
                <w:szCs w:val="1"/>
                <w:color w:val="auto"/>
              </w:rPr>
            </w:pPr>
          </w:p>
        </w:tc>
      </w:tr>
      <w:tr>
        <w:trPr>
          <w:trHeight w:val="148"/>
        </w:trPr>
        <w:tc>
          <w:tcPr>
            <w:tcW w:w="6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40" w:type="dxa"/>
            <w:vAlign w:val="bottom"/>
          </w:tcPr>
          <w:p>
            <w:pPr>
              <w:spacing w:after="0"/>
              <w:rPr>
                <w:sz w:val="12"/>
                <w:szCs w:val="12"/>
                <w:color w:val="auto"/>
              </w:rPr>
            </w:pPr>
          </w:p>
        </w:tc>
        <w:tc>
          <w:tcPr>
            <w:tcW w:w="13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3"/>
              </w:rPr>
              <w:t>and Loss Adj</w:t>
            </w:r>
          </w:p>
        </w:tc>
        <w:tc>
          <w:tcPr>
            <w:tcW w:w="160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115"/>
              <w:spacing w:after="0"/>
              <w:rPr>
                <w:sz w:val="20"/>
                <w:szCs w:val="20"/>
                <w:color w:val="auto"/>
              </w:rPr>
            </w:pPr>
            <w:r>
              <w:rPr>
                <w:rFonts w:ascii="Arial" w:cs="Arial" w:eastAsia="Arial" w:hAnsi="Arial"/>
                <w:sz w:val="14"/>
                <w:szCs w:val="14"/>
                <w:b w:val="1"/>
                <w:bCs w:val="1"/>
                <w:color w:val="auto"/>
                <w:w w:val="88"/>
              </w:rPr>
              <w:t>Expenses</w:t>
            </w:r>
          </w:p>
        </w:tc>
        <w:tc>
          <w:tcPr>
            <w:tcW w:w="2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Re LPT</w:t>
            </w:r>
          </w:p>
        </w:tc>
        <w:tc>
          <w:tcPr>
            <w:tcW w:w="16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Re LPT</w:t>
            </w:r>
          </w:p>
        </w:tc>
        <w:tc>
          <w:tcPr>
            <w:tcW w:w="0" w:type="dxa"/>
            <w:vAlign w:val="bottom"/>
          </w:tcPr>
          <w:p>
            <w:pPr>
              <w:spacing w:after="0"/>
              <w:rPr>
                <w:sz w:val="1"/>
                <w:szCs w:val="1"/>
                <w:color w:val="auto"/>
              </w:rPr>
            </w:pPr>
          </w:p>
        </w:tc>
      </w:tr>
      <w:tr>
        <w:trPr>
          <w:trHeight w:val="182"/>
        </w:trPr>
        <w:tc>
          <w:tcPr>
            <w:tcW w:w="6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gridSpan w:val="3"/>
          </w:tcPr>
          <w:p>
            <w:pPr>
              <w:jc w:val="right"/>
              <w:ind w:right="912"/>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154,225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139,341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135,112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133,990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179,757</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165,417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101,462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82,626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85,582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108,751</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65,167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20" w:firstLine="364"/>
        <w:spacing w:after="0" w:line="263" w:lineRule="auto"/>
        <w:rPr>
          <w:sz w:val="20"/>
          <w:szCs w:val="20"/>
          <w:color w:val="auto"/>
        </w:rPr>
      </w:pPr>
      <w:r>
        <w:rPr>
          <w:rFonts w:ascii="Arial" w:cs="Arial" w:eastAsia="Arial" w:hAnsi="Arial"/>
          <w:sz w:val="18"/>
          <w:szCs w:val="18"/>
          <w:color w:val="auto"/>
        </w:rPr>
        <w:t>The Company has not provided insurance coverage that could reasonably be expected to produce material levels of asbestos claims activity. In addition, management does not believe that the Company is exposed to environmental liability claims other than those which it has specifically underwritten and priced as an environmental exposure.</w:t>
      </w:r>
    </w:p>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Reinsurance</w:t>
      </w:r>
    </w:p>
    <w:p>
      <w:pPr>
        <w:spacing w:after="0" w:line="121" w:lineRule="exact"/>
        <w:rPr>
          <w:sz w:val="20"/>
          <w:szCs w:val="20"/>
          <w:color w:val="auto"/>
        </w:rPr>
      </w:pPr>
    </w:p>
    <w:p>
      <w:pPr>
        <w:ind w:right="140" w:firstLine="364"/>
        <w:spacing w:after="0" w:line="271" w:lineRule="auto"/>
        <w:rPr>
          <w:sz w:val="20"/>
          <w:szCs w:val="20"/>
          <w:color w:val="auto"/>
        </w:rPr>
      </w:pPr>
      <w:r>
        <w:rPr>
          <w:rFonts w:ascii="Arial" w:cs="Arial" w:eastAsia="Arial" w:hAnsi="Arial"/>
          <w:sz w:val="17"/>
          <w:szCs w:val="17"/>
          <w:color w:val="auto"/>
        </w:rPr>
        <w:t>The Company remains liable to policyholders if its reinsurers are unable to meet their contractual obligations under applicable reinsurance agreements. To minimize exposure to significant losses from reinsurance insolvencies, the Company evaluates the financial condition of its reinsurers and monitors concentrations of credit risk.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the Company in such arrangements. The Company customarily requires a collateral trust arrangement to secure the obligations of the insurance entity for whom it is fronting.</w:t>
      </w:r>
    </w:p>
    <w:p>
      <w:pPr>
        <w:spacing w:after="0" w:line="70" w:lineRule="exact"/>
        <w:rPr>
          <w:sz w:val="20"/>
          <w:szCs w:val="20"/>
          <w:color w:val="auto"/>
        </w:rPr>
      </w:pPr>
    </w:p>
    <w:p>
      <w:pPr>
        <w:ind w:right="180" w:firstLine="364"/>
        <w:spacing w:after="0" w:line="277" w:lineRule="auto"/>
        <w:rPr>
          <w:sz w:val="20"/>
          <w:szCs w:val="20"/>
          <w:color w:val="auto"/>
        </w:rPr>
      </w:pPr>
      <w:r>
        <w:rPr>
          <w:rFonts w:ascii="Arial" w:cs="Arial" w:eastAsia="Arial" w:hAnsi="Arial"/>
          <w:sz w:val="18"/>
          <w:szCs w:val="18"/>
          <w:color w:val="auto"/>
        </w:rPr>
        <w:t>At December 31, 2022, the Company had reinsurance recoverables on unpaid losses of $1,520.1 million and reinsurance recoverables on paid losses of $114.2 million. All material reinsurance recoverables are from companies with A.M. Best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Company ratings of “A-” (Excellent) or better, or are collateralized by the reinsurer for our benefit through letters of credit or trust agreements, or represent recoverables from a state residual market for automobile insurance.</w:t>
      </w:r>
    </w:p>
    <w:p>
      <w:pPr>
        <w:spacing w:after="0" w:line="62" w:lineRule="exact"/>
        <w:rPr>
          <w:sz w:val="20"/>
          <w:szCs w:val="20"/>
          <w:color w:val="auto"/>
        </w:rPr>
      </w:pPr>
    </w:p>
    <w:p>
      <w:pPr>
        <w:ind w:right="220" w:firstLine="364"/>
        <w:spacing w:after="0" w:line="277" w:lineRule="auto"/>
        <w:rPr>
          <w:sz w:val="20"/>
          <w:szCs w:val="20"/>
          <w:color w:val="auto"/>
        </w:rPr>
      </w:pPr>
      <w:r>
        <w:rPr>
          <w:rFonts w:ascii="Arial" w:cs="Arial" w:eastAsia="Arial" w:hAnsi="Arial"/>
          <w:sz w:val="18"/>
          <w:szCs w:val="18"/>
          <w:color w:val="auto"/>
        </w:rPr>
        <w:t>At December 31, 2022, reinsurance recoverables on unpaid losses from the Company’s three largest reinsurers were $340.4 million, $244.7 million, and $132.0 million, representing 47.2% of the total balance.</w:t>
      </w:r>
    </w:p>
    <w:p>
      <w:pPr>
        <w:spacing w:after="0" w:line="62" w:lineRule="exact"/>
        <w:rPr>
          <w:sz w:val="20"/>
          <w:szCs w:val="20"/>
          <w:color w:val="auto"/>
        </w:rPr>
      </w:pPr>
    </w:p>
    <w:p>
      <w:pPr>
        <w:ind w:right="200" w:firstLine="364"/>
        <w:spacing w:after="0" w:line="277" w:lineRule="auto"/>
        <w:rPr>
          <w:sz w:val="20"/>
          <w:szCs w:val="20"/>
          <w:color w:val="auto"/>
        </w:rPr>
      </w:pPr>
      <w:r>
        <w:rPr>
          <w:rFonts w:ascii="Arial" w:cs="Arial" w:eastAsia="Arial" w:hAnsi="Arial"/>
          <w:sz w:val="18"/>
          <w:szCs w:val="18"/>
          <w:color w:val="auto"/>
        </w:rPr>
        <w:t>At December 31, 2022, prepaid reinsurance premiums ceded to the three reinsurers with the largest amount of prepaid reinsurance premiums totaled $66.1 million, $36.7 million, and $16.9 million, representing 43.7% of the total balance.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Premiums written, premiums earned, and losses and loss adjustment expenses incurred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Written premiums: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1,408,524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1,322,034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1,103,994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(762,919)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(609,226)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Earned premiums: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1,005,138</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Assumed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145,867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Ceded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(544,199)</w:t>
            </w:r>
          </w:p>
        </w:tc>
        <w:tc>
          <w:tcPr>
            <w:tcW w:w="0" w:type="dxa"/>
            <w:vAlign w:val="bottom"/>
          </w:tcPr>
          <w:p>
            <w:pPr>
              <w:spacing w:after="0"/>
              <w:rPr>
                <w:sz w:val="1"/>
                <w:szCs w:val="1"/>
                <w:color w:val="auto"/>
              </w:rPr>
            </w:pP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606,806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Losses and loss adjustment expenses: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937,393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1,117,673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709,545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125,096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(356,096)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478,545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Senior Debt</w:t>
      </w:r>
    </w:p>
    <w:p>
      <w:pPr>
        <w:spacing w:after="0" w:line="121" w:lineRule="exact"/>
        <w:rPr>
          <w:sz w:val="20"/>
          <w:szCs w:val="20"/>
          <w:color w:val="auto"/>
        </w:rPr>
      </w:pPr>
    </w:p>
    <w:p>
      <w:pPr>
        <w:ind w:right="300" w:firstLine="364"/>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December 31, 2022:</w:t>
      </w:r>
    </w:p>
    <w:p>
      <w:pPr>
        <w:spacing w:after="0" w:line="62" w:lineRule="exact"/>
        <w:rPr>
          <w:sz w:val="20"/>
          <w:szCs w:val="20"/>
          <w:color w:val="auto"/>
        </w:rPr>
      </w:pPr>
    </w:p>
    <w:p>
      <w:pPr>
        <w:ind w:left="660" w:right="100" w:hanging="328"/>
        <w:spacing w:after="0" w:line="263" w:lineRule="auto"/>
        <w:tabs>
          <w:tab w:leader="none" w:pos="5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$102.5 million secured revolving facility utilized by JRG Re to issue letters of credit for the benefit of third-party reinsureds. This portion of our credit facility is secured by our investment securities. At December 31, 2022, the Company had $44.5 million of letters of credit issued under the secured facility.</w:t>
      </w:r>
    </w:p>
    <w:p>
      <w:pPr>
        <w:spacing w:after="0" w:line="75" w:lineRule="exact"/>
        <w:rPr>
          <w:rFonts w:ascii="Arial" w:cs="Arial" w:eastAsia="Arial" w:hAnsi="Arial"/>
          <w:sz w:val="18"/>
          <w:szCs w:val="18"/>
          <w:color w:val="auto"/>
        </w:rPr>
      </w:pPr>
    </w:p>
    <w:p>
      <w:pPr>
        <w:ind w:left="660" w:right="120" w:hanging="328"/>
        <w:spacing w:after="0" w:line="319" w:lineRule="auto"/>
        <w:tabs>
          <w:tab w:leader="none" w:pos="56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$212.5 million unsecured revolving facility to meet the working capital needs of the Company. All unpaid principal on the revolver is due at maturity. Interest accrues quarterly and is payable in arrears at LIBOR plus a margin (1.50% at December 31, 2022), which is subject to change according to terms in the credit agreement. At December 31, 2022 and 2021, the Company had a drawn balance of $185.8 million outstanding on the unsecured revolver. In 2020, we borrowed an additional $52.5 million to support our growth and for general corporate purposes.</w:t>
      </w:r>
    </w:p>
    <w:p>
      <w:pPr>
        <w:spacing w:after="0" w:line="34" w:lineRule="exact"/>
        <w:rPr>
          <w:sz w:val="20"/>
          <w:szCs w:val="20"/>
          <w:color w:val="auto"/>
        </w:rPr>
      </w:pPr>
    </w:p>
    <w:p>
      <w:pPr>
        <w:ind w:right="80" w:firstLine="364"/>
        <w:spacing w:after="0" w:line="301" w:lineRule="auto"/>
        <w:rPr>
          <w:sz w:val="20"/>
          <w:szCs w:val="20"/>
          <w:color w:val="auto"/>
        </w:rPr>
      </w:pPr>
      <w:r>
        <w:rPr>
          <w:rFonts w:ascii="Arial" w:cs="Arial" w:eastAsia="Arial" w:hAnsi="Arial"/>
          <w:sz w:val="16"/>
          <w:szCs w:val="16"/>
          <w:color w:val="auto"/>
        </w:rPr>
        <w:t>James River Group Holdings, Ltd. and JRG Re are borrowers on the 2013 Facility. 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49" w:lineRule="exact"/>
        <w:rPr>
          <w:sz w:val="20"/>
          <w:szCs w:val="20"/>
          <w:color w:val="auto"/>
        </w:rPr>
      </w:pPr>
    </w:p>
    <w:p>
      <w:pPr>
        <w:ind w:right="40" w:firstLine="364"/>
        <w:spacing w:after="0" w:line="277" w:lineRule="auto"/>
        <w:rPr>
          <w:sz w:val="20"/>
          <w:szCs w:val="20"/>
          <w:color w:val="auto"/>
        </w:rPr>
      </w:pPr>
      <w:r>
        <w:rPr>
          <w:rFonts w:ascii="Arial" w:cs="Arial" w:eastAsia="Arial" w:hAnsi="Arial"/>
          <w:sz w:val="18"/>
          <w:szCs w:val="18"/>
          <w:color w:val="auto"/>
        </w:rPr>
        <w:t>A subsidiary of the Bank Holding Company is one of the lenders for the 2013 Facility, with a $36.0 million commitment allocation on the total $315.0 million 2013 Facility.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December 31, 2022.</w:t>
      </w:r>
    </w:p>
    <w:p>
      <w:pPr>
        <w:spacing w:after="0" w:line="62" w:lineRule="exact"/>
        <w:rPr>
          <w:sz w:val="20"/>
          <w:szCs w:val="20"/>
          <w:color w:val="auto"/>
        </w:rPr>
      </w:pPr>
    </w:p>
    <w:p>
      <w:pPr>
        <w:ind w:right="80" w:firstLine="364"/>
        <w:spacing w:after="0" w:line="288" w:lineRule="auto"/>
        <w:rPr>
          <w:sz w:val="20"/>
          <w:szCs w:val="20"/>
          <w:color w:val="auto"/>
        </w:rPr>
      </w:pPr>
      <w:r>
        <w:rPr>
          <w:rFonts w:ascii="Arial" w:cs="Arial" w:eastAsia="Arial" w:hAnsi="Arial"/>
          <w:sz w:val="16"/>
          <w:szCs w:val="16"/>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The loans and letters of credit made or issued under the revolving line of credit may be used to finance the Borrowers’ general corporate purposes. The 2017 Facility has been amended from time to time since its inception in 2017. On November 8, 2019, the Company entered into a First Amendment to Credit Agreement which, among other things, lowered the applicable interest rate and modified certain negative covenants to be less restrictive. Obligations under the 2017 Facility carry a variable rate of interest subject to terms in the credit agreement (LIBOR plus a margin of 1.50% at December 31, 2022) and will mature 30 days after notice of termination from the lender. Interest accrues quarterly and is payable in arrears at variable rates which are subject to change according to terms in the credit agreement. At December 31, 2022, unsecured loans of $21.5 million and secured letters of credit totaling $22.9 million were outstanding under the facility. During 2020, we borrowed an additional $51.5 million in unsecured loans to support our growth and for general corporate purposes. The Company repaid $40.0 million of loans in 2022.</w:t>
      </w:r>
    </w:p>
    <w:p>
      <w:pPr>
        <w:spacing w:after="0" w:line="60"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In order to secure borrowings and letters of credit made or issued under the secured portion of the 2017 Facility, JRG Re entered into a pledge and security agreement on August 2, 2017 with the lender, pursuant to which JRG Re will pledge certain investment securities. In the event the Company elects to pledge investment securities as collateral for the secured portion of the revolving credit facility, the Company will enter into a similar pledge and security agreement.</w:t>
      </w:r>
    </w:p>
    <w:p>
      <w:pPr>
        <w:spacing w:after="0" w:line="79" w:lineRule="exact"/>
        <w:rPr>
          <w:sz w:val="20"/>
          <w:szCs w:val="20"/>
          <w:color w:val="auto"/>
        </w:rPr>
      </w:pPr>
    </w:p>
    <w:p>
      <w:pPr>
        <w:ind w:right="300" w:firstLine="364"/>
        <w:spacing w:after="0" w:line="263" w:lineRule="auto"/>
        <w:rPr>
          <w:sz w:val="20"/>
          <w:szCs w:val="20"/>
          <w:color w:val="auto"/>
        </w:rPr>
      </w:pPr>
      <w:r>
        <w:rPr>
          <w:rFonts w:ascii="Arial" w:cs="Arial" w:eastAsia="Arial" w:hAnsi="Arial"/>
          <w:sz w:val="18"/>
          <w:szCs w:val="18"/>
          <w:color w:val="auto"/>
        </w:rPr>
        <w:t>The lender under the 2017 Facility and its affiliate is a joint bookrunner and joint lead arranger under the Company’s 2013 Facility, and its affiliate was also an underwriter in the December 2014 initial public offering of the Company’s common shares and a joint lead book-running manager in the Company’s May 2021 public offering of the Company’s common shares.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2017 Facility contains certain financial and other covenants with which the Company was in compliance at December 31, 2022.</w:t>
      </w:r>
    </w:p>
    <w:p>
      <w:pPr>
        <w:spacing w:after="0" w:line="117" w:lineRule="exact"/>
        <w:rPr>
          <w:sz w:val="20"/>
          <w:szCs w:val="20"/>
          <w:color w:val="auto"/>
        </w:rPr>
      </w:pPr>
    </w:p>
    <w:p>
      <w:pPr>
        <w:ind w:right="200" w:firstLine="364"/>
        <w:spacing w:after="0" w:line="301" w:lineRule="auto"/>
        <w:rPr>
          <w:sz w:val="20"/>
          <w:szCs w:val="20"/>
          <w:color w:val="auto"/>
        </w:rPr>
      </w:pPr>
      <w:r>
        <w:rPr>
          <w:rFonts w:ascii="Arial" w:cs="Arial" w:eastAsia="Arial" w:hAnsi="Arial"/>
          <w:sz w:val="16"/>
          <w:szCs w:val="16"/>
          <w:color w:val="auto"/>
        </w:rPr>
        <w:t>On May 26, 2004, James River Group issued $15.0 million of unsecured, floating rate senior debentures (the “Senior Debt”), due April 29, 2034 unless accelerated earlier, through an indenture. The Senior Debt is not redeemable by the holder and is not subject to sinking fund requirements. Interest accrues quarterly and is payable in arrears at a per annum rate of the three-month LIBOR on the Determination Date (as defined in the indenture) plus 3.85%. The Senior Debt is redeemable prior to its stated maturity in whole or in part, at the option of James River Group.</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terms of the indenture generally provide that so long as the Senior Debt is outstanding, neither James River Group nor any of its subsidiaries may:</w:t>
      </w:r>
    </w:p>
    <w:p>
      <w:pPr>
        <w:spacing w:after="0" w:line="140" w:lineRule="exact"/>
        <w:rPr>
          <w:sz w:val="20"/>
          <w:szCs w:val="20"/>
          <w:color w:val="auto"/>
        </w:rPr>
      </w:pPr>
    </w:p>
    <w:p>
      <w:pPr>
        <w:ind w:left="660" w:right="100" w:hanging="328"/>
        <w:spacing w:after="0" w:line="277" w:lineRule="auto"/>
        <w:tabs>
          <w:tab w:leader="none" w:pos="5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assume or permit to exist any indebtedness that is secured by any encumbrance on the capital stock of James River Group or any of its subsidiaries which is senior to the Senior Debt; or</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5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issue, sell, transfer or otherwise dispose of any shares of, securities convertible into, or warrants, rights or options to subscribe for or purchase shares of, capital stock of any subsidiary.</w:t>
      </w:r>
    </w:p>
    <w:p>
      <w:pPr>
        <w:spacing w:after="0" w:line="62" w:lineRule="exact"/>
        <w:rPr>
          <w:sz w:val="20"/>
          <w:szCs w:val="20"/>
          <w:color w:val="auto"/>
        </w:rPr>
      </w:pPr>
    </w:p>
    <w:p>
      <w:pPr>
        <w:jc w:val="both"/>
        <w:ind w:right="140" w:firstLine="364"/>
        <w:spacing w:after="0" w:line="263" w:lineRule="auto"/>
        <w:rPr>
          <w:sz w:val="20"/>
          <w:szCs w:val="20"/>
          <w:color w:val="auto"/>
        </w:rPr>
      </w:pPr>
      <w:r>
        <w:rPr>
          <w:rFonts w:ascii="Arial" w:cs="Arial" w:eastAsia="Arial" w:hAnsi="Arial"/>
          <w:sz w:val="18"/>
          <w:szCs w:val="18"/>
          <w:color w:val="auto"/>
        </w:rPr>
        <w:t>The terms of the Senior Debt contain certain covenants, with which the Company was in compliance at December 31, 2022, and which, among other things, restrict our ability to assume senior indebtedness secured by our U.S. holding company's common stock or its subsidiaries' capital stock or to issue shares of its subsidiaries' capital stock.</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payable is included in “accrued expenses” in the accompanying consolidated balance sheets.</w:t>
      </w:r>
    </w:p>
    <w:p>
      <w:pPr>
        <w:spacing w:after="0" w:line="1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Junior Subordinated Debt</w:t>
      </w:r>
    </w:p>
    <w:p>
      <w:pPr>
        <w:spacing w:after="0" w:line="121" w:lineRule="exact"/>
        <w:rPr>
          <w:sz w:val="20"/>
          <w:szCs w:val="20"/>
          <w:color w:val="auto"/>
        </w:rPr>
      </w:pPr>
    </w:p>
    <w:p>
      <w:pPr>
        <w:ind w:right="120" w:firstLine="364"/>
        <w:spacing w:after="0" w:line="259" w:lineRule="auto"/>
        <w:rPr>
          <w:sz w:val="20"/>
          <w:szCs w:val="20"/>
          <w:color w:val="auto"/>
        </w:rPr>
      </w:pPr>
      <w:r>
        <w:rPr>
          <w:rFonts w:ascii="Arial" w:cs="Arial" w:eastAsia="Arial" w:hAnsi="Arial"/>
          <w:sz w:val="18"/>
          <w:szCs w:val="18"/>
          <w:color w:val="auto"/>
        </w:rPr>
        <w:t>The Company issued trust preferred securities (“Trust Preferred Securities”) through James River Capital Trust I, James River Capital Trust II, James River Capital Trust III, James River Capital Trust IV, and Franklin Holdings II (Bermuda) Capital Trust I, (each, a “Trust”; collectively, the “Trusts”). These Delaware statutory trusts are sponsored and wholly-owned by the Company. Each Trust was created solely for the purpose of issuing the Trust Preferred Securities.</w:t>
      </w:r>
    </w:p>
    <w:p>
      <w:pPr>
        <w:spacing w:after="0" w:line="79"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Each Trust used proceeds from the sale of its Trust Preferred Securities to purchase the Company’s floating rate junior subordinated debentures (the “Junior Subordinated Debt”) issued to the Trust under an indenture (each, an “Indenture”; collectively, the “Indentures”). The Junior Subordinated Debt is the sole asset of each Trust, and the Trust Preferred Securities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u w:val="single" w:color="auto"/>
          <w:color w:val="0000FF"/>
        </w:rPr>
        <w:t>TABLE OF CONTENTS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are the sole liabilities of each Trust. The Company purchased all of the outstanding common stock of the Trusts, and the investment in the Trusts is included in “other assets” in the accompanying consolidated balance sheets.</w:t>
      </w:r>
      <w:r>
        <w:rPr>
          <w:rFonts w:ascii="Arial" w:cs="Arial" w:eastAsia="Arial" w:hAnsi="Arial"/>
          <w:sz w:val="18"/>
          <w:szCs w:val="18"/>
          <w:b w:val="1"/>
          <w:bCs w:val="1"/>
          <w:color w:val="auto"/>
        </w:rPr>
        <w:t xml:space="preserve"> </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December 31, 2022 (including the Company’s repurchases of a portion of these trust preferred securities):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James River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39"/>
        </w:trPr>
        <w:tc>
          <w:tcPr>
            <w:tcW w:w="4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3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(Bermuda)</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IV</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Issue date</w:t>
            </w:r>
          </w:p>
        </w:tc>
        <w:tc>
          <w:tcPr>
            <w:tcW w:w="136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4"/>
              </w:rPr>
              <w:t>May 26,</w:t>
            </w:r>
          </w:p>
        </w:tc>
        <w:tc>
          <w:tcPr>
            <w:tcW w:w="142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89"/>
              </w:rPr>
              <w:t>December 15,</w:t>
            </w:r>
          </w:p>
        </w:tc>
        <w:tc>
          <w:tcPr>
            <w:tcW w:w="142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87"/>
              </w:rPr>
              <w:t>June 15,</w:t>
            </w:r>
          </w:p>
        </w:tc>
        <w:tc>
          <w:tcPr>
            <w:tcW w:w="142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89"/>
              </w:rPr>
              <w:t>December 11,</w:t>
            </w:r>
          </w:p>
        </w:tc>
        <w:tc>
          <w:tcPr>
            <w:tcW w:w="138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88"/>
              </w:rPr>
              <w:t>January 10,</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2006</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2007</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2008</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6"/>
                <w:szCs w:val="16"/>
                <w:color w:val="auto"/>
              </w:rPr>
              <w:t>Principal amount of Trust Preferred Securities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$7,000</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$15,000</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$20,000</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$54,000</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$30,000</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amount of Junior Subordinated Debt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$7,217</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$15,464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$20,619</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$55,670</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$30,928</w:t>
            </w:r>
          </w:p>
        </w:tc>
        <w:tc>
          <w:tcPr>
            <w:tcW w:w="0" w:type="dxa"/>
            <w:vAlign w:val="bottom"/>
          </w:tcPr>
          <w:p>
            <w:pPr>
              <w:spacing w:after="0"/>
              <w:rPr>
                <w:sz w:val="1"/>
                <w:szCs w:val="1"/>
                <w:color w:val="auto"/>
              </w:rPr>
            </w:pPr>
          </w:p>
        </w:tc>
      </w:tr>
      <w:tr>
        <w:trPr>
          <w:trHeight w:val="166"/>
        </w:trPr>
        <w:tc>
          <w:tcPr>
            <w:tcW w:w="4220" w:type="dxa"/>
            <w:vAlign w:val="bottom"/>
          </w:tcPr>
          <w:p>
            <w:pPr>
              <w:ind w:left="20"/>
              <w:spacing w:after="0" w:line="166" w:lineRule="exact"/>
              <w:rPr>
                <w:sz w:val="20"/>
                <w:szCs w:val="20"/>
                <w:color w:val="auto"/>
              </w:rPr>
            </w:pPr>
            <w:r>
              <w:rPr>
                <w:rFonts w:ascii="Arial" w:cs="Arial" w:eastAsia="Arial" w:hAnsi="Arial"/>
                <w:sz w:val="16"/>
                <w:szCs w:val="16"/>
                <w:color w:val="auto"/>
              </w:rPr>
              <w:t>Carrying amount of Junior Subordinated Debt net of</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89"/>
              </w:rPr>
              <w:t>$7,217</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3"/>
              </w:rPr>
              <w:t>$15,464</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3"/>
              </w:rPr>
              <w:t>$20,619</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3"/>
              </w:rPr>
              <w:t>$44,827</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3"/>
              </w:rPr>
              <w:t>$15,928</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6"/>
                <w:szCs w:val="16"/>
                <w:color w:val="auto"/>
              </w:rPr>
              <w:t>repurchases</w:t>
            </w:r>
          </w:p>
        </w:tc>
        <w:tc>
          <w:tcPr>
            <w:tcW w:w="136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Maturity date of Junior Subordinated Debt, unless accelerated</w:t>
            </w:r>
          </w:p>
        </w:tc>
        <w:tc>
          <w:tcPr>
            <w:tcW w:w="136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4"/>
              </w:rPr>
              <w:t>May 24,</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December 15,</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7"/>
              </w:rPr>
              <w:t>June 15,</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December 15,</w:t>
            </w:r>
          </w:p>
        </w:tc>
        <w:tc>
          <w:tcPr>
            <w:tcW w:w="138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2"/>
              </w:rPr>
              <w:t>March 15,</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earlier</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2036</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2037</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2038</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6"/>
                <w:szCs w:val="16"/>
                <w:color w:val="auto"/>
              </w:rPr>
              <w:t>Trust common stock</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$464</w:t>
            </w:r>
          </w:p>
        </w:tc>
        <w:tc>
          <w:tcPr>
            <w:tcW w:w="1420" w:type="dxa"/>
            <w:vAlign w:val="bottom"/>
          </w:tcPr>
          <w:p>
            <w:pPr>
              <w:jc w:val="center"/>
              <w:spacing w:after="0"/>
              <w:rPr>
                <w:sz w:val="20"/>
                <w:szCs w:val="20"/>
                <w:color w:val="auto"/>
              </w:rPr>
            </w:pPr>
            <w:r>
              <w:rPr>
                <w:rFonts w:ascii="Arial" w:cs="Arial" w:eastAsia="Arial" w:hAnsi="Arial"/>
                <w:sz w:val="16"/>
                <w:szCs w:val="16"/>
                <w:color w:val="auto"/>
                <w:w w:val="95"/>
              </w:rPr>
              <w:t>$619</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$1,670</w:t>
            </w: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$928</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Interest rate, per annum</w:t>
            </w:r>
          </w:p>
        </w:tc>
        <w:tc>
          <w:tcPr>
            <w:tcW w:w="136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138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4.0%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4.0%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60" w:firstLine="364"/>
        <w:spacing w:after="0" w:line="259" w:lineRule="auto"/>
        <w:rPr>
          <w:sz w:val="20"/>
          <w:szCs w:val="20"/>
          <w:color w:val="auto"/>
        </w:rPr>
      </w:pPr>
      <w:r>
        <w:rPr>
          <w:rFonts w:ascii="Arial" w:cs="Arial" w:eastAsia="Arial" w:hAnsi="Arial"/>
          <w:sz w:val="18"/>
          <w:szCs w:val="18"/>
          <w:color w:val="auto"/>
        </w:rPr>
        <w:t>All of the Junior Subordinated Debt is currently redeemable at 100.0% of the unpaid principal amount at the Company’s option. Interest on the Trust Preferred Securities and interest paid to the Trusts on the Junior Subordinated Debt is payable quarterly in arrears at a per annum rate as described in the table above. The Company has the right to defer interest payments on the Junior Subordinated Debt for up to five years without triggering an event of default.</w:t>
      </w:r>
    </w:p>
    <w:p>
      <w:pPr>
        <w:spacing w:after="0" w:line="79" w:lineRule="exact"/>
        <w:rPr>
          <w:sz w:val="20"/>
          <w:szCs w:val="20"/>
          <w:color w:val="auto"/>
        </w:rPr>
      </w:pPr>
    </w:p>
    <w:p>
      <w:pPr>
        <w:ind w:right="100" w:firstLine="364"/>
        <w:spacing w:after="0" w:line="279" w:lineRule="auto"/>
        <w:rPr>
          <w:sz w:val="20"/>
          <w:szCs w:val="20"/>
          <w:color w:val="auto"/>
        </w:rPr>
      </w:pPr>
      <w:r>
        <w:rPr>
          <w:rFonts w:ascii="Arial" w:cs="Arial" w:eastAsia="Arial" w:hAnsi="Arial"/>
          <w:sz w:val="17"/>
          <w:szCs w:val="17"/>
          <w:color w:val="auto"/>
        </w:rPr>
        <w:t>The Trust Preferred Securities are subject to mandatory redemption in a like amount (a) upon repayment of all of the Junior Subordinated Debt on the stated maturity date, (b) contemporaneously with the optional prepayment of all of the Junior Subordinated Debt in conjunction with a special event (as defined), and (c) five years or more after the issue date, contemporaneously with the optional prepayment, in whole or in part, of the Junior Subordinated Debt. The Indentures contain certain covenants which the Company is in compliance with as of December 31, 2022.</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payable is included in “accrued expenses” on the accompanying consolidated balance sheets.</w:t>
      </w:r>
    </w:p>
    <w:p>
      <w:pPr>
        <w:spacing w:after="0" w:line="113"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Series A Preferred Shares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February 24, 2022, we entered into an Investment Agreement with GPC Partners Investments (Thames) LP (“GPC Partners”), an affiliate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Gallatin Point Capital LLC, relating to the issuance and sale of 150,000 7% Series A Perpetual Cumulative Convertible Preferred Shares,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$0.00125 per share (the “Series A Preferred Shares”), for an aggregate purchase price of $150.0 million, or $1,000 per share, in a private placement.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 closed on March 1, 2022 (the “Series A Closing Date”).</w:t>
      </w:r>
    </w:p>
    <w:p>
      <w:pPr>
        <w:spacing w:after="0" w:line="103" w:lineRule="exact"/>
        <w:rPr>
          <w:sz w:val="20"/>
          <w:szCs w:val="20"/>
          <w:color w:val="auto"/>
        </w:rPr>
      </w:pPr>
    </w:p>
    <w:p>
      <w:pPr>
        <w:ind w:right="140" w:firstLine="364"/>
        <w:spacing w:after="0" w:line="301" w:lineRule="auto"/>
        <w:rPr>
          <w:sz w:val="20"/>
          <w:szCs w:val="20"/>
          <w:color w:val="auto"/>
        </w:rPr>
      </w:pPr>
      <w:r>
        <w:rPr>
          <w:rFonts w:ascii="Arial" w:cs="Arial" w:eastAsia="Arial" w:hAnsi="Arial"/>
          <w:sz w:val="16"/>
          <w:szCs w:val="16"/>
          <w:color w:val="auto"/>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spacing w:after="0" w:line="49" w:lineRule="exact"/>
        <w:rPr>
          <w:sz w:val="20"/>
          <w:szCs w:val="20"/>
          <w:color w:val="auto"/>
        </w:rPr>
      </w:pPr>
    </w:p>
    <w:p>
      <w:pPr>
        <w:ind w:right="180" w:firstLine="364"/>
        <w:spacing w:after="0" w:line="301" w:lineRule="auto"/>
        <w:rPr>
          <w:sz w:val="20"/>
          <w:szCs w:val="20"/>
          <w:color w:val="auto"/>
        </w:rPr>
      </w:pPr>
      <w:r>
        <w:rPr>
          <w:rFonts w:ascii="Arial" w:cs="Arial" w:eastAsia="Arial" w:hAnsi="Arial"/>
          <w:sz w:val="16"/>
          <w:szCs w:val="16"/>
          <w:color w:val="auto"/>
        </w:rPr>
        <w:t>Holders of the Series A Preferred Shares are entitled to a dividend at the initial rate of 7% of the Liquidation Preference per annum, paid in cash, in-kind in common shares or in Series A Preferred Shares, at the Company's election. On the five-year anniversary of the Series A Closing Date, and each five-year anniversary thereafter, the dividend rate will reset to a rate equal to the five-year U.S. treasury rate plus 5.2%. Dividends accrue and are payable quarterly. During 2022, cash dividends of $8.8 million were declared, of which $2.6 million was payable at December 31, 2022.</w:t>
      </w:r>
    </w:p>
    <w:p>
      <w:pPr>
        <w:spacing w:after="0" w:line="49" w:lineRule="exact"/>
        <w:rPr>
          <w:sz w:val="20"/>
          <w:szCs w:val="20"/>
          <w:color w:val="auto"/>
        </w:rPr>
      </w:pPr>
    </w:p>
    <w:p>
      <w:pPr>
        <w:jc w:val="both"/>
        <w:ind w:right="360" w:firstLine="364"/>
        <w:spacing w:after="0" w:line="263" w:lineRule="auto"/>
        <w:rPr>
          <w:sz w:val="20"/>
          <w:szCs w:val="20"/>
          <w:color w:val="auto"/>
        </w:rPr>
      </w:pPr>
      <w:r>
        <w:rPr>
          <w:rFonts w:ascii="Arial" w:cs="Arial" w:eastAsia="Arial" w:hAnsi="Arial"/>
          <w:sz w:val="18"/>
          <w:szCs w:val="18"/>
          <w:color w:val="auto"/>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specified levels, as well as certain adjustments in case of adverse reserve development. None of the triggers that would result in adjustments to the conversion price have been met at December 31, 2022.</w:t>
      </w:r>
    </w:p>
    <w:p>
      <w:pPr>
        <w:spacing w:after="0" w:line="62" w:lineRule="exact"/>
        <w:rPr>
          <w:sz w:val="20"/>
          <w:szCs w:val="20"/>
          <w:color w:val="auto"/>
        </w:rPr>
      </w:pPr>
    </w:p>
    <w:p>
      <w:pPr>
        <w:ind w:right="60" w:firstLine="364"/>
        <w:spacing w:after="0" w:line="293" w:lineRule="auto"/>
        <w:rPr>
          <w:sz w:val="20"/>
          <w:szCs w:val="20"/>
          <w:color w:val="auto"/>
        </w:rPr>
      </w:pPr>
      <w:r>
        <w:rPr>
          <w:rFonts w:ascii="Arial" w:cs="Arial" w:eastAsia="Arial" w:hAnsi="Arial"/>
          <w:sz w:val="16"/>
          <w:szCs w:val="16"/>
          <w:color w:val="auto"/>
        </w:rPr>
        <w:t>The Certificate of Designations setting forth the terms of the Series A Preferred Shares limits our ability to pay dividends to our common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our shareholders also trigger a reduction of the conversion price applicable to the Series A Preferred Shares.</w:t>
      </w:r>
    </w:p>
    <w:p>
      <w:pPr>
        <w:spacing w:after="0" w:line="56" w:lineRule="exact"/>
        <w:rPr>
          <w:sz w:val="20"/>
          <w:szCs w:val="20"/>
          <w:color w:val="auto"/>
        </w:rPr>
      </w:pPr>
    </w:p>
    <w:p>
      <w:pPr>
        <w:ind w:right="40" w:firstLine="364"/>
        <w:spacing w:after="0" w:line="273" w:lineRule="auto"/>
        <w:rPr>
          <w:sz w:val="20"/>
          <w:szCs w:val="20"/>
          <w:color w:val="auto"/>
        </w:rPr>
      </w:pPr>
      <w:r>
        <w:rPr>
          <w:rFonts w:ascii="Arial" w:cs="Arial" w:eastAsia="Arial" w:hAnsi="Arial"/>
          <w:sz w:val="17"/>
          <w:szCs w:val="17"/>
          <w:color w:val="auto"/>
        </w:rPr>
        <w:t>At any time on or after the two year anniversary of the Series A Closing Date, if the volume-weighted average price (“VWAP”) per Common Share is greater than 130% of the then-applicable conversion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0" w:lineRule="exact"/>
        <w:rPr>
          <w:sz w:val="20"/>
          <w:szCs w:val="20"/>
          <w:color w:val="auto"/>
        </w:rPr>
      </w:pPr>
    </w:p>
    <w:p>
      <w:pPr>
        <w:ind w:right="60" w:firstLine="364"/>
        <w:spacing w:after="0" w:line="257" w:lineRule="auto"/>
        <w:rPr>
          <w:sz w:val="20"/>
          <w:szCs w:val="20"/>
          <w:color w:val="auto"/>
        </w:rPr>
      </w:pPr>
      <w:r>
        <w:rPr>
          <w:rFonts w:ascii="Arial" w:cs="Arial" w:eastAsia="Arial" w:hAnsi="Arial"/>
          <w:sz w:val="18"/>
          <w:szCs w:val="18"/>
          <w:color w:val="auto"/>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spacing w:after="0" w:line="80" w:lineRule="exact"/>
        <w:rPr>
          <w:sz w:val="20"/>
          <w:szCs w:val="20"/>
          <w:color w:val="auto"/>
        </w:rPr>
      </w:pPr>
    </w:p>
    <w:p>
      <w:pPr>
        <w:ind w:firstLine="364"/>
        <w:spacing w:after="0" w:line="255" w:lineRule="auto"/>
        <w:rPr>
          <w:sz w:val="20"/>
          <w:szCs w:val="20"/>
          <w:color w:val="auto"/>
        </w:rPr>
      </w:pPr>
      <w:r>
        <w:rPr>
          <w:rFonts w:ascii="Arial" w:cs="Arial" w:eastAsia="Arial" w:hAnsi="Arial"/>
          <w:sz w:val="18"/>
          <w:szCs w:val="18"/>
          <w:color w:val="auto"/>
        </w:rPr>
        <w:t>The holders of the Series A Preferred Shares may require us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The repurchase price will be payable in cash.</w:t>
      </w:r>
    </w:p>
    <w:p>
      <w:pPr>
        <w:spacing w:after="0" w:line="84" w:lineRule="exact"/>
        <w:rPr>
          <w:sz w:val="20"/>
          <w:szCs w:val="20"/>
          <w:color w:val="auto"/>
        </w:rPr>
      </w:pPr>
    </w:p>
    <w:p>
      <w:pPr>
        <w:jc w:val="both"/>
        <w:ind w:right="120" w:firstLine="364"/>
        <w:spacing w:after="0" w:line="259" w:lineRule="auto"/>
        <w:rPr>
          <w:sz w:val="20"/>
          <w:szCs w:val="20"/>
          <w:color w:val="auto"/>
        </w:rPr>
      </w:pPr>
      <w:r>
        <w:rPr>
          <w:rFonts w:ascii="Arial" w:cs="Arial" w:eastAsia="Arial" w:hAnsi="Arial"/>
          <w:sz w:val="18"/>
          <w:szCs w:val="18"/>
          <w:color w:val="auto"/>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consolidated balance sheets and are recognized at fair value of $150.0 million (the proceeds on the date of issuance) less issuance costs of $5.1 million, resulting in a carrying value of $144.9 million.</w:t>
      </w:r>
    </w:p>
    <w:p>
      <w:pPr>
        <w:spacing w:after="0" w:line="79" w:lineRule="exact"/>
        <w:rPr>
          <w:sz w:val="20"/>
          <w:szCs w:val="20"/>
          <w:color w:val="auto"/>
        </w:rPr>
      </w:pPr>
    </w:p>
    <w:p>
      <w:pPr>
        <w:ind w:right="60" w:firstLine="364"/>
        <w:spacing w:after="0" w:line="263" w:lineRule="auto"/>
        <w:rPr>
          <w:sz w:val="20"/>
          <w:szCs w:val="20"/>
          <w:color w:val="auto"/>
        </w:rPr>
      </w:pPr>
      <w:r>
        <w:rPr>
          <w:rFonts w:ascii="Arial" w:cs="Arial" w:eastAsia="Arial" w:hAnsi="Arial"/>
          <w:sz w:val="18"/>
          <w:szCs w:val="18"/>
          <w:color w:val="auto"/>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Shareholders' Equity</w:t>
      </w:r>
    </w:p>
    <w:p>
      <w:pPr>
        <w:spacing w:after="0" w:line="121" w:lineRule="exact"/>
        <w:rPr>
          <w:sz w:val="20"/>
          <w:szCs w:val="20"/>
          <w:color w:val="auto"/>
        </w:rPr>
      </w:pPr>
    </w:p>
    <w:p>
      <w:pPr>
        <w:ind w:right="100" w:firstLine="364"/>
        <w:spacing w:after="0" w:line="277" w:lineRule="auto"/>
        <w:rPr>
          <w:sz w:val="20"/>
          <w:szCs w:val="20"/>
          <w:color w:val="auto"/>
        </w:rPr>
      </w:pPr>
      <w:r>
        <w:rPr>
          <w:rFonts w:ascii="Arial" w:cs="Arial" w:eastAsia="Arial" w:hAnsi="Arial"/>
          <w:sz w:val="18"/>
          <w:szCs w:val="18"/>
          <w:color w:val="auto"/>
        </w:rPr>
        <w:t>The Company has 200,000,000 common shares authorized with $0.0002 par value per share. The following table presents a rollforward of changes in common shares issued and outstanding.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98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81"/>
        </w:trPr>
        <w:tc>
          <w:tcPr>
            <w:tcW w:w="8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common shares, beginning of year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37,373,066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30,649,261</w:t>
            </w: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Issuance of common shares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6,497,500</w:t>
            </w: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93,446</w:t>
            </w:r>
          </w:p>
        </w:tc>
      </w:tr>
      <w:tr>
        <w:trPr>
          <w:trHeight w:val="229"/>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Vesting of RSU awards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97,171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and outstanding common shares, end of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37,470,237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37,373,066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firstLine="364"/>
        <w:spacing w:after="0" w:line="279" w:lineRule="auto"/>
        <w:rPr>
          <w:sz w:val="20"/>
          <w:szCs w:val="20"/>
          <w:color w:val="auto"/>
        </w:rPr>
      </w:pPr>
      <w:r>
        <w:rPr>
          <w:rFonts w:ascii="Arial" w:cs="Arial" w:eastAsia="Arial" w:hAnsi="Arial"/>
          <w:sz w:val="17"/>
          <w:szCs w:val="17"/>
          <w:color w:val="auto"/>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spacing w:after="0" w:line="63" w:lineRule="exact"/>
        <w:rPr>
          <w:sz w:val="20"/>
          <w:szCs w:val="20"/>
          <w:color w:val="auto"/>
        </w:rPr>
      </w:pPr>
    </w:p>
    <w:p>
      <w:pPr>
        <w:ind w:right="400" w:firstLine="364"/>
        <w:spacing w:after="0" w:line="277" w:lineRule="auto"/>
        <w:rPr>
          <w:sz w:val="20"/>
          <w:szCs w:val="20"/>
          <w:color w:val="auto"/>
        </w:rPr>
      </w:pPr>
      <w:r>
        <w:rPr>
          <w:rFonts w:ascii="Arial" w:cs="Arial" w:eastAsia="Arial" w:hAnsi="Arial"/>
          <w:sz w:val="18"/>
          <w:szCs w:val="18"/>
          <w:color w:val="auto"/>
        </w:rPr>
        <w:t>The Company has 5,132,650 common shares reserved for future issuance upon exercise or vesting of equity awards, as applicable, and 5,640,158 common shares reserved for issuance upon conversion of the Series A Preferred Shares.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Board of Directors declared the following cash dividends on common shares in 2022,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Date of</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per</w:t>
            </w:r>
          </w:p>
        </w:tc>
        <w:tc>
          <w:tcPr>
            <w:tcW w:w="10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Payable to Shareholders</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Declaration</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Share</w:t>
            </w:r>
          </w:p>
        </w:tc>
        <w:tc>
          <w:tcPr>
            <w:tcW w:w="100" w:type="dxa"/>
            <w:vAlign w:val="bottom"/>
          </w:tcPr>
          <w:p>
            <w:pPr>
              <w:spacing w:after="0"/>
              <w:rPr>
                <w:sz w:val="20"/>
                <w:szCs w:val="20"/>
                <w:color w:val="auto"/>
              </w:rPr>
            </w:pPr>
          </w:p>
        </w:tc>
        <w:tc>
          <w:tcPr>
            <w:tcW w:w="2280" w:type="dxa"/>
            <w:vAlign w:val="bottom"/>
            <w:gridSpan w:val="2"/>
          </w:tcPr>
          <w:p>
            <w:pPr>
              <w:ind w:left="600"/>
              <w:spacing w:after="0"/>
              <w:rPr>
                <w:sz w:val="20"/>
                <w:szCs w:val="20"/>
                <w:color w:val="auto"/>
              </w:rPr>
            </w:pPr>
            <w:r>
              <w:rPr>
                <w:rFonts w:ascii="Arial" w:cs="Arial" w:eastAsia="Arial" w:hAnsi="Arial"/>
                <w:sz w:val="18"/>
                <w:szCs w:val="18"/>
                <w:b w:val="1"/>
                <w:bCs w:val="1"/>
                <w:color w:val="auto"/>
              </w:rPr>
              <w:t>of Record on</w:t>
            </w:r>
          </w:p>
        </w:tc>
        <w:tc>
          <w:tcPr>
            <w:tcW w:w="2260" w:type="dxa"/>
            <w:vAlign w:val="bottom"/>
            <w:gridSpan w:val="2"/>
          </w:tcPr>
          <w:p>
            <w:pPr>
              <w:ind w:left="520"/>
              <w:spacing w:after="0"/>
              <w:rPr>
                <w:sz w:val="20"/>
                <w:szCs w:val="20"/>
                <w:color w:val="auto"/>
              </w:rPr>
            </w:pPr>
            <w:r>
              <w:rPr>
                <w:rFonts w:ascii="Arial" w:cs="Arial" w:eastAsia="Arial" w:hAnsi="Arial"/>
                <w:sz w:val="18"/>
                <w:szCs w:val="18"/>
                <w:b w:val="1"/>
                <w:bCs w:val="1"/>
                <w:color w:val="auto"/>
              </w:rPr>
              <w:t>Payment Date</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Total Amount (thousands)</w:t>
            </w:r>
          </w:p>
        </w:tc>
        <w:tc>
          <w:tcPr>
            <w:tcW w:w="0" w:type="dxa"/>
            <w:vAlign w:val="bottom"/>
          </w:tcPr>
          <w:p>
            <w:pPr>
              <w:spacing w:after="0"/>
              <w:rPr>
                <w:sz w:val="1"/>
                <w:szCs w:val="1"/>
                <w:color w:val="auto"/>
              </w:rPr>
            </w:pPr>
          </w:p>
        </w:tc>
      </w:tr>
      <w:tr>
        <w:trPr>
          <w:trHeight w:val="183"/>
        </w:trPr>
        <w:tc>
          <w:tcPr>
            <w:tcW w:w="214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16, 2022</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14, 2022</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April 28, 2022</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$0.05</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June 13, 2022</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30, 2022</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26, 2022</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12, 2022</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October 25, 2022</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$0.05</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12, 2022</w:t>
            </w:r>
          </w:p>
        </w:tc>
        <w:tc>
          <w:tcPr>
            <w:tcW w:w="2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30, 2022</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gridSpan w:val="3"/>
            <w:vMerge w:val="restart"/>
          </w:tcPr>
          <w:p>
            <w:pPr>
              <w:ind w:left="20"/>
              <w:spacing w:after="0" w:line="176"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4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24, 2021</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15, 2021</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April 27, 2021</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June 14, 2021</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27, 2021</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13, 2021</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October 26, 2021</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13, 2021</w:t>
            </w:r>
          </w:p>
        </w:tc>
        <w:tc>
          <w:tcPr>
            <w:tcW w:w="2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31, 2021</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43,210</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gridSpan w:val="3"/>
            <w:vMerge w:val="restart"/>
          </w:tcPr>
          <w:p>
            <w:pPr>
              <w:ind w:left="20"/>
              <w:spacing w:after="0" w:line="176"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4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19, 2020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16, 2020</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April 28, 2020</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June 15, 2020</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28, 2020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14, 2020</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October 27, 2020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14, 2020</w:t>
            </w:r>
          </w:p>
        </w:tc>
        <w:tc>
          <w:tcPr>
            <w:tcW w:w="2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31, 2020</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firstLine="364"/>
        <w:spacing w:after="0" w:line="277" w:lineRule="auto"/>
        <w:rPr>
          <w:sz w:val="20"/>
          <w:szCs w:val="20"/>
          <w:color w:val="auto"/>
        </w:rPr>
      </w:pPr>
      <w:r>
        <w:rPr>
          <w:rFonts w:ascii="Arial" w:cs="Arial" w:eastAsia="Arial" w:hAnsi="Arial"/>
          <w:sz w:val="18"/>
          <w:szCs w:val="18"/>
          <w:color w:val="auto"/>
        </w:rPr>
        <w:t>Included in the dividends are $141,000, $404,000 and $449,000 of dividend equivalents on RSUs, of which $335,000, $518,000 and $663,000 were payable as of December 31, 2022, 2021, and 2020, respectively.</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ind w:right="220" w:firstLine="364"/>
        <w:spacing w:after="0" w:line="257" w:lineRule="auto"/>
        <w:rPr>
          <w:sz w:val="20"/>
          <w:szCs w:val="20"/>
          <w:color w:val="auto"/>
        </w:rPr>
      </w:pPr>
      <w:r>
        <w:rPr>
          <w:rFonts w:ascii="Arial" w:cs="Arial" w:eastAsia="Arial" w:hAnsi="Arial"/>
          <w:sz w:val="18"/>
          <w:szCs w:val="18"/>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There are no options outstanding under the Legacy Plan as of December 31, 2022 and no additional awards may be granted.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20" w:firstLine="364"/>
        <w:spacing w:after="0" w:line="259"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2014 LTIP was amended on October 25, 2022, increasing the number of shares available for issuance under the 2014 LTIP by 811,500 shares. Following the amendment, the maximum number of shares available for issuance under the 2014 LTIP is 4,982,650, and at December 31, 2022, 1,629,298 shares are available for grant.</w:t>
      </w:r>
    </w:p>
    <w:p>
      <w:pPr>
        <w:spacing w:after="0" w:line="79" w:lineRule="exact"/>
        <w:rPr>
          <w:sz w:val="20"/>
          <w:szCs w:val="20"/>
          <w:color w:val="auto"/>
        </w:rPr>
      </w:pPr>
    </w:p>
    <w:p>
      <w:pPr>
        <w:ind w:right="140" w:firstLine="364"/>
        <w:spacing w:after="0" w:line="259" w:lineRule="auto"/>
        <w:rPr>
          <w:sz w:val="20"/>
          <w:szCs w:val="20"/>
          <w:color w:val="auto"/>
        </w:rPr>
      </w:pPr>
      <w:r>
        <w:rPr>
          <w:rFonts w:ascii="Arial" w:cs="Arial" w:eastAsia="Arial" w:hAnsi="Arial"/>
          <w:sz w:val="18"/>
          <w:szCs w:val="18"/>
          <w:color w:val="auto"/>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will be made in the form of performance restricted share units (a “PRSU”) and service based restricted share units (RSUs), with initial awards intended to be made in February 2023.</w:t>
      </w:r>
    </w:p>
    <w:p>
      <w:pPr>
        <w:spacing w:after="0" w:line="79" w:lineRule="exact"/>
        <w:rPr>
          <w:sz w:val="20"/>
          <w:szCs w:val="20"/>
          <w:color w:val="auto"/>
        </w:rPr>
      </w:pPr>
    </w:p>
    <w:p>
      <w:pPr>
        <w:ind w:right="360" w:firstLine="364"/>
        <w:spacing w:after="0" w:line="259" w:lineRule="auto"/>
        <w:rPr>
          <w:sz w:val="20"/>
          <w:szCs w:val="20"/>
          <w:color w:val="auto"/>
        </w:rPr>
      </w:pPr>
      <w:r>
        <w:rPr>
          <w:rFonts w:ascii="Arial" w:cs="Arial" w:eastAsia="Arial" w:hAnsi="Arial"/>
          <w:sz w:val="18"/>
          <w:szCs w:val="18"/>
          <w:color w:val="auto"/>
        </w:rPr>
        <w:t>Each PRSU will represent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initial PRSU awards are intended to have a performance period of January 1, 2023 through December 31, 2025.</w:t>
      </w:r>
    </w:p>
    <w:p>
      <w:pPr>
        <w:spacing w:after="0" w:line="79" w:lineRule="exact"/>
        <w:rPr>
          <w:sz w:val="20"/>
          <w:szCs w:val="20"/>
          <w:color w:val="auto"/>
        </w:rPr>
      </w:pPr>
    </w:p>
    <w:p>
      <w:pPr>
        <w:ind w:right="160" w:firstLine="364"/>
        <w:spacing w:after="0" w:line="263"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December 31, 2022, 82,586 shares are available for grant.</w:t>
      </w:r>
    </w:p>
    <w:p>
      <w:pPr>
        <w:spacing w:after="0" w:line="76" w:lineRule="exact"/>
        <w:rPr>
          <w:sz w:val="20"/>
          <w:szCs w:val="20"/>
          <w:color w:val="auto"/>
        </w:rPr>
      </w:pPr>
    </w:p>
    <w:p>
      <w:pPr>
        <w:ind w:right="40" w:firstLine="364"/>
        <w:spacing w:after="0" w:line="263"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and in the case of the 2014 LTIP for Good Reason (as defined), at any time following a Change in Control (as defined in the applicable plans).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option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7"/>
              <w:spacing w:after="0" w:line="13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7"/>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7"/>
              <w:spacing w:after="0" w:line="13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2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(48,552)</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Pr>
          <w:p>
            <w:pPr>
              <w:ind w:left="20"/>
              <w:spacing w:after="0" w:line="203" w:lineRule="exact"/>
              <w:rPr>
                <w:sz w:val="20"/>
                <w:szCs w:val="20"/>
                <w:color w:val="auto"/>
              </w:rPr>
            </w:pPr>
            <w:r>
              <w:rPr>
                <w:rFonts w:ascii="Arial" w:cs="Arial" w:eastAsia="Arial" w:hAnsi="Arial"/>
                <w:sz w:val="18"/>
                <w:szCs w:val="18"/>
                <w:color w:val="auto"/>
              </w:rPr>
              <w:t>Exercisable, end of year</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35.26</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287,974</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35.26</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80" w:firstLine="364"/>
        <w:spacing w:after="0" w:line="342" w:lineRule="auto"/>
        <w:rPr>
          <w:sz w:val="20"/>
          <w:szCs w:val="20"/>
          <w:color w:val="auto"/>
        </w:rPr>
      </w:pPr>
      <w:r>
        <w:rPr>
          <w:rFonts w:ascii="Arial" w:cs="Arial" w:eastAsia="Arial" w:hAnsi="Arial"/>
          <w:sz w:val="16"/>
          <w:szCs w:val="16"/>
          <w:color w:val="auto"/>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w:t>
      </w:r>
    </w:p>
    <w:p>
      <w:pPr>
        <w:spacing w:after="0" w:line="16" w:lineRule="exact"/>
        <w:rPr>
          <w:sz w:val="20"/>
          <w:szCs w:val="20"/>
          <w:color w:val="auto"/>
        </w:rPr>
      </w:pPr>
    </w:p>
    <w:p>
      <w:pPr>
        <w:ind w:right="200" w:firstLine="364"/>
        <w:spacing w:after="0" w:line="275" w:lineRule="auto"/>
        <w:rPr>
          <w:sz w:val="20"/>
          <w:szCs w:val="20"/>
          <w:color w:val="auto"/>
        </w:rPr>
      </w:pPr>
      <w:r>
        <w:rPr>
          <w:rFonts w:ascii="Arial" w:cs="Arial" w:eastAsia="Arial" w:hAnsi="Arial"/>
          <w:sz w:val="17"/>
          <w:szCs w:val="17"/>
          <w:color w:val="auto"/>
        </w:rPr>
        <w:t>The intrinsic value of each option is determined based on the difference between the fair value of the underlying share and the exercise price of the underlying option. The total intrinsic value of options exercised during 2022, 2021 and 2020 was $0, $1.3 million and $3.8 million, respectively. The aggregate intrinsic value of options outstanding at December 31, 2022, 2021 and 2020 was $0, $0 and $7.8 million, respectively. The aggregate intrinsic value of options exercisable at December 31, 2022, 2021 and 2020 was $0, $0 and $7.8 million, respectively. The fair value used for calculating intrinsic values was $20.91, $28.81 and $49.15 at December 31, 2022, 2021 and 2020, respectively.</w:t>
      </w:r>
    </w:p>
    <w:p>
      <w:pPr>
        <w:spacing w:after="0" w:line="68" w:lineRule="exact"/>
        <w:rPr>
          <w:sz w:val="20"/>
          <w:szCs w:val="20"/>
          <w:color w:val="auto"/>
        </w:rPr>
      </w:pPr>
    </w:p>
    <w:p>
      <w:pPr>
        <w:ind w:right="40" w:firstLine="364"/>
        <w:spacing w:after="0" w:line="342" w:lineRule="auto"/>
        <w:rPr>
          <w:sz w:val="20"/>
          <w:szCs w:val="20"/>
          <w:color w:val="auto"/>
        </w:rPr>
      </w:pPr>
      <w:r>
        <w:rPr>
          <w:rFonts w:ascii="Arial" w:cs="Arial" w:eastAsia="Arial" w:hAnsi="Arial"/>
          <w:sz w:val="16"/>
          <w:szCs w:val="16"/>
          <w:color w:val="auto"/>
        </w:rPr>
        <w:t>The weighted-average remaining contractual life of the options outstanding and exercisable at December 31, 2022 is 0.4 years. There were no options granted in 2022, 2021, or 2020. The value of the options granted was estimated at the date of grant using the Black-Scholes-Merton option pricing model.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8"/>
              <w:spacing w:after="0" w:line="13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8"/>
              <w:spacing w:after="0" w:line="13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18"/>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2800" w:type="dxa"/>
            <w:vAlign w:val="bottom"/>
          </w:tcPr>
          <w:p>
            <w:pPr>
              <w:spacing w:after="0"/>
              <w:rPr>
                <w:sz w:val="12"/>
                <w:szCs w:val="12"/>
                <w:color w:val="auto"/>
              </w:rPr>
            </w:pPr>
          </w:p>
        </w:tc>
        <w:tc>
          <w:tcPr>
            <w:tcW w:w="13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18"/>
              <w:spacing w:after="0" w:line="13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Unvested, beginning of year</w:t>
            </w: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00" w:type="dxa"/>
            <w:vAlign w:val="bottom"/>
            <w:vMerge w:val="continue"/>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292,135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399,856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340,368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560,680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272,608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(147,530)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(194,157)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(165,344)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Unvested, end of year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665,458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Outstanding RSUs granted to employees generally vest ratably over a three year vesting period. RSUs granted to non-employee directors have a one year vesting period. The total fair value of shares vested in 2022, 2021 and 2020 was $3.8 million, $9.1 million and $7.2 million, respectively.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17" w:lineRule="exact"/>
        <w:rPr>
          <w:sz w:val="20"/>
          <w:szCs w:val="20"/>
          <w:color w:val="auto"/>
        </w:rPr>
      </w:pPr>
    </w:p>
    <w:p>
      <w:pPr>
        <w:ind w:right="380" w:firstLine="364"/>
        <w:spacing w:after="0" w:line="277" w:lineRule="auto"/>
        <w:rPr>
          <w:sz w:val="20"/>
          <w:szCs w:val="20"/>
          <w:color w:val="auto"/>
        </w:rPr>
      </w:pPr>
      <w:r>
        <w:rPr>
          <w:rFonts w:ascii="Arial" w:cs="Arial" w:eastAsia="Arial" w:hAnsi="Arial"/>
          <w:sz w:val="18"/>
          <w:szCs w:val="18"/>
          <w:color w:val="auto"/>
        </w:rPr>
        <w:t>Share based compensation expense is recognized on a straight-line basis over the vesting period. The amount of expense and related tax benefit is summarized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82"/>
        </w:trPr>
        <w:tc>
          <w:tcPr>
            <w:tcW w:w="6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center"/>
              <w:ind w:right="199"/>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8,122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6,658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1,526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9"/>
              <w:spacing w:after="0"/>
              <w:rPr>
                <w:sz w:val="20"/>
                <w:szCs w:val="20"/>
                <w:color w:val="auto"/>
              </w:rPr>
            </w:pPr>
            <w:r>
              <w:rPr>
                <w:rFonts w:ascii="Arial" w:cs="Arial" w:eastAsia="Arial" w:hAnsi="Arial"/>
                <w:sz w:val="18"/>
                <w:szCs w:val="18"/>
                <w:color w:val="auto"/>
              </w:rPr>
              <w:t>1,206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1,001</w:t>
            </w:r>
          </w:p>
        </w:tc>
      </w:tr>
    </w:tbl>
    <w:p>
      <w:pPr>
        <w:spacing w:after="0" w:line="174" w:lineRule="exact"/>
        <w:rPr>
          <w:sz w:val="20"/>
          <w:szCs w:val="20"/>
          <w:color w:val="auto"/>
        </w:rPr>
      </w:pPr>
    </w:p>
    <w:p>
      <w:pPr>
        <w:jc w:val="both"/>
        <w:ind w:right="80" w:firstLine="364"/>
        <w:spacing w:after="0" w:line="277" w:lineRule="auto"/>
        <w:rPr>
          <w:sz w:val="20"/>
          <w:szCs w:val="20"/>
          <w:color w:val="auto"/>
        </w:rPr>
      </w:pPr>
      <w:r>
        <w:rPr>
          <w:rFonts w:ascii="Arial" w:cs="Arial" w:eastAsia="Arial" w:hAnsi="Arial"/>
          <w:sz w:val="18"/>
          <w:szCs w:val="18"/>
          <w:color w:val="auto"/>
        </w:rPr>
        <w:t>At December 31, 2022, the Company had $11.2 million of unrecognized share based compensation expense expected to be charged to earnings over a weighted-average period of 1.8 years.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ind w:right="120" w:firstLine="364"/>
        <w:spacing w:after="0" w:line="263" w:lineRule="auto"/>
        <w:rPr>
          <w:sz w:val="20"/>
          <w:szCs w:val="20"/>
          <w:color w:val="auto"/>
        </w:rPr>
      </w:pPr>
      <w:r>
        <w:rPr>
          <w:rFonts w:ascii="Arial" w:cs="Arial" w:eastAsia="Arial" w:hAnsi="Arial"/>
          <w:sz w:val="18"/>
          <w:szCs w:val="18"/>
          <w:color w:val="auto"/>
        </w:rPr>
        <w:t>Under current Bermuda law, James River Group Holdings, Ltd. and its Bermuda-based subsidiaries, JRG Re and Carolina Re, are not required to pay any Bermuda taxes on their income or capital gains. Those companies have received an undertaking from the Minister of Finance in Bermuda that, in the event of any taxes being imposed, the Company will be exempt from taxation in Bermuda until March 2035.</w:t>
      </w:r>
    </w:p>
    <w:p>
      <w:pPr>
        <w:spacing w:after="0" w:line="76" w:lineRule="exact"/>
        <w:rPr>
          <w:sz w:val="20"/>
          <w:szCs w:val="20"/>
          <w:color w:val="auto"/>
        </w:rPr>
      </w:pPr>
    </w:p>
    <w:p>
      <w:pPr>
        <w:ind w:right="660" w:firstLine="364"/>
        <w:spacing w:after="0" w:line="277" w:lineRule="auto"/>
        <w:rPr>
          <w:sz w:val="20"/>
          <w:szCs w:val="20"/>
          <w:color w:val="auto"/>
        </w:rPr>
      </w:pPr>
      <w:r>
        <w:rPr>
          <w:rFonts w:ascii="Arial" w:cs="Arial" w:eastAsia="Arial" w:hAnsi="Arial"/>
          <w:sz w:val="18"/>
          <w:szCs w:val="18"/>
          <w:color w:val="auto"/>
        </w:rPr>
        <w:t>Distributions from the Company’s U.S. subsidiaries to its U.K. intermediate holding company, James River UK, are generally subject to a 5% dividend withholding tax. No distributions occurred in 2022, 2021 or 2020.</w:t>
      </w:r>
    </w:p>
    <w:p>
      <w:pPr>
        <w:spacing w:after="0" w:line="62" w:lineRule="exact"/>
        <w:rPr>
          <w:sz w:val="20"/>
          <w:szCs w:val="20"/>
          <w:color w:val="auto"/>
        </w:rPr>
      </w:pPr>
    </w:p>
    <w:p>
      <w:pPr>
        <w:jc w:val="both"/>
        <w:ind w:right="380" w:firstLine="364"/>
        <w:spacing w:after="0" w:line="311" w:lineRule="auto"/>
        <w:rPr>
          <w:sz w:val="20"/>
          <w:szCs w:val="20"/>
          <w:color w:val="auto"/>
        </w:rPr>
      </w:pPr>
      <w:r>
        <w:rPr>
          <w:rFonts w:ascii="Arial" w:cs="Arial" w:eastAsia="Arial" w:hAnsi="Arial"/>
          <w:sz w:val="16"/>
          <w:szCs w:val="16"/>
          <w:color w:val="auto"/>
        </w:rPr>
        <w:t>The Company’s U.S. subsidiaries are subject to federal, state and local corporate income taxes, and other taxes applicable to U.S. corporations. In addition, Carolina Re is subject to Federal income taxes as a result of its irrevocable election to be taxed as a U.S. domestic corporation under Section 953(d) of the Code. The Company’s U.S.-domiciled subsidiaries and Carolina Re file a consolidated U.S. federal income tax return.</w:t>
      </w:r>
    </w:p>
    <w:p>
      <w:pPr>
        <w:spacing w:after="0" w:line="41" w:lineRule="exact"/>
        <w:rPr>
          <w:sz w:val="20"/>
          <w:szCs w:val="20"/>
          <w:color w:val="auto"/>
        </w:rPr>
      </w:pPr>
    </w:p>
    <w:p>
      <w:pPr>
        <w:jc w:val="both"/>
        <w:ind w:right="360" w:firstLine="324"/>
        <w:spacing w:after="0" w:line="277" w:lineRule="auto"/>
        <w:rPr>
          <w:sz w:val="20"/>
          <w:szCs w:val="20"/>
          <w:color w:val="auto"/>
        </w:rPr>
      </w:pPr>
      <w:r>
        <w:rPr>
          <w:rFonts w:ascii="Arial" w:cs="Arial" w:eastAsia="Arial" w:hAnsi="Arial"/>
          <w:sz w:val="18"/>
          <w:szCs w:val="18"/>
          <w:color w:val="auto"/>
        </w:rPr>
        <w:t>The Company’s U.S.-based subsidiaries are generally no longer subject to income tax examination by U.S. income tax authorities for the tax years ending before January 1, 2019.</w:t>
      </w:r>
    </w:p>
    <w:p>
      <w:pPr>
        <w:spacing w:after="0" w:line="62" w:lineRule="exact"/>
        <w:rPr>
          <w:sz w:val="20"/>
          <w:szCs w:val="20"/>
          <w:color w:val="auto"/>
        </w:rPr>
      </w:pPr>
    </w:p>
    <w:p>
      <w:pPr>
        <w:ind w:right="200" w:firstLine="364"/>
        <w:spacing w:after="0" w:line="257" w:lineRule="auto"/>
        <w:rPr>
          <w:sz w:val="20"/>
          <w:szCs w:val="20"/>
          <w:color w:val="auto"/>
        </w:rPr>
      </w:pPr>
      <w:r>
        <w:rPr>
          <w:rFonts w:ascii="Arial" w:cs="Arial" w:eastAsia="Arial" w:hAnsi="Arial"/>
          <w:sz w:val="18"/>
          <w:szCs w:val="18"/>
          <w:color w:val="auto"/>
        </w:rPr>
        <w:t>During 2018, the IRS published factors that allowed the Company to adjust its current and deferred tax liabilities based on the provisions of the Tax Act. The Tax Act has specific transition provisions associated with reserve discounting. The initial impact of the proposed regulations in 2018 was an increase to our deferred tax asset for the additional discount as of December 31, 2017 of $8.8 million offset by an increase to our deferred tax liability of $8.8 million representing the 8 year transition provision required by the Tax Act. During 2018, $1.1 million of this transition provision was recognized in our current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6" w:name="page157"/>
    <w:bookmarkEnd w:id="15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provision and adjusted out of our deferred tax liability. The regulations were finalized in 2019, and the remaining reserve adjustment at December 31, 2019 based on these final regulations was $5.7 million to be recognized over the six years 2020 - 2025 at $950,000 per year.</w:t>
      </w:r>
    </w:p>
    <w:p>
      <w:pPr>
        <w:spacing w:after="0" w:line="62" w:lineRule="exact"/>
        <w:rPr>
          <w:sz w:val="20"/>
          <w:szCs w:val="20"/>
          <w:color w:val="auto"/>
        </w:rPr>
      </w:pPr>
    </w:p>
    <w:p>
      <w:pPr>
        <w:ind w:firstLine="364"/>
        <w:spacing w:after="0" w:line="269" w:lineRule="auto"/>
        <w:rPr>
          <w:sz w:val="20"/>
          <w:szCs w:val="20"/>
          <w:color w:val="auto"/>
        </w:rPr>
      </w:pPr>
      <w:r>
        <w:rPr>
          <w:rFonts w:ascii="Arial" w:cs="Arial" w:eastAsia="Arial" w:hAnsi="Arial"/>
          <w:sz w:val="17"/>
          <w:szCs w:val="17"/>
          <w:color w:val="auto"/>
        </w:rPr>
        <w:t>The expected income tax provision computed from pre-tax income at the weighted-average tax rate has been calculated as the sum of the pre-tax income in each jurisdiction multiplied by that jurisdiction’s applicable Federal statutory tax rate. Federal statutory tax rates of 0% and 21% have been used in 2022, 2021 and 2020 for Bermuda and the U.S., respectively. The U.S. income (loss) before Federal income taxes was $85.9 million, $(89.3) million, and $25.1 million for the years ending December 31, 2022, 2021, and 2020, respectively. The Tax Act base-erosion and anti-abuse tax (“BEAT”) provisions impose a minimum tax on applicable taxpayers that make certain payments to related foreign persons. BEAT subjects the modified taxable income of an applicable taxpayer to a specified tax rate (10% in 2022). Modified taxable income is generally calculated by adding back certain payments to related foreign persons to regular taxable income. For the Company, reinsurance premiums paid by the Company’s U.S. insurance subsidiaries to JRG Re, a Bermuda entity that is not a U.S. taxpayer, are added back to regular taxable income in applying the BEAT provisions. A reconciliation of the difference between the Company’s Federal income tax provision on U.S. income and the expected Federal tax provision on U.S. income using the weighted-average tax rate as well as a reconciliation to total tax expense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13"/>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Federal income tax expense (benefit) at applicable statutory rates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5,272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Tax-exempt 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Dividends received deduction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expense (benefits) on share 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Provision to return and amended tax returns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Erosion and Anti-Abuse Tax</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expense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U.S. state income tax expense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300" w:firstLine="364"/>
        <w:spacing w:after="0" w:line="277" w:lineRule="auto"/>
        <w:rPr>
          <w:sz w:val="20"/>
          <w:szCs w:val="20"/>
          <w:color w:val="auto"/>
        </w:rPr>
      </w:pPr>
      <w:r>
        <w:rPr>
          <w:rFonts w:ascii="Arial" w:cs="Arial" w:eastAsia="Arial" w:hAnsi="Arial"/>
          <w:sz w:val="18"/>
          <w:szCs w:val="18"/>
          <w:color w:val="auto"/>
        </w:rPr>
        <w:t>The significant components of net deferred tax assets at the corporate income tax rate of 21% for the years ended December 31, 2022 and 2021 are summarized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6"/>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182"/>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Accrued compensation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2,604</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18,016</w:t>
            </w: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10,675</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Allowance for credit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15,221</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57,770</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7,289</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4,494</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r>
      <w:tr>
        <w:trPr>
          <w:trHeight w:val="230"/>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31,340</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26,430</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firstLine="364"/>
        <w:spacing w:after="0" w:line="259" w:lineRule="auto"/>
        <w:rPr>
          <w:sz w:val="20"/>
          <w:szCs w:val="20"/>
          <w:color w:val="auto"/>
        </w:rPr>
      </w:pPr>
      <w:r>
        <w:rPr>
          <w:rFonts w:ascii="Arial" w:cs="Arial" w:eastAsia="Arial" w:hAnsi="Arial"/>
          <w:sz w:val="18"/>
          <w:szCs w:val="18"/>
          <w:color w:val="auto"/>
        </w:rPr>
        <w:t>Deferred income taxes have not been accrued with respect to certain undistributed earnings of foreign subsidiaries. If the earnings were to be distributed, as dividends or otherwise, such amounts may be subject to withholding taxation in the jurisdiction of the paying entity. The Company asserts that U.S. unremitted earnings as of December 31, 2022 will be permanently reinvested in the U.S. and, accordingly, no provision for withholding taxes arising in respect to U.S. unremitted earnings has been made.</w:t>
      </w:r>
    </w:p>
    <w:p>
      <w:pPr>
        <w:spacing w:after="0" w:line="79" w:lineRule="exact"/>
        <w:rPr>
          <w:sz w:val="20"/>
          <w:szCs w:val="20"/>
          <w:color w:val="auto"/>
        </w:rPr>
      </w:pPr>
    </w:p>
    <w:p>
      <w:pPr>
        <w:ind w:right="140" w:firstLine="364"/>
        <w:spacing w:after="0" w:line="286" w:lineRule="auto"/>
        <w:rPr>
          <w:sz w:val="20"/>
          <w:szCs w:val="20"/>
          <w:color w:val="auto"/>
        </w:rPr>
      </w:pPr>
      <w:r>
        <w:rPr>
          <w:rFonts w:ascii="Arial" w:cs="Arial" w:eastAsia="Arial" w:hAnsi="Arial"/>
          <w:sz w:val="17"/>
          <w:szCs w:val="17"/>
          <w:color w:val="auto"/>
        </w:rPr>
        <w:t>The Company is considered a mixed company for net operating loss carryforward rules. A 20-year carryforward without an annual income limitation is applicable for insurance companies. The carryforward period for non-insurance companies is unlimited but limited to 80% of the current year taxable income. If all taxable income were classified as insurance income, the net operating loss would expire in 2041.</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had no reserve for future tax contingencies or liabilities (“unrecognized tax benefits”) at December 31, 2022 or 2021.</w:t>
      </w:r>
    </w:p>
    <w:p>
      <w:pPr>
        <w:spacing w:after="0" w:line="117" w:lineRule="exact"/>
        <w:rPr>
          <w:sz w:val="20"/>
          <w:szCs w:val="20"/>
          <w:color w:val="auto"/>
        </w:rPr>
      </w:pPr>
    </w:p>
    <w:p>
      <w:pPr>
        <w:ind w:right="100" w:firstLine="364"/>
        <w:spacing w:after="0" w:line="273" w:lineRule="auto"/>
        <w:rPr>
          <w:sz w:val="20"/>
          <w:szCs w:val="20"/>
          <w:color w:val="auto"/>
        </w:rPr>
      </w:pPr>
      <w:r>
        <w:rPr>
          <w:rFonts w:ascii="Arial" w:cs="Arial" w:eastAsia="Arial" w:hAnsi="Arial"/>
          <w:sz w:val="17"/>
          <w:szCs w:val="17"/>
          <w:color w:val="auto"/>
        </w:rPr>
        <w:t>The U.S. imposes a 1% excise tax on reinsurance premiums paid to non-U.S. reinsurers with respect to risks located in the U.S. The rates of tax are established based on the nature of the risk, unless reduced by an applicable U.S. tax treaty. For the years ended December 31, 2022, 2021, and 2020, the Company paid $0, $338,000, and $468,000, respectively, of federal excise taxes on its intercompany reinsurance transactions. The Company also paid excise taxes of $842,000, $1.5 million, and $1.2 million for the years ended December 31, 2022, 2021, and 2020, respectively, on written premiums assumed from third-party insurers with respect to risks located in the U.S. These excise taxes are reflected as “other operating expenses” in the Company’s consolidated Statements of Income (Loss)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317" w:lineRule="exact"/>
        <w:rPr>
          <w:sz w:val="20"/>
          <w:szCs w:val="20"/>
          <w:color w:val="auto"/>
        </w:rPr>
      </w:pPr>
    </w:p>
    <w:p>
      <w:pPr>
        <w:jc w:val="right"/>
        <w:ind w:right="7180"/>
        <w:spacing w:after="0"/>
        <w:tabs>
          <w:tab w:leader="none" w:pos="108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Other Operating Expenses and Other Expenses</w:t>
      </w:r>
    </w:p>
    <w:p>
      <w:pPr>
        <w:spacing w:after="0" w:line="121" w:lineRule="exact"/>
        <w:rPr>
          <w:sz w:val="20"/>
          <w:szCs w:val="20"/>
          <w:color w:val="auto"/>
        </w:rPr>
      </w:pPr>
    </w:p>
    <w:p>
      <w:pPr>
        <w:jc w:val="right"/>
        <w:ind w:right="7240"/>
        <w:spacing w:after="0"/>
        <w:rPr>
          <w:sz w:val="20"/>
          <w:szCs w:val="20"/>
          <w:color w:val="auto"/>
        </w:rPr>
      </w:pPr>
      <w:r>
        <w:rPr>
          <w:rFonts w:ascii="Arial" w:cs="Arial" w:eastAsia="Arial" w:hAnsi="Arial"/>
          <w:sz w:val="18"/>
          <w:szCs w:val="18"/>
          <w:color w:val="auto"/>
        </w:rPr>
        <w:t>Other operating expenses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2"/>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Other underwriting expenses of the insurance segments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60,502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165,498</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firstLine="364"/>
        <w:spacing w:after="0" w:line="259" w:lineRule="auto"/>
        <w:rPr>
          <w:sz w:val="20"/>
          <w:szCs w:val="20"/>
          <w:color w:val="auto"/>
        </w:rPr>
      </w:pPr>
      <w:r>
        <w:rPr>
          <w:rFonts w:ascii="Arial" w:cs="Arial" w:eastAsia="Arial" w:hAnsi="Arial"/>
          <w:sz w:val="18"/>
          <w:szCs w:val="18"/>
          <w:color w:val="auto"/>
        </w:rPr>
        <w:t>Other expenses of $6.0 million, $2.6 million, and $2.1 million for the years ended December 31, 2022, 2021, and 2020, respectively, primarily consist of certain nonoperating expenses including legal fees related to a purported class action lawsuit, legal and other professional fees related to the Company's May 2021 common share offering, legal and other professional fees and other expenses related to various strategic initiatives including loss portfolio transfers accounted for as retroactive reinsurance, and employee severance costs.</w:t>
      </w:r>
    </w:p>
    <w:p>
      <w:pPr>
        <w:spacing w:after="0" w:line="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Employee Benefits</w:t>
      </w:r>
    </w:p>
    <w:p>
      <w:pPr>
        <w:spacing w:after="0" w:line="121" w:lineRule="exact"/>
        <w:rPr>
          <w:sz w:val="20"/>
          <w:szCs w:val="20"/>
          <w:color w:val="auto"/>
        </w:rPr>
      </w:pPr>
    </w:p>
    <w:p>
      <w:pPr>
        <w:ind w:right="120" w:firstLine="364"/>
        <w:spacing w:after="0" w:line="257" w:lineRule="auto"/>
        <w:rPr>
          <w:sz w:val="20"/>
          <w:szCs w:val="20"/>
          <w:color w:val="auto"/>
        </w:rPr>
      </w:pPr>
      <w:r>
        <w:rPr>
          <w:rFonts w:ascii="Arial" w:cs="Arial" w:eastAsia="Arial" w:hAnsi="Arial"/>
          <w:sz w:val="18"/>
          <w:szCs w:val="18"/>
          <w:color w:val="auto"/>
        </w:rPr>
        <w:t>The Company and its subsidiaries offer savings plans (the “Savings Plans”) which qualify under Section 401(k) of the U.S. Internal Revenue Code. Participants may contribute certain percentages of their pre-tax salary to the Savings Plans subject to statutory limitations. The Company and its subsidiaries match employee contributions at various rates up to a maximum contribution of 6.0% of the participant’s earnings subject to certain statutory limits. For the years ended December 31, 2022, 2021, and 2020, the expense associated with the Savings Plans totaled $3.5 million, $3.4 million, and $3.5 million, respectively.</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Commitments and Contingent Liabilities</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is involved in various legal proceedings, including commercial matters and litigation regarding insurance claims arising in the ordinary course of business as well as an alleged class action lawsuit.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its consolidated financial position, results of operations or cash flows.</w:t>
      </w:r>
    </w:p>
    <w:p>
      <w:pPr>
        <w:spacing w:after="0" w:line="80"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w:t>
      </w:r>
    </w:p>
    <w:p>
      <w:pPr>
        <w:spacing w:after="0" w:line="3" w:lineRule="exact"/>
        <w:rPr>
          <w:sz w:val="20"/>
          <w:szCs w:val="20"/>
          <w:color w:val="auto"/>
        </w:rPr>
      </w:pPr>
    </w:p>
    <w:p>
      <w:pPr>
        <w:ind w:right="300"/>
        <w:spacing w:after="0" w:line="308" w:lineRule="auto"/>
        <w:rPr>
          <w:sz w:val="20"/>
          <w:szCs w:val="20"/>
          <w:color w:val="auto"/>
        </w:rPr>
      </w:pPr>
      <w:r>
        <w:rPr>
          <w:rFonts w:ascii="Arial" w:cs="Arial" w:eastAsia="Arial" w:hAnsi="Arial"/>
          <w:sz w:val="16"/>
          <w:szCs w:val="16"/>
          <w:color w:val="auto"/>
        </w:rPr>
        <w:t>2022. On August 25, 2022, Plaintiffs filed a motion for leave to file a second amended class action complaint (the "Second Amended Complaint"). On September 8, 2022, the Defendants consented to the Plaintiffs’ motion to file the Second Amended Complaint, and filed a motion to dismiss the Second</w:t>
      </w:r>
    </w:p>
    <w:p>
      <w:pPr>
        <w:spacing w:after="0"/>
        <w:rPr>
          <w:sz w:val="20"/>
          <w:szCs w:val="20"/>
          <w:color w:val="auto"/>
        </w:rPr>
      </w:pPr>
      <w:r>
        <w:rPr>
          <w:rFonts w:ascii="Arial" w:cs="Arial" w:eastAsia="Arial" w:hAnsi="Arial"/>
          <w:sz w:val="17"/>
          <w:szCs w:val="17"/>
          <w:color w:val="auto"/>
        </w:rPr>
        <w:t>Amended Complaint on October 24, 2022 (the "Second MTD"). The Plaintiffs’ opposition to the Second MTD was filed on November 7, 2022, and the</w:t>
      </w:r>
    </w:p>
    <w:p>
      <w:pPr>
        <w:spacing w:after="0" w:line="6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Defendant's reply to the Plaintiffs’ opposition was filed on November 14, 2022. The First Amended Complaint and Second Amended Complaint assert claims under Sections 10(b) and 20(a) of the Securities Exchange Act of 1934 on behalf of a putative class of persons and entities that purchased the Company's stock between February 22, 2019 and October 25, 2021, allege that Defendants failed to make appropriate disclosures concerning the adequacy of reserves for policies that covered Rasier LLC, a subsidiary of Uber Technologies, Inc., and seek unspecified damages, costs, attorneys’ fees and such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other relief as the court may deem proper. We believe that the Plaintiffs’ claims are without merit, and we intend to vigorously defend this lawsuit.</w:t>
      </w:r>
    </w:p>
    <w:p>
      <w:pPr>
        <w:spacing w:after="0" w:line="1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a description of the potential future impacts of COVID-19 on the Company, see the “The global coronavirus outbreak could harm business and results of operations of the Company” risk factor in Part I—Item IA in this Annual Report.</w:t>
      </w:r>
    </w:p>
    <w:p>
      <w:pPr>
        <w:spacing w:after="0" w:line="62" w:lineRule="exact"/>
        <w:rPr>
          <w:sz w:val="20"/>
          <w:szCs w:val="20"/>
          <w:color w:val="auto"/>
        </w:rPr>
      </w:pPr>
    </w:p>
    <w:p>
      <w:pPr>
        <w:ind w:right="700" w:firstLine="364"/>
        <w:spacing w:after="0" w:line="277" w:lineRule="auto"/>
        <w:rPr>
          <w:sz w:val="20"/>
          <w:szCs w:val="20"/>
          <w:color w:val="auto"/>
        </w:rPr>
      </w:pPr>
      <w:r>
        <w:rPr>
          <w:rFonts w:ascii="Arial" w:cs="Arial" w:eastAsia="Arial" w:hAnsi="Arial"/>
          <w:sz w:val="18"/>
          <w:szCs w:val="18"/>
          <w:color w:val="auto"/>
        </w:rPr>
        <w:t>The Company’s reinsurance subsidiary, JRG Re, entered into three letter of credit facilities with banks as security to third-party reinsureds on reinsurance assumed by JRG Re. JRG Re has established custodial accounts to secure these letters of credit.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a $30.0 million facility, $4.8 million of letters of credit were issued through December 31, 2022 which were secured by deposits of $5.6 million. Under the 2013 Facility, $44.5 million of letters of credit were issued through December 31, 2022 which were secured by deposits of $52.9 million. Under the 2017 Facility, $22.9 million of letters of credit were issued through December 31, 2022 which were secured by deposits of $33.1 million. JRG Re has also established trust accounts to secure its obligations to selected reinsureds. The total amount deposited in the trust accounts for the benefit of third-party reinsureds was $427.2 million at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7" w:lineRule="exact"/>
        <w:rPr>
          <w:sz w:val="20"/>
          <w:szCs w:val="20"/>
          <w:color w:val="auto"/>
        </w:rPr>
      </w:pPr>
    </w:p>
    <w:p>
      <w:pPr>
        <w:ind w:right="60" w:firstLine="364"/>
        <w:spacing w:after="0" w:line="269" w:lineRule="auto"/>
        <w:rPr>
          <w:sz w:val="20"/>
          <w:szCs w:val="20"/>
          <w:color w:val="auto"/>
        </w:rPr>
      </w:pPr>
      <w:r>
        <w:rPr>
          <w:rFonts w:ascii="Arial" w:cs="Arial" w:eastAsia="Arial" w:hAnsi="Arial"/>
          <w:sz w:val="17"/>
          <w:szCs w:val="17"/>
          <w:color w:val="auto"/>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For the year ended December 31, 2022, due to adverse paid loss trends on the legacy Rasier business, the Company recognized adverse prior year development of $46.7 million on the reserves subject to the Commercial Auto LPT, bringing the cumulative amount ceded under the Commercial Auto LPT to $391.8 million at December 31, 2022.</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Commercial Auto LPT:</w:t>
      </w:r>
    </w:p>
    <w:p>
      <w:pPr>
        <w:spacing w:after="0" w:line="117" w:lineRule="exact"/>
        <w:rPr>
          <w:sz w:val="20"/>
          <w:szCs w:val="20"/>
          <w:color w:val="auto"/>
        </w:rPr>
      </w:pPr>
    </w:p>
    <w:p>
      <w:pPr>
        <w:ind w:right="80" w:firstLine="372"/>
        <w:spacing w:after="0" w:line="271" w:lineRule="auto"/>
        <w:tabs>
          <w:tab w:leader="none" w:pos="6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2022, the balance in the Indemnity Trust was $267.0 million, and, together with the balance of the Loss Fund Trust (as defined below) attributable to the Indemnity Agreements as described below, the total balance of collateral securing Rasier’s obligations under the Indemnity Agreements was $336.2 million.</w:t>
      </w:r>
    </w:p>
    <w:p>
      <w:pPr>
        <w:spacing w:after="0" w:line="70" w:lineRule="exact"/>
        <w:rPr>
          <w:rFonts w:ascii="Arial" w:cs="Arial" w:eastAsia="Arial" w:hAnsi="Arial"/>
          <w:sz w:val="17"/>
          <w:szCs w:val="17"/>
          <w:color w:val="auto"/>
        </w:rPr>
      </w:pPr>
    </w:p>
    <w:p>
      <w:pPr>
        <w:ind w:firstLine="372"/>
        <w:spacing w:after="0" w:line="254" w:lineRule="auto"/>
        <w:tabs>
          <w:tab w:leader="none" w:pos="6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December 31, 2022, the balance in the LPT Trust was $121.9 million, and, together with the balance of the Loss Fund Trust (as defined below) attributable to the Commercial Auto LPT as described below, the total balance of collateral securing Aleka’s obligations under the Commercial Auto LPT was $150.0 million. At December 31, 2022, the total reinsurance recoverables under the Commercial Auto LPT was $145.2 million (including $132.0 million of unpaid recoverables and $13.2 million of paid recoverables).</w:t>
      </w:r>
    </w:p>
    <w:p>
      <w:pPr>
        <w:spacing w:after="0" w:line="87" w:lineRule="exact"/>
        <w:rPr>
          <w:sz w:val="20"/>
          <w:szCs w:val="20"/>
          <w:color w:val="auto"/>
        </w:rPr>
      </w:pPr>
    </w:p>
    <w:p>
      <w:pPr>
        <w:ind w:right="60" w:firstLine="364"/>
        <w:spacing w:after="0" w:line="288" w:lineRule="auto"/>
        <w:rPr>
          <w:sz w:val="20"/>
          <w:szCs w:val="20"/>
          <w:color w:val="auto"/>
        </w:rPr>
      </w:pPr>
      <w:r>
        <w:rPr>
          <w:rFonts w:ascii="Arial" w:cs="Arial" w:eastAsia="Arial" w:hAnsi="Arial"/>
          <w:sz w:val="16"/>
          <w:szCs w:val="16"/>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2022, the balance in the Loss Fund Trust was $103.2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w:t>
      </w:r>
    </w:p>
    <w:p>
      <w:pPr>
        <w:spacing w:after="0" w:line="60" w:lineRule="exact"/>
        <w:rPr>
          <w:sz w:val="20"/>
          <w:szCs w:val="20"/>
          <w:color w:val="auto"/>
        </w:rPr>
      </w:pPr>
    </w:p>
    <w:p>
      <w:pPr>
        <w:ind w:right="580" w:firstLine="364"/>
        <w:spacing w:after="0" w:line="277" w:lineRule="auto"/>
        <w:rPr>
          <w:sz w:val="20"/>
          <w:szCs w:val="20"/>
          <w:color w:val="auto"/>
        </w:rPr>
      </w:pPr>
      <w:r>
        <w:rPr>
          <w:rFonts w:ascii="Arial" w:cs="Arial" w:eastAsia="Arial" w:hAnsi="Arial"/>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estimated losses and expenses of the Rasier Commercial Auto Policies grow at a faster pace than the growth in our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credit exposure in any of these instances could be material. To mitigate these risks, the Company closely and frequently monitors exposure compared to collateral held, and requests additional collateral in accordance with the terms of the Commercial Auto LPT and Indemnity Agreements when its analysis indicates that the Company has uncollateralized exposure.</w:t>
      </w:r>
    </w:p>
    <w:p>
      <w:pPr>
        <w:spacing w:after="0" w:line="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Other Comprehensive (Loss) Income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components of other comprehensive (loss)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14"/>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gains arising during the period, before U.S.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58,704</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gains arising during the period, net of U.S.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for investment gains realized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50,785</w:t>
            </w:r>
          </w:p>
        </w:tc>
      </w:tr>
      <w:tr>
        <w:trPr>
          <w:trHeight w:val="21"/>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In addition to the net realized investment gains of $275,000, $4.9 million, and $1.0 million on available-for-sale fixed maturity securities for the years ended December 31, 2022, 2021, and 2020, the Company recognized net realized and unrealized investment (losses) gains in the respective years of $(17.0) million, $5.8 million, and $(15.4) million on its investments in bank loan participations and $(11.4) million, $4.8 million, and $(1.7) million on its investments in equity securities.</w:t>
      </w:r>
    </w:p>
    <w:p>
      <w:pPr>
        <w:spacing w:after="0" w:line="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ind w:right="20" w:firstLine="364"/>
        <w:spacing w:after="0" w:line="291" w:lineRule="auto"/>
        <w:rPr>
          <w:sz w:val="20"/>
          <w:szCs w:val="20"/>
          <w:color w:val="auto"/>
        </w:rPr>
      </w:pPr>
      <w:r>
        <w:rPr>
          <w:rFonts w:ascii="Arial" w:cs="Arial" w:eastAsia="Arial" w:hAnsi="Arial"/>
          <w:sz w:val="16"/>
          <w:szCs w:val="16"/>
          <w:color w:val="auto"/>
        </w:rPr>
        <w:t>The Company has four reportable segments, three of which are separately managed business units and the fourth (“Corporate and Other”) includes the Company’s remaining operations. The Excess and Surplus Lines segment primarily offers commercial excess and surplus lines liability and excess property insurance products. The Specialty Admitted Insurance segment offers specialty admitted fronting and program business and workers’ compensation insurance coverage. The Casualty Reinsurance segment offers commercial liability and non-catastrophe property reinsurance to U.S. insurance companies and to the Company’s U.S.-based insurance subsidiaries. The Corporate and Other segment consists of certain management and treasury activities of James River Group, James River UK, and JRG Holdings as well as interest expense associated with senior debt and Junior Subordinated Debt, and investment income. The accounting policies of the reportable segments are the same as those described in the summary of significant accounting policies.</w:t>
      </w:r>
    </w:p>
    <w:p>
      <w:pPr>
        <w:spacing w:after="0" w:line="58" w:lineRule="exact"/>
        <w:rPr>
          <w:sz w:val="20"/>
          <w:szCs w:val="20"/>
          <w:color w:val="auto"/>
        </w:rPr>
      </w:pPr>
    </w:p>
    <w:p>
      <w:pPr>
        <w:ind w:right="100" w:firstLine="364"/>
        <w:spacing w:after="0" w:line="287" w:lineRule="auto"/>
        <w:rPr>
          <w:sz w:val="20"/>
          <w:szCs w:val="20"/>
          <w:color w:val="auto"/>
        </w:rPr>
      </w:pPr>
      <w:r>
        <w:rPr>
          <w:rFonts w:ascii="Arial" w:cs="Arial" w:eastAsia="Arial" w:hAnsi="Arial"/>
          <w:sz w:val="16"/>
          <w:szCs w:val="16"/>
          <w:color w:val="auto"/>
        </w:rPr>
        <w:t xml:space="preserve">Segment revenues for each reportable segment consist of net earned premiums, net investment income, and realized and unrealized (losses) gains on investments. Segment profit (loss) is measured by underwriting profit (loss), which is generally defined as net earned premiums and gross fee income (in specific instances when the Company is not retaining insurance risk) in “other income” in the condensed consolidated statements of income (loss) and comprehensive (loss) income less loss and loss adjustment expenses on business not subject to retroactive reinsurance accounting for loss portfolio transfers (see </w:t>
      </w:r>
      <w:r>
        <w:rPr>
          <w:rFonts w:ascii="Arial" w:cs="Arial" w:eastAsia="Arial" w:hAnsi="Arial"/>
          <w:sz w:val="16"/>
          <w:szCs w:val="16"/>
          <w:i w:val="1"/>
          <w:iCs w:val="1"/>
          <w:color w:val="auto"/>
        </w:rPr>
        <w:t>Loss Portfolio Transfers</w:t>
      </w:r>
      <w:r>
        <w:rPr>
          <w:rFonts w:ascii="Arial" w:cs="Arial" w:eastAsia="Arial" w:hAnsi="Arial"/>
          <w:sz w:val="16"/>
          <w:szCs w:val="16"/>
          <w:color w:val="auto"/>
        </w:rPr>
        <w:t xml:space="preserve"> in </w:t>
      </w:r>
      <w:r>
        <w:rPr>
          <w:rFonts w:ascii="Arial" w:cs="Arial" w:eastAsia="Arial" w:hAnsi="Arial"/>
          <w:sz w:val="16"/>
          <w:szCs w:val="16"/>
          <w:i w:val="1"/>
          <w:iCs w:val="1"/>
          <w:color w:val="auto"/>
        </w:rPr>
        <w:t>Note 7 - Reserve for Losses and Loss Adjustment Expenses</w:t>
      </w:r>
      <w:r>
        <w:rPr>
          <w:rFonts w:ascii="Arial" w:cs="Arial" w:eastAsia="Arial" w:hAnsi="Arial"/>
          <w:sz w:val="16"/>
          <w:szCs w:val="16"/>
          <w:color w:val="auto"/>
        </w:rPr>
        <w:t>) and other operating expenses of the operating segments. Gross fee income of the Excess and Surplus Lines segment and Specialty Admitted Insurance segment is included in the respective segment’s underwriting profit (loss). Gross fee income of $3.8 million and $4.5 million from the Specialty Admitted Insurance segment for the years ended December 31, 2022 and 2021, respectively, and $3.4 million ($1.6 million from the Excess and Surplus Lines segment and $1.8 million from the Specialty Admitted Insurance segment) for the year ended December 31, 2020, was included in other income and in underwriting profit (loss). Segment results are reported prior to the effects of the intercompany reinsurance agreements between the Company’s insurance and reinsurance subsidiaries. All gross written premiums and net earned premiums for all periods presented were generated from policies issued to U.S. based insureds.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Excess and</w:t>
            </w:r>
          </w:p>
        </w:tc>
        <w:tc>
          <w:tcPr>
            <w:tcW w:w="300" w:type="dxa"/>
            <w:vAlign w:val="bottom"/>
          </w:tcPr>
          <w:p>
            <w:pPr>
              <w:spacing w:after="0"/>
              <w:rPr>
                <w:sz w:val="14"/>
                <w:szCs w:val="14"/>
                <w:color w:val="auto"/>
              </w:rPr>
            </w:pPr>
          </w:p>
        </w:tc>
        <w:tc>
          <w:tcPr>
            <w:tcW w:w="110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Specialty</w:t>
            </w:r>
          </w:p>
        </w:tc>
        <w:tc>
          <w:tcPr>
            <w:tcW w:w="260" w:type="dxa"/>
            <w:vAlign w:val="bottom"/>
          </w:tcPr>
          <w:p>
            <w:pPr>
              <w:spacing w:after="0"/>
              <w:rPr>
                <w:sz w:val="14"/>
                <w:szCs w:val="14"/>
                <w:color w:val="auto"/>
              </w:rPr>
            </w:pPr>
          </w:p>
        </w:tc>
        <w:tc>
          <w:tcPr>
            <w:tcW w:w="118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2"/>
              </w:rPr>
              <w:t>Casualty</w:t>
            </w:r>
          </w:p>
        </w:tc>
        <w:tc>
          <w:tcPr>
            <w:tcW w:w="280" w:type="dxa"/>
            <w:vAlign w:val="bottom"/>
          </w:tcPr>
          <w:p>
            <w:pPr>
              <w:spacing w:after="0"/>
              <w:rPr>
                <w:sz w:val="14"/>
                <w:szCs w:val="14"/>
                <w:color w:val="auto"/>
              </w:rPr>
            </w:pPr>
          </w:p>
        </w:tc>
        <w:tc>
          <w:tcPr>
            <w:tcW w:w="1120" w:type="dxa"/>
            <w:vAlign w:val="bottom"/>
          </w:tcPr>
          <w:p>
            <w:pPr>
              <w:jc w:val="center"/>
              <w:ind w:right="19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5"/>
              </w:rPr>
              <w:t>Admitted</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6"/>
              </w:rPr>
              <w:t>and</w:t>
            </w:r>
          </w:p>
        </w:tc>
        <w:tc>
          <w:tcPr>
            <w:tcW w:w="4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4"/>
              </w:rPr>
              <w:t>Surplus Lines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0"/>
              </w:rPr>
              <w:t>Reinsurance</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As of and for the Year Ended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921,164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490,208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85,208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1,496,580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earned premiums</w:t>
            </w:r>
          </w:p>
        </w:tc>
        <w:tc>
          <w:tcPr>
            <w:tcW w:w="1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555,597</w:t>
            </w:r>
          </w:p>
        </w:tc>
        <w:tc>
          <w:tcPr>
            <w:tcW w:w="3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74,137</w:t>
            </w:r>
          </w:p>
        </w:tc>
        <w:tc>
          <w:tcPr>
            <w:tcW w:w="2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136,427</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570,087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81,593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161,554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28,664</w:t>
            </w:r>
          </w:p>
        </w:tc>
        <w:tc>
          <w:tcPr>
            <w:tcW w:w="3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5,068</w:t>
            </w:r>
          </w:p>
        </w:tc>
        <w:tc>
          <w:tcPr>
            <w:tcW w:w="2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37,334</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3,706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13,872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1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83,051</w:t>
            </w:r>
          </w:p>
        </w:tc>
        <w:tc>
          <w:tcPr>
            <w:tcW w:w="3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4,234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(6,383)</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goodwill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181,831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2,627,956</w:t>
            </w:r>
          </w:p>
        </w:tc>
        <w:tc>
          <w:tcPr>
            <w:tcW w:w="30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1,277,988</w:t>
            </w:r>
          </w:p>
        </w:tc>
        <w:tc>
          <w:tcPr>
            <w:tcW w:w="2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1,137,778</w:t>
            </w:r>
          </w:p>
        </w:tc>
        <w:tc>
          <w:tcPr>
            <w:tcW w:w="2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93,353</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5,137,075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and for the Year Ended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833,657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182,081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earned premiums</w:t>
            </w: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486,000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75,371</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134,223</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508,829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179,354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13,811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3,044</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39,445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Underwriting (loss) profit of operating segments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(121,478)</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(117,526)</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goodwill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181,831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1,997,192</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1,062,125</w:t>
            </w:r>
          </w:p>
        </w:tc>
        <w:tc>
          <w:tcPr>
            <w:tcW w:w="2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1,857,462</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31,771</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4,948,550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As of and for the Year Ended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699,143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408,691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149,166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415,168</w:t>
            </w:r>
          </w:p>
        </w:tc>
        <w:tc>
          <w:tcPr>
            <w:tcW w:w="3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57,505</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134,133</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429,918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62,790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166,837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9,144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18,664</w:t>
            </w:r>
          </w:p>
        </w:tc>
        <w:tc>
          <w:tcPr>
            <w:tcW w:w="3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3,392</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42,554</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8,758</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10,033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9,752</w:t>
            </w:r>
          </w:p>
        </w:tc>
        <w:tc>
          <w:tcPr>
            <w:tcW w:w="3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4,185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(18,364)</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goodwill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181,831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2,208,344</w:t>
            </w:r>
          </w:p>
        </w:tc>
        <w:tc>
          <w:tcPr>
            <w:tcW w:w="3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907,604</w:t>
            </w: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1,899,328</w:t>
            </w:r>
          </w:p>
        </w:tc>
        <w:tc>
          <w:tcPr>
            <w:tcW w:w="2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47,796</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5,063,072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2" w:name="page163"/>
    <w:bookmarkEnd w:id="16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The following table reconciles the underwriting profit (loss) of operating segments by individual segment to consolidated income (loss) before income taxes: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operating segments: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(121,478)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9,752</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(18,364)</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(loss) of operating segments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(16,030)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(2,138)</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64"/>
        <w:spacing w:after="0" w:line="308" w:lineRule="auto"/>
        <w:rPr>
          <w:sz w:val="20"/>
          <w:szCs w:val="20"/>
          <w:color w:val="auto"/>
        </w:rPr>
      </w:pPr>
      <w:r>
        <w:rPr>
          <w:rFonts w:ascii="Arial" w:cs="Arial" w:eastAsia="Arial" w:hAnsi="Arial"/>
          <w:sz w:val="17"/>
          <w:szCs w:val="17"/>
          <w:color w:val="auto"/>
        </w:rPr>
        <w:t>The Company currently has 15 underwriting divisions, including 13 in the Excess and Surplus Lines segment, one in the Specialty Admitted Insurance segment, and one in the Casualty Reinsurance segment. Each underwriting division focuses on a specific industry group or coverage.</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Gross written premiums by segment and underwriting division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5"/>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173,574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140,608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125,433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and Contractors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Excess Property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37,332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51,109</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Commercial Auto</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30,029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Business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Allied Health</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26,918</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Environmental</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17,753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Sports and Entertainment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Professional Liability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Professionals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Excess and Surplus Lines segment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921,164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699,143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 segment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408,691</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 segment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149,166</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1,496,580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1,257,000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-187960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jc w:val="both"/>
        <w:ind w:right="220" w:firstLine="364"/>
        <w:spacing w:after="0" w:line="273" w:lineRule="auto"/>
        <w:rPr>
          <w:sz w:val="20"/>
          <w:szCs w:val="20"/>
          <w:color w:val="auto"/>
        </w:rPr>
      </w:pPr>
      <w:r>
        <w:rPr>
          <w:rFonts w:ascii="Arial" w:cs="Arial" w:eastAsia="Arial" w:hAnsi="Arial"/>
          <w:sz w:val="17"/>
          <w:szCs w:val="17"/>
          <w:color w:val="auto"/>
        </w:rPr>
        <w:t>The Company does business with three brokers that generated $289.7 million, $214.2 million and $139.4 million of gross written premiums for the Excess and Surplus Lines segment for the year ended December 31, 2022, representing 19.4%, 14.3% and 9.3% of consolidated gross written premiums and 31.4%, 23.3% and 15.1% of the Excess and Surplus Lines segment’s gross written premiums, respectively. The Company has agency contracts with various branches within the aforementioned brokers. No other broker generated 10.0% or more of the gross written premiums for the Excess and Surplus Lines segment for the year ended December 31, 2022. No individual insured generated 10.0% or more of the gross written premiums for the Excess and Surplus Lines segment for the year ended December 31, 2022.</w:t>
      </w:r>
    </w:p>
    <w:p>
      <w:pPr>
        <w:spacing w:after="0" w:line="70" w:lineRule="exact"/>
        <w:rPr>
          <w:sz w:val="20"/>
          <w:szCs w:val="20"/>
          <w:color w:val="auto"/>
        </w:rPr>
      </w:pPr>
    </w:p>
    <w:p>
      <w:pPr>
        <w:ind w:firstLine="364"/>
        <w:spacing w:after="0" w:line="296" w:lineRule="auto"/>
        <w:rPr>
          <w:sz w:val="20"/>
          <w:szCs w:val="20"/>
          <w:color w:val="auto"/>
        </w:rPr>
      </w:pPr>
      <w:r>
        <w:rPr>
          <w:rFonts w:ascii="Arial" w:cs="Arial" w:eastAsia="Arial" w:hAnsi="Arial"/>
          <w:sz w:val="16"/>
          <w:szCs w:val="16"/>
          <w:color w:val="auto"/>
        </w:rPr>
        <w:t>The Specialty Admitted Insurance segment accepts applications for insurance from a variety of sources, including independent retail agents, program administrators and managing general agents (“MGAs”). The Company does business with two agencies that generated $120.9 million and $110.9 million of gross written premiums for the Specialty Admitted Insurance segment for the year ended December 31, 2022, representing 8.1% and 7.4% of consolidated gross written premiums and 24.7% and 22.6% of the Specialty Admitted Insurance segment’s gross written premiums, respectively. No other agency generated 10.0% or more of the gross written premiums for the Specialty Admitted Insurance segment for the year ended December 31, 2022.</w:t>
      </w:r>
    </w:p>
    <w:p>
      <w:pPr>
        <w:spacing w:after="0" w:line="53" w:lineRule="exact"/>
        <w:rPr>
          <w:sz w:val="20"/>
          <w:szCs w:val="20"/>
          <w:color w:val="auto"/>
        </w:rPr>
      </w:pPr>
    </w:p>
    <w:p>
      <w:pPr>
        <w:ind w:right="380" w:firstLine="364"/>
        <w:spacing w:after="0" w:line="291" w:lineRule="auto"/>
        <w:rPr>
          <w:sz w:val="20"/>
          <w:szCs w:val="20"/>
          <w:color w:val="auto"/>
        </w:rPr>
      </w:pPr>
      <w:r>
        <w:rPr>
          <w:rFonts w:ascii="Arial" w:cs="Arial" w:eastAsia="Arial" w:hAnsi="Arial"/>
          <w:sz w:val="16"/>
          <w:szCs w:val="16"/>
          <w:color w:val="auto"/>
        </w:rPr>
        <w:t>The Company does business with three brokers that generated $25.4 million, $20.0 million, and $17.2 million of gross written premiums for the Casualty Reinsurance segment for the year ended December 31, 2022, representing 1.7%, 1.3%, and 1.1% of consolidated gross written premiums and</w:t>
      </w:r>
    </w:p>
    <w:p>
      <w:pPr>
        <w:spacing w:after="0" w:line="253" w:lineRule="auto"/>
        <w:rPr>
          <w:sz w:val="20"/>
          <w:szCs w:val="20"/>
          <w:color w:val="auto"/>
        </w:rPr>
      </w:pPr>
      <w:r>
        <w:rPr>
          <w:rFonts w:ascii="Arial" w:cs="Arial" w:eastAsia="Arial" w:hAnsi="Arial"/>
          <w:sz w:val="18"/>
          <w:szCs w:val="18"/>
          <w:color w:val="auto"/>
        </w:rPr>
        <w:t>29.8%, 23.5%, and 20.1% of the Casualty Reinsurance segment’s gross written premiums, respectively. No other broker generated 10.0% or more of the gross written premiums for the Casualty Reinsurance segment for the year ended December 31, 2022. The Casualty Reinsurance segment assumed business from three unaffiliated ceding companies that generated $26.9 million, $24.5 million, and $16.5 million of gross written premiums for the year ended December 31, 2022, representing 1.8%, 1.6%, and 1.1% of consolidated gross written premiums and 31.6%, 28.7%, and 19.4% of the Casualty Reinsurance segment’s gross written premiums, respectively.</w:t>
      </w:r>
    </w:p>
    <w:p>
      <w:pPr>
        <w:spacing w:after="0" w:line="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9" w:lineRule="exact"/>
        <w:rPr>
          <w:sz w:val="20"/>
          <w:szCs w:val="20"/>
          <w:color w:val="auto"/>
        </w:rPr>
      </w:pPr>
    </w:p>
    <w:p>
      <w:pPr>
        <w:ind w:right="460" w:firstLine="36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ind w:right="20" w:firstLine="364"/>
        <w:spacing w:after="0" w:line="254"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8"/>
          <w:szCs w:val="18"/>
          <w:i w:val="1"/>
          <w:iCs w:val="1"/>
          <w:color w:val="auto"/>
        </w:rPr>
        <w:t>e.g.</w:t>
      </w:r>
      <w:r>
        <w:rPr>
          <w:rFonts w:ascii="Arial" w:cs="Arial" w:eastAsia="Arial" w:hAnsi="Arial"/>
          <w:sz w:val="18"/>
          <w:szCs w:val="18"/>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2020.</w:t>
      </w:r>
    </w:p>
    <w:p>
      <w:pPr>
        <w:spacing w:after="0" w:line="84" w:lineRule="exact"/>
        <w:rPr>
          <w:sz w:val="20"/>
          <w:szCs w:val="20"/>
          <w:color w:val="auto"/>
        </w:rPr>
      </w:pPr>
    </w:p>
    <w:p>
      <w:pPr>
        <w:ind w:right="20" w:firstLine="364"/>
        <w:spacing w:after="0" w:line="272" w:lineRule="auto"/>
        <w:rPr>
          <w:sz w:val="20"/>
          <w:szCs w:val="20"/>
          <w:color w:val="auto"/>
        </w:rPr>
      </w:pPr>
      <w:r>
        <w:rPr>
          <w:rFonts w:ascii="Arial" w:cs="Arial" w:eastAsia="Arial" w:hAnsi="Arial"/>
          <w:sz w:val="17"/>
          <w:szCs w:val="17"/>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the investment manager that obtains fair values from independent pricing services.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Assets measured at fair value on a recurring basis as of December 31, 2022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330,852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330,852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670,212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309,015</w:t>
            </w:r>
          </w:p>
        </w:tc>
        <w:tc>
          <w:tcPr>
            <w:tcW w:w="0" w:type="dxa"/>
            <w:vAlign w:val="bottom"/>
          </w:tcPr>
          <w:p>
            <w:pPr>
              <w:spacing w:after="0"/>
              <w:rPr>
                <w:sz w:val="1"/>
                <w:szCs w:val="1"/>
                <w:color w:val="auto"/>
              </w:rPr>
            </w:pPr>
          </w:p>
        </w:tc>
      </w:tr>
      <w:tr>
        <w:trPr>
          <w:trHeight w:val="175"/>
        </w:trPr>
        <w:tc>
          <w:tcPr>
            <w:tcW w:w="5200" w:type="dxa"/>
            <w:vAlign w:val="bottom"/>
          </w:tcPr>
          <w:p>
            <w:pPr>
              <w:ind w:left="180"/>
              <w:spacing w:after="0" w:line="176" w:lineRule="exact"/>
              <w:rPr>
                <w:sz w:val="20"/>
                <w:szCs w:val="20"/>
                <w:color w:val="auto"/>
              </w:rPr>
            </w:pPr>
            <w:r>
              <w:rPr>
                <w:rFonts w:ascii="Arial" w:cs="Arial" w:eastAsia="Arial" w:hAnsi="Arial"/>
                <w:sz w:val="18"/>
                <w:szCs w:val="18"/>
                <w:color w:val="auto"/>
                <w:w w:val="98"/>
              </w:rPr>
              <w:t>U.S. Treasury securities and obligations guaranteed by the U.S.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72,089</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71,770</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1,711,647</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1,783,417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118,627</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Bank loan participations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154,991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154,991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60" w:type="dxa"/>
            <w:vAlign w:val="bottom"/>
            <w:gridSpan w:val="7"/>
          </w:tcPr>
          <w:p>
            <w:pPr>
              <w:ind w:left="380"/>
              <w:spacing w:after="0"/>
              <w:rPr>
                <w:sz w:val="20"/>
                <w:szCs w:val="20"/>
                <w:color w:val="auto"/>
              </w:rPr>
            </w:pPr>
            <w:r>
              <w:rPr>
                <w:rFonts w:ascii="Arial" w:cs="Arial" w:eastAsia="Arial" w:hAnsi="Arial"/>
                <w:sz w:val="18"/>
                <w:szCs w:val="18"/>
                <w:color w:val="auto"/>
                <w:w w:val="98"/>
              </w:rPr>
              <w:t>Assets measured at fair value on a recurring basis as of December 31, 2021 are summarized below:</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Using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1015"/>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333,717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333,717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732,335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w w:val="99"/>
              </w:rPr>
              <w:t>U.S. Treasury securities and obligations guaranteed by the U.S.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0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60,390</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Bank loan participations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156,043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156,043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F-52</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280" w:firstLine="364"/>
        <w:spacing w:after="0" w:line="277"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2"/>
        </w:trPr>
        <w:tc>
          <w:tcPr>
            <w:tcW w:w="7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Transfers in to Level 3</w:t>
            </w: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Purchases</w:t>
            </w: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Maturities, calls and paydowns</w:t>
            </w: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Included in earnings</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Included in other comprehensive income</w:t>
            </w: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-1782445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held one equity security at December 31, 2022 for which the fair value was determined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$17,000 for the equity security was obtained from our asset manager and was derived from an internal model.</w:t>
      </w:r>
    </w:p>
    <w:p>
      <w:pPr>
        <w:spacing w:after="0" w:line="103" w:lineRule="exact"/>
        <w:rPr>
          <w:sz w:val="20"/>
          <w:szCs w:val="20"/>
          <w:color w:val="auto"/>
        </w:rPr>
      </w:pPr>
    </w:p>
    <w:p>
      <w:pPr>
        <w:ind w:right="20" w:firstLine="364"/>
        <w:spacing w:after="0" w:line="259" w:lineRule="auto"/>
        <w:rPr>
          <w:sz w:val="20"/>
          <w:szCs w:val="20"/>
          <w:color w:val="auto"/>
        </w:rPr>
      </w:pPr>
      <w:r>
        <w:rPr>
          <w:rFonts w:ascii="Arial" w:cs="Arial" w:eastAsia="Arial" w:hAnsi="Arial"/>
          <w:sz w:val="18"/>
          <w:szCs w:val="18"/>
          <w:color w:val="auto"/>
        </w:rPr>
        <w:t>The Company held one equity security at December 31, 2021 for which the fair value was determined using significant unobservable inputs (Level 3). The fair value of $102,000 for the equity security was based on expected proceeds from its sale. During 2021, one equity security was transferred from Level 2 to Level 3 as the security was no longer actively traded. This security was exchanged for an equity security that is publicly traded and it was transferred from Level 3 to Level 1.</w:t>
      </w:r>
    </w:p>
    <w:p>
      <w:pPr>
        <w:spacing w:after="0" w:line="79" w:lineRule="exact"/>
        <w:rPr>
          <w:sz w:val="20"/>
          <w:szCs w:val="20"/>
          <w:color w:val="auto"/>
        </w:rPr>
      </w:pPr>
    </w:p>
    <w:p>
      <w:pPr>
        <w:ind w:right="420" w:firstLine="364"/>
        <w:spacing w:after="0" w:line="259" w:lineRule="auto"/>
        <w:rPr>
          <w:sz w:val="20"/>
          <w:szCs w:val="20"/>
          <w:color w:val="auto"/>
        </w:rPr>
      </w:pPr>
      <w:r>
        <w:rPr>
          <w:rFonts w:ascii="Arial" w:cs="Arial" w:eastAsia="Arial" w:hAnsi="Arial"/>
          <w:sz w:val="18"/>
          <w:szCs w:val="18"/>
          <w:color w:val="auto"/>
        </w:rPr>
        <w:t>The Company held one bank loan participation and two equity securities at December 31, 2020 for which the fair value was determined using significant unobservable inputs (Level 3). A market approach using prices in trades of comparable securities was utilized to determine a fair value of $980,000 at December 31, 2020. During 2020, the Company was able to obtain a quoted price from a vendor for two bank loan participations and one equity security and transferred them to Level 2.</w:t>
      </w:r>
    </w:p>
    <w:p>
      <w:pPr>
        <w:spacing w:after="0" w:line="79" w:lineRule="exact"/>
        <w:rPr>
          <w:sz w:val="20"/>
          <w:szCs w:val="20"/>
          <w:color w:val="auto"/>
        </w:rPr>
      </w:pPr>
    </w:p>
    <w:p>
      <w:pPr>
        <w:jc w:val="both"/>
        <w:ind w:right="20" w:firstLine="364"/>
        <w:spacing w:after="0" w:line="263"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which the Company was previously unable to obtain reliable prices. Transfers in to Level 3 occur when the Company is unable to obtain reliable prices for securities from pricing vendors and instead must use broker price quotes.</w:t>
      </w:r>
    </w:p>
    <w:p>
      <w:pPr>
        <w:spacing w:after="0" w:line="76"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There were no transfers between Level 1 and Level 2 during 2022, 2021 or 2020. The Company recognizes transfers between levels at the beginning of the reporting period.</w:t>
      </w:r>
    </w:p>
    <w:p>
      <w:pPr>
        <w:spacing w:after="0" w:line="62" w:lineRule="exact"/>
        <w:rPr>
          <w:sz w:val="20"/>
          <w:szCs w:val="20"/>
          <w:color w:val="auto"/>
        </w:rPr>
      </w:pPr>
    </w:p>
    <w:p>
      <w:pPr>
        <w:ind w:right="180" w:firstLine="364"/>
        <w:spacing w:after="0" w:line="293" w:lineRule="auto"/>
        <w:rPr>
          <w:sz w:val="20"/>
          <w:szCs w:val="20"/>
          <w:color w:val="auto"/>
        </w:rPr>
      </w:pPr>
      <w:r>
        <w:rPr>
          <w:rFonts w:ascii="Arial" w:cs="Arial" w:eastAsia="Arial" w:hAnsi="Arial"/>
          <w:sz w:val="16"/>
          <w:szCs w:val="16"/>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56" w:lineRule="exact"/>
        <w:rPr>
          <w:sz w:val="20"/>
          <w:szCs w:val="20"/>
          <w:color w:val="auto"/>
        </w:rPr>
      </w:pPr>
    </w:p>
    <w:p>
      <w:pPr>
        <w:ind w:right="340" w:firstLine="364"/>
        <w:spacing w:after="0" w:line="293"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investments for which external sources were unavailable to determine fair value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3"/>
          </w:tcPr>
          <w:p>
            <w:pPr>
              <w:ind w:left="64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r>
      <w:tr>
        <w:trPr>
          <w:trHeight w:val="139"/>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35"/>
              <w:spacing w:after="0" w:line="139" w:lineRule="exact"/>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1020" w:type="dxa"/>
            <w:vAlign w:val="bottom"/>
          </w:tcPr>
          <w:p>
            <w:pPr>
              <w:jc w:val="center"/>
              <w:ind w:right="236"/>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ind w:right="315"/>
              <w:spacing w:after="0" w:line="139" w:lineRule="exact"/>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2"/>
                <w:szCs w:val="12"/>
                <w:color w:val="auto"/>
              </w:rPr>
            </w:pPr>
          </w:p>
        </w:tc>
        <w:tc>
          <w:tcPr>
            <w:tcW w:w="1020" w:type="dxa"/>
            <w:vAlign w:val="bottom"/>
          </w:tcPr>
          <w:p>
            <w:pPr>
              <w:jc w:val="right"/>
              <w:ind w:right="433"/>
              <w:spacing w:after="0" w:line="139" w:lineRule="exact"/>
              <w:rPr>
                <w:sz w:val="20"/>
                <w:szCs w:val="20"/>
                <w:color w:val="auto"/>
              </w:rPr>
            </w:pPr>
            <w:r>
              <w:rPr>
                <w:rFonts w:ascii="Arial" w:cs="Arial" w:eastAsia="Arial" w:hAnsi="Arial"/>
                <w:sz w:val="14"/>
                <w:szCs w:val="14"/>
                <w:b w:val="1"/>
                <w:bCs w:val="1"/>
                <w:color w:val="auto"/>
              </w:rPr>
              <w:t>Fair</w:t>
            </w:r>
          </w:p>
        </w:tc>
      </w:t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Value</w:t>
            </w:r>
          </w:p>
        </w:tc>
      </w:tr>
      <w:tr>
        <w:trPr>
          <w:trHeight w:val="182"/>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3"/>
          </w:tcPr>
          <w:p>
            <w:pPr>
              <w:ind w:left="620"/>
              <w:spacing w:after="0"/>
              <w:rPr>
                <w:sz w:val="20"/>
                <w:szCs w:val="20"/>
                <w:color w:val="auto"/>
              </w:rPr>
            </w:pPr>
            <w:r>
              <w:rPr>
                <w:rFonts w:ascii="Arial" w:cs="Arial" w:eastAsia="Arial" w:hAnsi="Arial"/>
                <w:sz w:val="14"/>
                <w:szCs w:val="14"/>
                <w:b w:val="1"/>
                <w:bCs w:val="1"/>
                <w:i w:val="1"/>
                <w:iCs w:val="1"/>
                <w:color w:val="auto"/>
                <w:w w:val="89"/>
              </w:rPr>
              <w:t>(in thousands)</w:t>
            </w: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1,783,417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1,783,417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1,677,561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1,677,561</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118,627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108,410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108,410</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154,991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156,043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156,043</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173,164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190,123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190,123</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103,215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102,005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102,005</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107,812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136,563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136,563</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7,205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9,740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11,921</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222,300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226,063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262,300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252,213</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104,055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104,055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106,635</w:t>
            </w:r>
          </w:p>
        </w:tc>
      </w:tr>
    </w:tbl>
    <w:p>
      <w:pPr>
        <w:spacing w:after="0" w:line="188" w:lineRule="exact"/>
        <w:rPr>
          <w:sz w:val="20"/>
          <w:szCs w:val="20"/>
          <w:color w:val="auto"/>
        </w:rPr>
      </w:pPr>
    </w:p>
    <w:p>
      <w:pPr>
        <w:ind w:right="300" w:firstLine="364"/>
        <w:spacing w:after="0" w:line="286" w:lineRule="auto"/>
        <w:rPr>
          <w:sz w:val="20"/>
          <w:szCs w:val="20"/>
          <w:color w:val="auto"/>
        </w:rPr>
      </w:pPr>
      <w:r>
        <w:rPr>
          <w:rFonts w:ascii="Arial" w:cs="Arial" w:eastAsia="Arial" w:hAnsi="Arial"/>
          <w:sz w:val="17"/>
          <w:szCs w:val="17"/>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57" w:lineRule="exact"/>
        <w:rPr>
          <w:sz w:val="20"/>
          <w:szCs w:val="20"/>
          <w:color w:val="auto"/>
        </w:rPr>
      </w:pPr>
    </w:p>
    <w:p>
      <w:pPr>
        <w:jc w:val="both"/>
        <w:ind w:right="220" w:firstLine="364"/>
        <w:spacing w:after="0" w:line="263"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December 31, 2022 and 2021 were determined by calculating the present value of expected future cash flows under the terms of the note agreements or debt agreements, as applicable, discounted at an estimated market rate of interest at December 31, 2022 and 2021, respectively.</w:t>
      </w:r>
    </w:p>
    <w:p>
      <w:pPr>
        <w:spacing w:after="0" w:line="76" w:lineRule="exact"/>
        <w:rPr>
          <w:sz w:val="20"/>
          <w:szCs w:val="20"/>
          <w:color w:val="auto"/>
        </w:rPr>
      </w:pPr>
    </w:p>
    <w:p>
      <w:pPr>
        <w:ind w:right="960" w:firstLine="364"/>
        <w:spacing w:after="0" w:line="277" w:lineRule="auto"/>
        <w:rPr>
          <w:sz w:val="20"/>
          <w:szCs w:val="20"/>
          <w:color w:val="auto"/>
        </w:rPr>
      </w:pPr>
      <w:r>
        <w:rPr>
          <w:rFonts w:ascii="Arial" w:cs="Arial" w:eastAsia="Arial" w:hAnsi="Arial"/>
          <w:sz w:val="18"/>
          <w:szCs w:val="18"/>
          <w:color w:val="auto"/>
        </w:rPr>
        <w:t>The fair values of senior debt and junior subordinated debt at December 31, 2022 and 2021 were determined using inputs to the valuation methodology that are unobservable (Level 3).</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Statutory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ind w:right="20" w:firstLine="364"/>
        <w:spacing w:after="0" w:line="291" w:lineRule="auto"/>
        <w:rPr>
          <w:sz w:val="20"/>
          <w:szCs w:val="20"/>
          <w:color w:val="auto"/>
        </w:rPr>
      </w:pPr>
      <w:r>
        <w:rPr>
          <w:rFonts w:ascii="Arial" w:cs="Arial" w:eastAsia="Arial" w:hAnsi="Arial"/>
          <w:sz w:val="16"/>
          <w:szCs w:val="16"/>
          <w:color w:val="auto"/>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the classification and carrying amounts of investments in certain securities are different under SAP and GAAP, and (d) the criteria for providing asset valuation allowances and the methodologies used to determine the amount thereof are different under SAP and GAAP.</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20" w:firstLine="364"/>
        <w:spacing w:after="0" w:line="342" w:lineRule="auto"/>
        <w:rPr>
          <w:sz w:val="20"/>
          <w:szCs w:val="20"/>
          <w:color w:val="auto"/>
        </w:rPr>
      </w:pPr>
      <w:r>
        <w:rPr>
          <w:rFonts w:ascii="Arial" w:cs="Arial" w:eastAsia="Arial" w:hAnsi="Arial"/>
          <w:sz w:val="16"/>
          <w:szCs w:val="16"/>
          <w:color w:val="auto"/>
        </w:rPr>
        <w:t>Combined net income, statutory capital and surplus and minimum required statutory capital and surplus, as determined in accordance with statutory accounting practices, for the U.S. insurance subsidiaries as of December 31, 2022, 2021, and 2020 and for the years then ended are summarized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Arial" w:cs="Arial" w:eastAsia="Arial" w:hAnsi="Arial"/>
                <w:sz w:val="14"/>
                <w:szCs w:val="14"/>
                <w:b w:val="1"/>
                <w:bCs w:val="1"/>
                <w:i w:val="1"/>
                <w:iCs w:val="1"/>
                <w:color w:val="auto"/>
                <w:w w:val="95"/>
              </w:rPr>
              <w:t>(in thousands)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42,565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Statutory capital and surplus</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493,303</w:t>
            </w:r>
          </w:p>
        </w:tc>
        <w:tc>
          <w:tcPr>
            <w:tcW w:w="24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325,368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286,449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required statutory capital and surplus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165,809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111,031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100,170</w:t>
            </w:r>
          </w:p>
        </w:tc>
      </w:tr>
    </w:tbl>
    <w:p>
      <w:pPr>
        <w:spacing w:after="0" w:line="188" w:lineRule="exact"/>
        <w:rPr>
          <w:sz w:val="20"/>
          <w:szCs w:val="20"/>
          <w:color w:val="auto"/>
        </w:rPr>
      </w:pPr>
    </w:p>
    <w:p>
      <w:pPr>
        <w:ind w:right="20" w:firstLine="364"/>
        <w:spacing w:after="0" w:line="286" w:lineRule="auto"/>
        <w:rPr>
          <w:sz w:val="20"/>
          <w:szCs w:val="20"/>
          <w:color w:val="auto"/>
        </w:rPr>
      </w:pPr>
      <w:r>
        <w:rPr>
          <w:rFonts w:ascii="Arial" w:cs="Arial" w:eastAsia="Arial" w:hAnsi="Arial"/>
          <w:sz w:val="17"/>
          <w:szCs w:val="17"/>
          <w:color w:val="auto"/>
        </w:rPr>
        <w:t>Risk-Based Capital (“RBC”) requirements promulgated by the National Association of Insurance Commissioners require property-casualty insurers to maintain minimum capitalization levels determined based on formulas incorporating various business risks of the insurance subsidiaries. As of December 31, 2022, the insurance subsidiaries’ adjusted capital and surplus exceeds their authorized control level RBC.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has two Bermuda-based subsidiaries: JRG Re, a Class 3B insurer and Carolina Re, a Class 3A insurer until its deregistration effective November 16, 2022. Under the Bermuda Insurance Act 1978 and related regulations, an insurer must maintain minimum statutory capital and surplus at the greater of a minimum solvency margin (“MSM”) and the Enhanced Capital Requirement (“ECR”), which is the higher of the MSM and capital calculated by the Bermuda Solvency Capital Requirement (“BSCR”) model or an approved internal model. The estimated Bermuda insurers minimum statutory solvency margin required at December 31, 2022 was approximately $38.6 million (2021: $167.1 million). Actual statutory capital and surplus at December 31, 2022 was $375.4 million (2021: $518.7 million). The statutory net (loss) income was $(17.7) million, $(141.5) million, and $20.8 million for the years ended December 31, 2022, 2021, and 2020, respectively. The combined ECR for the year ended December 31, 2021 was $450.4 million. The BSCR models for the year ended December 31, 2022 will not be filed with the Bermuda Monetary Authority until April 30, 2023. The Company believes that the minimum statutory capital and surplus requirements will be met. The foregoing financial information includes Carolina Re for the years ended December 31, 2021 and 2020.</w:t>
      </w:r>
    </w:p>
    <w:p>
      <w:pPr>
        <w:spacing w:after="0" w:line="7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Under the Bermuda Insurance Act 1978, an insurer must maintain a minimum liquidity ratio in which the value of its relevant assets is not less than 75.0% of the amount of its relevant liabilities for general business. Relevant assets include cash and cash equivalents, fixed maturities, quoted alternative investments, accrued interest income, premiums receivable, losses recoverable from reinsurers, and funds withheld. The relevant liabilities include total insurance provisions and other liabilities less deferred income taxes and letters of credit, guarantees and other instruments. As of December 31, 2022, the minimum liquidity ratio requirements were met.</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Dividend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ind w:right="160" w:firstLine="364"/>
        <w:spacing w:after="0" w:line="257" w:lineRule="auto"/>
        <w:rPr>
          <w:sz w:val="20"/>
          <w:szCs w:val="20"/>
          <w:color w:val="auto"/>
        </w:rPr>
      </w:pPr>
      <w:r>
        <w:rPr>
          <w:rFonts w:ascii="Arial" w:cs="Arial" w:eastAsia="Arial" w:hAnsi="Arial"/>
          <w:sz w:val="18"/>
          <w:szCs w:val="18"/>
          <w:color w:val="auto"/>
        </w:rPr>
        <w:t>The insurance statutes of the U.S.-based insurance subsidiaries’ states of domicile limit the amount of dividends that they may pay annually without first obtaining regulatory approval. Generally, the limitations are based on the greater of statutory net income for the preceding year or 10.0% of statutory surplus at the end of the preceding year. The maximum amount of dividends available to James River Group from its U.S. insurance subsidiaries during 2023 without regulatory approval is $53.7 million. However, U.S. insurance regulators have broad powers to prevent the reduction of statutory surplus to inadequate levels and could refuse to permit the payment of dividends.</w:t>
      </w:r>
    </w:p>
    <w:p>
      <w:pPr>
        <w:spacing w:after="0" w:line="80" w:lineRule="exact"/>
        <w:rPr>
          <w:sz w:val="20"/>
          <w:szCs w:val="20"/>
          <w:color w:val="auto"/>
        </w:rPr>
      </w:pPr>
    </w:p>
    <w:p>
      <w:pPr>
        <w:ind w:right="180" w:firstLine="364"/>
        <w:spacing w:after="0" w:line="259" w:lineRule="auto"/>
        <w:rPr>
          <w:sz w:val="20"/>
          <w:szCs w:val="20"/>
          <w:color w:val="auto"/>
        </w:rPr>
      </w:pPr>
      <w:r>
        <w:rPr>
          <w:rFonts w:ascii="Arial" w:cs="Arial" w:eastAsia="Arial" w:hAnsi="Arial"/>
          <w:sz w:val="18"/>
          <w:szCs w:val="18"/>
          <w:color w:val="auto"/>
        </w:rPr>
        <w:t>Distributions from the Company’s U.S.-based subsidiaries to its U.K. intermediate holding company, James River UK, are generally subject to a 5% dividend withholding tax. The payment of any dividends by the Company’s U.S.-based subsidiaries directly to a Bermuda-based entity is subject to U.S. taxes at a 30.0% tax rate. JRG Holdings has determined that earnings of its U.S. subsidiaries have been and will be indefinitely reinvested in U.S.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The maximum combined amount of dividends and return of capital that can be paid without prior regulatory approval from our Bermuda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0" w:lineRule="exact"/>
        <w:rPr>
          <w:sz w:val="20"/>
          <w:szCs w:val="20"/>
          <w:color w:val="auto"/>
        </w:rPr>
      </w:pPr>
    </w:p>
    <w:p>
      <w:pPr>
        <w:spacing w:after="0" w:line="2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insurers at December 31, 2022 is calculated to be approximately $93.9 million. However, this dividend amount is subject to annual enhanced solvency requirement calculations.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Other Related Party Transactions</w:t>
      </w:r>
    </w:p>
    <w:p>
      <w:pPr>
        <w:spacing w:after="0" w:line="121" w:lineRule="exact"/>
        <w:rPr>
          <w:sz w:val="20"/>
          <w:szCs w:val="20"/>
          <w:color w:val="auto"/>
        </w:rPr>
      </w:pPr>
    </w:p>
    <w:p>
      <w:pPr>
        <w:ind w:right="40" w:firstLine="364"/>
        <w:spacing w:after="0" w:line="311" w:lineRule="auto"/>
        <w:rPr>
          <w:sz w:val="20"/>
          <w:szCs w:val="20"/>
          <w:color w:val="auto"/>
        </w:rPr>
      </w:pPr>
      <w:r>
        <w:rPr>
          <w:rFonts w:ascii="Arial" w:cs="Arial" w:eastAsia="Arial" w:hAnsi="Arial"/>
          <w:sz w:val="16"/>
          <w:szCs w:val="16"/>
          <w:color w:val="auto"/>
        </w:rPr>
        <w:t>The Company leases a commercial office building which houses the Company’s Richmond, Virginia operations under the terms of a non-cancelable lease from an entity with which it is affiliated. The term of the lease, which has been amended from time to time, runs through 2026. Operating costs under the lease were $2.1 million, $2.1 million, and $1.9 million for the years ended December 31, 2022, 2021, and 2020, respectively.</w:t>
      </w:r>
    </w:p>
    <w:p>
      <w:pPr>
        <w:spacing w:after="0" w:line="41" w:lineRule="exact"/>
        <w:rPr>
          <w:sz w:val="20"/>
          <w:szCs w:val="20"/>
          <w:color w:val="auto"/>
        </w:rPr>
      </w:pPr>
    </w:p>
    <w:p>
      <w:pPr>
        <w:ind w:right="160" w:firstLine="364"/>
        <w:spacing w:after="0" w:line="286" w:lineRule="auto"/>
        <w:rPr>
          <w:sz w:val="20"/>
          <w:szCs w:val="20"/>
          <w:color w:val="auto"/>
        </w:rPr>
      </w:pPr>
      <w:r>
        <w:rPr>
          <w:rFonts w:ascii="Arial" w:cs="Arial" w:eastAsia="Arial" w:hAnsi="Arial"/>
          <w:sz w:val="17"/>
          <w:szCs w:val="17"/>
          <w:color w:val="auto"/>
        </w:rPr>
        <w:t>Upon retiring effective July 31, 2021, the Company’s former President and Chief Operating Officer entered into a consulting agreement with the Company to provide consulting services as requested by the Company’s Chief Executive Officer during the period August 1, 2021 through December 31, 2021. The Company incurred expenses of $146,000 in 2021 as compensation for rendering these consulting services.</w:t>
      </w:r>
    </w:p>
    <w:p>
      <w:pPr>
        <w:spacing w:after="0" w:line="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On January 27, 2023, the 2013 Facility and 2017 Facility were amended to provide for the transition from LIBOR to the secured overnight financing rate (SOFR).</w:t>
      </w:r>
    </w:p>
    <w:p>
      <w:pPr>
        <w:spacing w:after="0" w:line="62" w:lineRule="exact"/>
        <w:rPr>
          <w:sz w:val="20"/>
          <w:szCs w:val="20"/>
          <w:color w:val="auto"/>
        </w:rPr>
      </w:pPr>
    </w:p>
    <w:p>
      <w:pPr>
        <w:ind w:right="300" w:firstLine="364"/>
        <w:spacing w:after="0" w:line="277" w:lineRule="auto"/>
        <w:rPr>
          <w:sz w:val="20"/>
          <w:szCs w:val="20"/>
          <w:color w:val="auto"/>
        </w:rPr>
      </w:pPr>
      <w:r>
        <w:rPr>
          <w:rFonts w:ascii="Arial" w:cs="Arial" w:eastAsia="Arial" w:hAnsi="Arial"/>
          <w:sz w:val="18"/>
          <w:szCs w:val="18"/>
          <w:color w:val="auto"/>
        </w:rPr>
        <w:t>On February 16, 2023, the Board of Directors declared a cash dividend of $0.05 per common share. The dividend is payable on March 31, 2023 to shareholders of record on March 13, 2023.</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February 16, 2023, the Board of Directors declared a quarterly dividend on the Series A Preferred Shares. The dividend of $2.6 million will be payable in cash on March 31, 2023 to shareholders of record on March 15, 2023.</w:t>
      </w:r>
    </w:p>
    <w:p>
      <w:pPr>
        <w:spacing w:after="0" w:line="62" w:lineRule="exact"/>
        <w:rPr>
          <w:sz w:val="20"/>
          <w:szCs w:val="20"/>
          <w:color w:val="auto"/>
        </w:rPr>
      </w:pPr>
    </w:p>
    <w:p>
      <w:pPr>
        <w:ind w:right="340" w:firstLine="364"/>
        <w:spacing w:after="0" w:line="277" w:lineRule="auto"/>
        <w:rPr>
          <w:sz w:val="20"/>
          <w:szCs w:val="20"/>
          <w:color w:val="auto"/>
        </w:rPr>
      </w:pPr>
      <w:r>
        <w:rPr>
          <w:rFonts w:ascii="Arial" w:cs="Arial" w:eastAsia="Arial" w:hAnsi="Arial"/>
          <w:sz w:val="18"/>
          <w:szCs w:val="18"/>
          <w:color w:val="auto"/>
        </w:rPr>
        <w:t>On February 16, 2023, the Board of Directors approved awards under the 2014 LTIP and the 2014 Director Plan to the Company’s employees and directors with an aggregate fair value of $9.0 million and a grant date of March 1, 2023.</w:t>
      </w:r>
    </w:p>
    <w:p>
      <w:pPr>
        <w:spacing w:after="0" w:line="103" w:lineRule="exact"/>
        <w:rPr>
          <w:sz w:val="20"/>
          <w:szCs w:val="20"/>
          <w:color w:val="auto"/>
        </w:rPr>
      </w:pPr>
    </w:p>
    <w:p>
      <w:pPr>
        <w:ind w:right="140" w:firstLine="364"/>
        <w:spacing w:after="0" w:line="308" w:lineRule="auto"/>
        <w:rPr>
          <w:sz w:val="20"/>
          <w:szCs w:val="20"/>
          <w:color w:val="auto"/>
        </w:rPr>
      </w:pPr>
      <w:r>
        <w:rPr>
          <w:rFonts w:ascii="Arial" w:cs="Arial" w:eastAsia="Arial" w:hAnsi="Arial"/>
          <w:sz w:val="16"/>
          <w:szCs w:val="16"/>
          <w:color w:val="auto"/>
        </w:rPr>
        <w:t>In keeping with previously announced plans to significantly shrink top-line writings of the Casualty Reinsurance segment, the Company has decided to suspend writing business in the Casualty Reinsurance segment, as it continues to focus on growing the higher returning U.S. insurance and fronting</w:t>
      </w:r>
    </w:p>
    <w:p>
      <w:pPr>
        <w:ind w:right="100"/>
        <w:spacing w:after="0" w:line="280" w:lineRule="auto"/>
        <w:rPr>
          <w:sz w:val="20"/>
          <w:szCs w:val="20"/>
          <w:color w:val="auto"/>
        </w:rPr>
      </w:pPr>
      <w:r>
        <w:rPr>
          <w:rFonts w:ascii="Arial" w:cs="Arial" w:eastAsia="Arial" w:hAnsi="Arial"/>
          <w:sz w:val="18"/>
          <w:szCs w:val="18"/>
          <w:color w:val="auto"/>
        </w:rPr>
        <w:t>businesses. The Company expects the Casualty Reinsurance segment to continue earning premium due to the nature of the earnings patterns in the reinsurance business, which can extend over multiple years. Aside from the suspension of underwriting activities, the Company plans for the Casualty Reinsurance segment to maintain its normal day-to-day operations, with a staff to continue servicing the business on its books and to facilitate compliance with its regulatory requirements.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SCHEDULE I</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3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JAMES RIVER GROUP HOLDINGS, LTD.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8100" w:type="dxa"/>
            <w:vAlign w:val="bottom"/>
            <w:gridSpan w:val="6"/>
          </w:tcPr>
          <w:p>
            <w:pPr>
              <w:jc w:val="center"/>
              <w:ind w:left="2370"/>
              <w:spacing w:after="0"/>
              <w:rPr>
                <w:sz w:val="20"/>
                <w:szCs w:val="20"/>
                <w:color w:val="auto"/>
              </w:rPr>
            </w:pPr>
            <w:r>
              <w:rPr>
                <w:rFonts w:ascii="Arial" w:cs="Arial" w:eastAsia="Arial" w:hAnsi="Arial"/>
                <w:sz w:val="18"/>
                <w:szCs w:val="18"/>
                <w:b w:val="1"/>
                <w:bCs w:val="1"/>
                <w:color w:val="auto"/>
                <w:w w:val="90"/>
              </w:rPr>
              <w:t>Summary of Investments—Other than Investments in Related Parties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Amount at</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Cost or</w:t>
            </w:r>
          </w:p>
        </w:tc>
        <w:tc>
          <w:tcPr>
            <w:tcW w:w="300" w:type="dxa"/>
            <w:vAlign w:val="bottom"/>
          </w:tcPr>
          <w:p>
            <w:pPr>
              <w:spacing w:after="0"/>
              <w:rPr>
                <w:sz w:val="12"/>
                <w:szCs w:val="12"/>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which shown</w:t>
            </w:r>
          </w:p>
        </w:tc>
        <w:tc>
          <w:tcPr>
            <w:tcW w:w="0" w:type="dxa"/>
            <w:vAlign w:val="bottom"/>
          </w:tcPr>
          <w:p>
            <w:pPr>
              <w:spacing w:after="0"/>
              <w:rPr>
                <w:sz w:val="1"/>
                <w:szCs w:val="1"/>
                <w:color w:val="auto"/>
              </w:rPr>
            </w:pPr>
          </w:p>
        </w:tc>
      </w:tr>
      <w:tr>
        <w:trPr>
          <w:trHeight w:val="148"/>
        </w:trPr>
        <w:tc>
          <w:tcPr>
            <w:tcW w:w="7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Type of Investment</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on Balance</w:t>
            </w:r>
          </w:p>
        </w:tc>
        <w:tc>
          <w:tcPr>
            <w:tcW w:w="0" w:type="dxa"/>
            <w:vAlign w:val="bottom"/>
          </w:tcPr>
          <w:p>
            <w:pPr>
              <w:spacing w:after="0"/>
              <w:rPr>
                <w:sz w:val="1"/>
                <w:szCs w:val="1"/>
                <w:color w:val="auto"/>
              </w:rPr>
            </w:pPr>
          </w:p>
        </w:tc>
      </w:tr>
      <w:tr>
        <w:trPr>
          <w:trHeight w:val="203"/>
        </w:trPr>
        <w:tc>
          <w:tcPr>
            <w:tcW w:w="70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3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7"/>
                <w:szCs w:val="17"/>
                <w:color w:val="auto"/>
              </w:rPr>
            </w:pPr>
          </w:p>
        </w:tc>
        <w:tc>
          <w:tcPr>
            <w:tcW w:w="1180" w:type="dxa"/>
            <w:vAlign w:val="bottom"/>
            <w:gridSpan w:val="2"/>
          </w:tcPr>
          <w:p>
            <w:pPr>
              <w:jc w:val="center"/>
              <w:ind w:right="220"/>
              <w:spacing w:after="0" w:line="202" w:lineRule="exact"/>
              <w:rPr>
                <w:sz w:val="20"/>
                <w:szCs w:val="20"/>
                <w:color w:val="auto"/>
              </w:rPr>
            </w:pPr>
            <w:r>
              <w:rPr>
                <w:rFonts w:ascii="Arial" w:cs="Arial" w:eastAsia="Arial" w:hAnsi="Arial"/>
                <w:sz w:val="14"/>
                <w:szCs w:val="14"/>
                <w:b w:val="1"/>
                <w:bCs w:val="1"/>
                <w:color w:val="auto"/>
                <w:w w:val="83"/>
              </w:rPr>
              <w:t>Sheet</w:t>
            </w:r>
            <w:r>
              <w:rPr>
                <w:rFonts w:ascii="Arial" w:cs="Arial" w:eastAsia="Arial" w:hAnsi="Arial"/>
                <w:sz w:val="18"/>
                <w:szCs w:val="18"/>
                <w:b w:val="1"/>
                <w:bCs w:val="1"/>
                <w:color w:val="auto"/>
                <w:w w:val="83"/>
                <w:vertAlign w:val="superscript"/>
              </w:rPr>
              <w:t>(1)</w:t>
            </w:r>
          </w:p>
        </w:tc>
        <w:tc>
          <w:tcPr>
            <w:tcW w:w="0" w:type="dxa"/>
            <w:vAlign w:val="bottom"/>
          </w:tcPr>
          <w:p>
            <w:pPr>
              <w:spacing w:after="0"/>
              <w:rPr>
                <w:sz w:val="1"/>
                <w:szCs w:val="1"/>
                <w:color w:val="auto"/>
              </w:rPr>
            </w:pPr>
          </w:p>
        </w:tc>
      </w:tr>
      <w:tr>
        <w:trPr>
          <w:trHeight w:val="176"/>
        </w:trPr>
        <w:tc>
          <w:tcPr>
            <w:tcW w:w="34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tcPr>
          <w:p>
            <w:pPr>
              <w:ind w:left="140"/>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386,456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330,852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330,852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Residential mortgage-backed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734,976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670,212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U.S. Treasury securities and obligations guaranteed by the U.S. government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1,783,417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tcPr>
          <w:p>
            <w:pPr>
              <w:ind w:left="20"/>
              <w:spacing w:after="0"/>
              <w:rPr>
                <w:sz w:val="20"/>
                <w:szCs w:val="20"/>
                <w:color w:val="auto"/>
              </w:rPr>
            </w:pPr>
            <w:r>
              <w:rPr>
                <w:rFonts w:ascii="Arial" w:cs="Arial" w:eastAsia="Arial" w:hAnsi="Arial"/>
                <w:sz w:val="18"/>
                <w:szCs w:val="18"/>
                <w:color w:val="auto"/>
              </w:rPr>
              <w:t>Bank loan participations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invested assets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invested 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2,175,930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60" w:hanging="332"/>
        <w:spacing w:after="0" w:line="277" w:lineRule="auto"/>
        <w:tabs>
          <w:tab w:leader="none" w:pos="4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Differences between the amounts in this column and the amounts in the consolidated balance sheet are due to this schedule excluding investments in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180"/>
              <w:spacing w:after="0"/>
              <w:rPr>
                <w:sz w:val="20"/>
                <w:szCs w:val="20"/>
                <w:color w:val="auto"/>
              </w:rPr>
            </w:pPr>
            <w:r>
              <w:rPr>
                <w:rFonts w:ascii="Arial" w:cs="Arial" w:eastAsia="Arial" w:hAnsi="Arial"/>
                <w:sz w:val="18"/>
                <w:szCs w:val="18"/>
                <w:b w:val="1"/>
                <w:bCs w:val="1"/>
                <w:color w:val="auto"/>
              </w:rPr>
              <w:t>SCHEDULE II</w:t>
            </w:r>
          </w:p>
        </w:tc>
      </w:tr>
      <w:tr>
        <w:trPr>
          <w:trHeight w:val="324"/>
        </w:trPr>
        <w:tc>
          <w:tcPr>
            <w:tcW w:w="8440" w:type="dxa"/>
            <w:vAlign w:val="bottom"/>
          </w:tcPr>
          <w:p>
            <w:pPr>
              <w:jc w:val="center"/>
              <w:ind w:left="273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440" w:type="dxa"/>
            <w:vAlign w:val="bottom"/>
          </w:tcPr>
          <w:p>
            <w:pPr>
              <w:jc w:val="center"/>
              <w:ind w:left="2710"/>
              <w:spacing w:after="0"/>
              <w:rPr>
                <w:sz w:val="20"/>
                <w:szCs w:val="20"/>
                <w:color w:val="auto"/>
              </w:rPr>
            </w:pPr>
            <w:r>
              <w:rPr>
                <w:rFonts w:ascii="Arial" w:cs="Arial" w:eastAsia="Arial" w:hAnsi="Arial"/>
                <w:sz w:val="18"/>
                <w:szCs w:val="18"/>
                <w:b w:val="1"/>
                <w:bCs w:val="1"/>
                <w:color w:val="auto"/>
                <w:w w:val="90"/>
              </w:rPr>
              <w:t>Condensed Financial Information of Registrant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440" w:type="dxa"/>
            <w:vAlign w:val="bottom"/>
          </w:tcPr>
          <w:p>
            <w:pPr>
              <w:jc w:val="center"/>
              <w:ind w:left="2730"/>
              <w:spacing w:after="0"/>
              <w:rPr>
                <w:sz w:val="20"/>
                <w:szCs w:val="20"/>
                <w:color w:val="auto"/>
              </w:rPr>
            </w:pPr>
            <w:r>
              <w:rPr>
                <w:rFonts w:ascii="Arial" w:cs="Arial" w:eastAsia="Arial" w:hAnsi="Arial"/>
                <w:sz w:val="18"/>
                <w:szCs w:val="18"/>
                <w:b w:val="1"/>
                <w:bCs w:val="1"/>
                <w:color w:val="auto"/>
                <w:w w:val="89"/>
              </w:rPr>
              <w:t>Balance Sheets (Parent Company)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2"/>
        </w:trPr>
        <w:tc>
          <w:tcPr>
            <w:tcW w:w="8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r>
      <w:tr>
        <w:trPr>
          <w:trHeight w:val="182"/>
        </w:trPr>
        <w:tc>
          <w:tcPr>
            <w:tcW w:w="8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1,003,762</w:t>
            </w:r>
          </w:p>
        </w:tc>
        <w:tc>
          <w:tcPr>
            <w:tcW w:w="40" w:type="dxa"/>
            <w:vAlign w:val="bottom"/>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Due from subsidiaries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3,356</w:t>
            </w:r>
          </w:p>
        </w:tc>
        <w:tc>
          <w:tcPr>
            <w:tcW w:w="4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40" w:type="dxa"/>
            <w:vAlign w:val="bottom"/>
          </w:tcPr>
          <w:p>
            <w:pPr>
              <w:spacing w:after="0"/>
              <w:rPr>
                <w:sz w:val="19"/>
                <w:szCs w:val="19"/>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1,013,447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1,010,472</w:t>
            </w:r>
          </w:p>
        </w:tc>
        <w:tc>
          <w:tcPr>
            <w:tcW w:w="40" w:type="dxa"/>
            <w:vAlign w:val="bottom"/>
          </w:tcPr>
          <w:p>
            <w:pPr>
              <w:spacing w:after="0"/>
              <w:rPr>
                <w:sz w:val="19"/>
                <w:szCs w:val="19"/>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40" w:type="dxa"/>
            <w:vAlign w:val="bottom"/>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Senior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207,300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247,300</w:t>
            </w:r>
          </w:p>
        </w:tc>
        <w:tc>
          <w:tcPr>
            <w:tcW w:w="4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subordinated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40" w:type="dxa"/>
            <w:vAlign w:val="bottom"/>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Due to subsidiaries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19,847</w:t>
            </w:r>
          </w:p>
        </w:tc>
        <w:tc>
          <w:tcPr>
            <w:tcW w:w="40" w:type="dxa"/>
            <w:vAlign w:val="bottom"/>
          </w:tcPr>
          <w:p>
            <w:pPr>
              <w:spacing w:after="0"/>
              <w:rPr>
                <w:sz w:val="19"/>
                <w:szCs w:val="19"/>
                <w:color w:val="auto"/>
              </w:rPr>
            </w:pPr>
          </w:p>
        </w:tc>
      </w:tr>
      <w:tr>
        <w:trPr>
          <w:trHeight w:val="229"/>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19"/>
                <w:szCs w:val="19"/>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314,783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285,110</w:t>
            </w:r>
          </w:p>
        </w:tc>
        <w:tc>
          <w:tcPr>
            <w:tcW w:w="4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Series A redeemable preferred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Class A common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862,040</w:t>
            </w:r>
          </w:p>
        </w:tc>
        <w:tc>
          <w:tcPr>
            <w:tcW w:w="40" w:type="dxa"/>
            <w:vAlign w:val="bottom"/>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Retained deficit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(166,663)</w:t>
            </w:r>
          </w:p>
        </w:tc>
        <w:tc>
          <w:tcPr>
            <w:tcW w:w="4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40" w:type="dxa"/>
            <w:vAlign w:val="bottom"/>
          </w:tcPr>
          <w:p>
            <w:pPr>
              <w:spacing w:after="0"/>
              <w:rPr>
                <w:sz w:val="19"/>
                <w:szCs w:val="19"/>
                <w:color w:val="auto"/>
              </w:rPr>
            </w:pPr>
          </w:p>
        </w:tc>
      </w:tr>
      <w:tr>
        <w:trPr>
          <w:trHeight w:val="22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553,766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725,362</w:t>
            </w:r>
          </w:p>
        </w:tc>
        <w:tc>
          <w:tcPr>
            <w:tcW w:w="40" w:type="dxa"/>
            <w:vAlign w:val="bottom"/>
          </w:tcPr>
          <w:p>
            <w:pPr>
              <w:spacing w:after="0"/>
              <w:rPr>
                <w:sz w:val="19"/>
                <w:szCs w:val="19"/>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Series A redeemable preferred shares, and shareholders’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1,010,472</w:t>
            </w:r>
          </w:p>
        </w:tc>
        <w:tc>
          <w:tcPr>
            <w:tcW w:w="40" w:type="dxa"/>
            <w:vAlign w:val="bottom"/>
          </w:tcPr>
          <w:p>
            <w:pPr>
              <w:spacing w:after="0"/>
              <w:rPr>
                <w:sz w:val="21"/>
                <w:szCs w:val="2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24"/>
        </w:trPr>
        <w:tc>
          <w:tcPr>
            <w:tcW w:w="8440" w:type="dxa"/>
            <w:vAlign w:val="bottom"/>
            <w:gridSpan w:val="5"/>
          </w:tcPr>
          <w:p>
            <w:pPr>
              <w:jc w:val="center"/>
              <w:ind w:left="273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40" w:type="dxa"/>
            <w:vAlign w:val="bottom"/>
          </w:tcPr>
          <w:p>
            <w:pPr>
              <w:spacing w:after="0"/>
              <w:rPr>
                <w:sz w:val="24"/>
                <w:szCs w:val="24"/>
                <w:color w:val="auto"/>
              </w:rPr>
            </w:pPr>
          </w:p>
        </w:tc>
        <w:tc>
          <w:tcPr>
            <w:tcW w:w="38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Condensed Financial Information of Registrant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80" w:type="dxa"/>
            <w:vAlign w:val="bottom"/>
            <w:gridSpan w:val="8"/>
          </w:tcPr>
          <w:p>
            <w:pPr>
              <w:jc w:val="center"/>
              <w:ind w:left="1270"/>
              <w:spacing w:after="0"/>
              <w:rPr>
                <w:sz w:val="20"/>
                <w:szCs w:val="20"/>
                <w:color w:val="auto"/>
              </w:rPr>
            </w:pPr>
            <w:r>
              <w:rPr>
                <w:rFonts w:ascii="Arial" w:cs="Arial" w:eastAsia="Arial" w:hAnsi="Arial"/>
                <w:sz w:val="18"/>
                <w:szCs w:val="18"/>
                <w:b w:val="1"/>
                <w:bCs w:val="1"/>
                <w:color w:val="auto"/>
                <w:w w:val="89"/>
              </w:rPr>
              <w:t>Statements of Income (Loss) and Comprehensive (Loss) Income (Parent Company)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6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gridSpan w:val="6"/>
          </w:tcPr>
          <w:p>
            <w:pPr>
              <w:jc w:val="center"/>
              <w:ind w:left="593"/>
              <w:spacing w:after="0"/>
              <w:rPr>
                <w:sz w:val="20"/>
                <w:szCs w:val="20"/>
                <w:color w:val="auto"/>
              </w:rPr>
            </w:pPr>
            <w:r>
              <w:rPr>
                <w:rFonts w:ascii="Arial" w:cs="Arial" w:eastAsia="Arial" w:hAnsi="Arial"/>
                <w:sz w:val="14"/>
                <w:szCs w:val="14"/>
                <w:b w:val="1"/>
                <w:bCs w:val="1"/>
                <w:color w:val="auto"/>
                <w:w w:val="93"/>
              </w:rPr>
              <w:t>Year Ended December 31,</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8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3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3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3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3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Loss before equity in net income of subsidiaries</w:t>
            </w:r>
          </w:p>
        </w:tc>
        <w:tc>
          <w:tcPr>
            <w:tcW w:w="3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net income (loss) of subsidiaries</w:t>
            </w:r>
          </w:p>
        </w:tc>
        <w:tc>
          <w:tcPr>
            <w:tcW w:w="33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 income:</w:t>
            </w:r>
          </w:p>
        </w:tc>
        <w:tc>
          <w:tcPr>
            <w:tcW w:w="3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40" w:type="dxa"/>
            <w:vAlign w:val="bottom"/>
            <w:vMerge w:val="continue"/>
          </w:tcPr>
          <w:p>
            <w:pPr>
              <w:spacing w:after="0"/>
              <w:rPr>
                <w:sz w:val="15"/>
                <w:szCs w:val="15"/>
                <w:color w:val="auto"/>
              </w:rPr>
            </w:pPr>
          </w:p>
        </w:tc>
        <w:tc>
          <w:tcPr>
            <w:tcW w:w="3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in other comprehensive (losses) earnings of subsidiaries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 income</w:t>
            </w:r>
          </w:p>
        </w:tc>
        <w:tc>
          <w:tcPr>
            <w:tcW w:w="33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(224,720)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SCHEDULE II</w:t>
            </w:r>
          </w:p>
        </w:tc>
      </w:tr>
      <w:tr>
        <w:trPr>
          <w:trHeight w:val="324"/>
        </w:trPr>
        <w:tc>
          <w:tcPr>
            <w:tcW w:w="8440" w:type="dxa"/>
            <w:vAlign w:val="bottom"/>
            <w:gridSpan w:val="5"/>
          </w:tcPr>
          <w:p>
            <w:pPr>
              <w:jc w:val="center"/>
              <w:ind w:left="273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3720" w:type="dxa"/>
            <w:vAlign w:val="bottom"/>
          </w:tcPr>
          <w:p>
            <w:pPr>
              <w:spacing w:after="0"/>
              <w:rPr>
                <w:sz w:val="24"/>
                <w:szCs w:val="24"/>
                <w:color w:val="auto"/>
              </w:rPr>
            </w:pPr>
          </w:p>
        </w:tc>
        <w:tc>
          <w:tcPr>
            <w:tcW w:w="3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Condensed Financial Information of Registrant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3720" w:type="dxa"/>
            <w:vAlign w:val="bottom"/>
          </w:tcPr>
          <w:p>
            <w:pPr>
              <w:spacing w:after="0"/>
              <w:rPr>
                <w:sz w:val="24"/>
                <w:szCs w:val="24"/>
                <w:color w:val="auto"/>
              </w:rPr>
            </w:pPr>
          </w:p>
        </w:tc>
        <w:tc>
          <w:tcPr>
            <w:tcW w:w="3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Statements of Cash Flows (Parent Company)</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2"/>
        </w:trPr>
        <w:tc>
          <w:tcPr>
            <w:tcW w:w="3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gridSpan w:val="6"/>
          </w:tcPr>
          <w:p>
            <w:pPr>
              <w:jc w:val="center"/>
              <w:ind w:left="591"/>
              <w:spacing w:after="0"/>
              <w:rPr>
                <w:sz w:val="20"/>
                <w:szCs w:val="20"/>
                <w:color w:val="auto"/>
              </w:rPr>
            </w:pPr>
            <w:r>
              <w:rPr>
                <w:rFonts w:ascii="Arial" w:cs="Arial" w:eastAsia="Arial" w:hAnsi="Arial"/>
                <w:sz w:val="14"/>
                <w:szCs w:val="14"/>
                <w:b w:val="1"/>
                <w:bCs w:val="1"/>
                <w:color w:val="auto"/>
                <w:w w:val="93"/>
              </w:rPr>
              <w:t>Year Ended December 31,</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
        </w:trPr>
        <w:tc>
          <w:tcPr>
            <w:tcW w:w="37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37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182"/>
        </w:trPr>
        <w:tc>
          <w:tcPr>
            <w:tcW w:w="37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7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30,973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(172,799)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4,824</w:t>
            </w:r>
          </w:p>
        </w:tc>
        <w:tc>
          <w:tcPr>
            <w:tcW w:w="40" w:type="dxa"/>
            <w:vAlign w:val="bottom"/>
          </w:tcPr>
          <w:p>
            <w:pPr>
              <w:spacing w:after="0"/>
              <w:rPr>
                <w:sz w:val="19"/>
                <w:szCs w:val="19"/>
                <w:color w:val="auto"/>
              </w:rPr>
            </w:pPr>
          </w:p>
        </w:tc>
      </w:tr>
      <w:tr>
        <w:trPr>
          <w:trHeight w:val="229"/>
        </w:trPr>
        <w:tc>
          <w:tcPr>
            <w:tcW w:w="7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Adjustments to reconcile net income (loss) to net cash provided by (used in) operating activities: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2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 expense</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40" w:type="dxa"/>
            <w:vAlign w:val="bottom"/>
          </w:tcPr>
          <w:p>
            <w:pPr>
              <w:spacing w:after="0"/>
              <w:rPr>
                <w:sz w:val="19"/>
                <w:szCs w:val="19"/>
                <w:color w:val="auto"/>
              </w:rPr>
            </w:pPr>
          </w:p>
        </w:tc>
      </w:tr>
      <w:tr>
        <w:trPr>
          <w:trHeight w:val="229"/>
        </w:trPr>
        <w:tc>
          <w:tcPr>
            <w:tcW w:w="3720" w:type="dxa"/>
            <w:vAlign w:val="bottom"/>
          </w:tcPr>
          <w:p>
            <w:pPr>
              <w:ind w:left="140"/>
              <w:spacing w:after="0"/>
              <w:rPr>
                <w:sz w:val="20"/>
                <w:szCs w:val="20"/>
                <w:color w:val="auto"/>
              </w:rPr>
            </w:pPr>
            <w:r>
              <w:rPr>
                <w:rFonts w:ascii="Arial" w:cs="Arial" w:eastAsia="Arial" w:hAnsi="Arial"/>
                <w:sz w:val="18"/>
                <w:szCs w:val="18"/>
                <w:color w:val="auto"/>
                <w:w w:val="95"/>
              </w:rPr>
              <w:t>Equity in undistributed earnings of subsidiaries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(25,973)</w:t>
            </w:r>
          </w:p>
        </w:tc>
        <w:tc>
          <w:tcPr>
            <w:tcW w:w="40" w:type="dxa"/>
            <w:vAlign w:val="bottom"/>
          </w:tcPr>
          <w:p>
            <w:pPr>
              <w:spacing w:after="0"/>
              <w:rPr>
                <w:sz w:val="19"/>
                <w:szCs w:val="19"/>
                <w:color w:val="auto"/>
              </w:rPr>
            </w:pPr>
          </w:p>
        </w:tc>
      </w:tr>
      <w:tr>
        <w:trPr>
          <w:trHeight w:val="229"/>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40" w:type="dxa"/>
            <w:vAlign w:val="bottom"/>
          </w:tcPr>
          <w:p>
            <w:pPr>
              <w:spacing w:after="0"/>
              <w:rPr>
                <w:sz w:val="19"/>
                <w:szCs w:val="19"/>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w w:val="92"/>
              </w:rPr>
              <w:t>Net cash provided by (used in) operating activities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(6,875)</w:t>
            </w:r>
          </w:p>
        </w:tc>
        <w:tc>
          <w:tcPr>
            <w:tcW w:w="40" w:type="dxa"/>
            <w:vAlign w:val="bottom"/>
          </w:tcPr>
          <w:p>
            <w:pPr>
              <w:spacing w:after="0"/>
              <w:rPr>
                <w:sz w:val="19"/>
                <w:szCs w:val="19"/>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Senior debt issuance</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164,000</w:t>
            </w:r>
          </w:p>
        </w:tc>
        <w:tc>
          <w:tcPr>
            <w:tcW w:w="40" w:type="dxa"/>
            <w:vAlign w:val="bottom"/>
          </w:tcPr>
          <w:p>
            <w:pPr>
              <w:spacing w:after="0"/>
              <w:rPr>
                <w:sz w:val="19"/>
                <w:szCs w:val="19"/>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debt repayments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Subsidiary note issuance</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 note repayments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Contribution to subsidiary</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(90,000)</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Series A preferred shares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Issuances of common shares - public offering</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7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Issuances of common shares under equity incentive plans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4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Common share repurchases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(3,604)</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Series A preferred shares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on common shares</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(37,051)</w:t>
            </w:r>
          </w:p>
        </w:tc>
        <w:tc>
          <w:tcPr>
            <w:tcW w:w="40" w:type="dxa"/>
            <w:vAlign w:val="bottom"/>
          </w:tcPr>
          <w:p>
            <w:pPr>
              <w:spacing w:after="0"/>
              <w:rPr>
                <w:sz w:val="19"/>
                <w:szCs w:val="19"/>
                <w:color w:val="auto"/>
              </w:rPr>
            </w:pPr>
          </w:p>
        </w:tc>
      </w:tr>
      <w:tr>
        <w:trPr>
          <w:trHeight w:val="223"/>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cash (used in) provided by financing activities</w:t>
            </w:r>
          </w:p>
        </w:tc>
        <w:tc>
          <w:tcPr>
            <w:tcW w:w="3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40" w:type="dxa"/>
            <w:vAlign w:val="bottom"/>
          </w:tcPr>
          <w:p>
            <w:pPr>
              <w:spacing w:after="0"/>
              <w:rPr>
                <w:sz w:val="19"/>
                <w:szCs w:val="19"/>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(950)</w:t>
            </w:r>
          </w:p>
        </w:tc>
        <w:tc>
          <w:tcPr>
            <w:tcW w:w="40" w:type="dxa"/>
            <w:vAlign w:val="bottom"/>
          </w:tcPr>
          <w:p>
            <w:pPr>
              <w:spacing w:after="0"/>
              <w:rPr>
                <w:sz w:val="19"/>
                <w:szCs w:val="19"/>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Cash and cash equivalents at beginning of period</w:t>
            </w:r>
          </w:p>
        </w:tc>
        <w:tc>
          <w:tcPr>
            <w:tcW w:w="3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40" w:type="dxa"/>
            <w:vAlign w:val="bottom"/>
          </w:tcPr>
          <w:p>
            <w:pPr>
              <w:spacing w:after="0"/>
              <w:rPr>
                <w:sz w:val="19"/>
                <w:szCs w:val="19"/>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3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19"/>
                <w:szCs w:val="19"/>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3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7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6,530</w:t>
            </w:r>
          </w:p>
        </w:tc>
        <w:tc>
          <w:tcPr>
            <w:tcW w:w="4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17" w:lineRule="exact"/>
        <w:rPr>
          <w:sz w:val="20"/>
          <w:szCs w:val="20"/>
          <w:color w:val="auto"/>
        </w:rPr>
      </w:pPr>
    </w:p>
    <w:p>
      <w:pPr>
        <w:ind w:right="9420" w:firstLine="8"/>
        <w:spacing w:after="0" w:line="400" w:lineRule="auto"/>
        <w:tabs>
          <w:tab w:leader="none" w:pos="305"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right="180" w:firstLine="364"/>
        <w:spacing w:after="0" w:line="277" w:lineRule="auto"/>
        <w:rPr>
          <w:sz w:val="20"/>
          <w:szCs w:val="20"/>
          <w:color w:val="auto"/>
        </w:rPr>
      </w:pPr>
      <w:r>
        <w:rPr>
          <w:rFonts w:ascii="Arial" w:cs="Arial" w:eastAsia="Arial" w:hAnsi="Arial"/>
          <w:sz w:val="18"/>
          <w:szCs w:val="18"/>
          <w:color w:val="auto"/>
        </w:rPr>
        <w:t>James River Group Holdings, Ltd. (the “Company”) is an exempted holding company registered in Bermuda, organized for the purpose of acquiring and managing insurance and reinsurance entities.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firstLine="364"/>
        <w:spacing w:after="0" w:line="263" w:lineRule="auto"/>
        <w:rPr>
          <w:sz w:val="20"/>
          <w:szCs w:val="20"/>
          <w:color w:val="auto"/>
        </w:rPr>
      </w:pPr>
      <w:r>
        <w:rPr>
          <w:rFonts w:ascii="Arial" w:cs="Arial" w:eastAsia="Arial" w:hAnsi="Arial"/>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right="320" w:firstLine="364"/>
        <w:spacing w:after="0" w:line="263" w:lineRule="auto"/>
        <w:rPr>
          <w:sz w:val="20"/>
          <w:szCs w:val="20"/>
          <w:color w:val="auto"/>
        </w:rPr>
      </w:pPr>
      <w:r>
        <w:rPr>
          <w:rFonts w:ascii="Arial" w:cs="Arial" w:eastAsia="Arial" w:hAnsi="Arial"/>
          <w:sz w:val="18"/>
          <w:szCs w:val="18"/>
          <w:color w:val="auto"/>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ind w:right="60" w:firstLine="364"/>
        <w:spacing w:after="0" w:line="271" w:lineRule="auto"/>
        <w:rPr>
          <w:sz w:val="20"/>
          <w:szCs w:val="20"/>
          <w:color w:val="auto"/>
        </w:rPr>
      </w:pPr>
      <w:r>
        <w:rPr>
          <w:rFonts w:ascii="Arial" w:cs="Arial" w:eastAsia="Arial" w:hAnsi="Arial"/>
          <w:sz w:val="17"/>
          <w:szCs w:val="17"/>
          <w:color w:val="auto"/>
        </w:rPr>
        <w:t xml:space="preserve">In August 2020, the FASB issued </w:t>
      </w:r>
      <w:r>
        <w:rPr>
          <w:rFonts w:ascii="Arial" w:cs="Arial" w:eastAsia="Arial" w:hAnsi="Arial"/>
          <w:sz w:val="17"/>
          <w:szCs w:val="17"/>
          <w:i w:val="1"/>
          <w:iCs w:val="1"/>
          <w:color w:val="auto"/>
        </w:rPr>
        <w:t>ASU 2020-06, 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the accounting for convertible debt instruments and convertible preferred stock and became effective for interim and annual periods beginning after December 15, 2021. The Company adopted the new standard concurrent with the issuance of our 7% Series A Perpetual Cumulative Convertible Preferred Shares, par value $0.00125 per share, on March 1, 2022. Under ASU 2020-06,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Adoption of the new standard did not materially impact our financial position or results of operations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Insurance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Reserve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for Losses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75"/>
              </w:rPr>
              <w:t>Losses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4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3"/>
              </w:rPr>
              <w:t>Policy</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and Loss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and Loss</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of Policy</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Adjustment</w:t>
            </w: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Unearned</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Earned</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Adjustment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Operating</w:t>
            </w:r>
          </w:p>
        </w:tc>
        <w:tc>
          <w:tcPr>
            <w:tcW w:w="140" w:type="dxa"/>
            <w:vAlign w:val="bottom"/>
          </w:tcPr>
          <w:p>
            <w:pPr>
              <w:spacing w:after="0"/>
              <w:rPr>
                <w:sz w:val="11"/>
                <w:szCs w:val="11"/>
                <w:color w:val="auto"/>
              </w:rPr>
            </w:pPr>
          </w:p>
        </w:tc>
        <w:tc>
          <w:tcPr>
            <w:tcW w:w="7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8"/>
              </w:rPr>
              <w:t>Written</w:t>
            </w:r>
          </w:p>
        </w:tc>
        <w:tc>
          <w:tcPr>
            <w:tcW w:w="0" w:type="dxa"/>
            <w:vAlign w:val="bottom"/>
          </w:tcPr>
          <w:p>
            <w:pPr>
              <w:spacing w:after="0"/>
              <w:rPr>
                <w:sz w:val="1"/>
                <w:szCs w:val="1"/>
                <w:color w:val="auto"/>
              </w:rPr>
            </w:pPr>
          </w:p>
        </w:tc>
      </w:tr>
      <w:tr>
        <w:trPr>
          <w:trHeight w:val="170"/>
        </w:trPr>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77"/>
              </w:rPr>
              <w:t>Costs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Expenses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Premiums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Premiums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2"/>
              </w:rPr>
              <w:t>Expenses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2"/>
              </w:rPr>
              <w:t>Costs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Expenses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9"/>
              </w:rPr>
              <w:t>Premiums</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36,917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1,585,860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405,139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555,597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28,664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382,094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59,465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106,194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589,056</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Admitted</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755,102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76,390</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26,766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428,033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97,820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104,172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42,987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83,033</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59,603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2,768,995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676,016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766,161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544,814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195,557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748,479</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26,297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1,623,635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382,479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486,000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13,811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516,299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50,283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91,179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501,250</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Admitted</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686,643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83,935</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438,195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179,075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159,195</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68,526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2,748,473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727,552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695,594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792,352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69,663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164,692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744,380</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25,875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1,276,054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345,976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415,168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18,664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318,467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49,387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88,520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450,346</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Admitted</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600,309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59,884</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315,717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137,544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62,953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2,192,080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630,371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606,806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73,368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478,545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75,578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165,498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647,774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5" w:name="page176"/>
    <w:bookmarkEnd w:id="17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b w:val="1"/>
                <w:bCs w:val="1"/>
                <w:color w:val="auto"/>
              </w:rPr>
              <w:t>SCHEDULE IV</w:t>
            </w:r>
          </w:p>
        </w:tc>
        <w:tc>
          <w:tcPr>
            <w:tcW w:w="0" w:type="dxa"/>
            <w:vAlign w:val="bottom"/>
          </w:tcPr>
          <w:p>
            <w:pPr>
              <w:spacing w:after="0"/>
              <w:rPr>
                <w:sz w:val="1"/>
                <w:szCs w:val="1"/>
                <w:color w:val="auto"/>
              </w:rPr>
            </w:pPr>
          </w:p>
        </w:tc>
      </w:tr>
      <w:tr>
        <w:trPr>
          <w:trHeight w:val="324"/>
        </w:trPr>
        <w:tc>
          <w:tcPr>
            <w:tcW w:w="8340" w:type="dxa"/>
            <w:vAlign w:val="bottom"/>
            <w:gridSpan w:val="10"/>
          </w:tcPr>
          <w:p>
            <w:pPr>
              <w:jc w:val="center"/>
              <w:ind w:left="283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8"/>
              </w:rPr>
              <w:t>Reinsurance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Ceded</w:t>
            </w:r>
          </w:p>
        </w:tc>
        <w:tc>
          <w:tcPr>
            <w:tcW w:w="200" w:type="dxa"/>
            <w:vAlign w:val="bottom"/>
          </w:tcPr>
          <w:p>
            <w:pPr>
              <w:spacing w:after="0"/>
              <w:rPr>
                <w:sz w:val="23"/>
                <w:szCs w:val="23"/>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Assumed</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Direct</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5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4"/>
              </w:rPr>
              <w:t>of Amount</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to Other</w:t>
            </w:r>
          </w:p>
        </w:tc>
        <w:tc>
          <w:tcPr>
            <w:tcW w:w="20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from Other</w:t>
            </w: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Assumed</w:t>
            </w:r>
          </w:p>
        </w:tc>
        <w:tc>
          <w:tcPr>
            <w:tcW w:w="0" w:type="dxa"/>
            <w:vAlign w:val="bottom"/>
          </w:tcPr>
          <w:p>
            <w:pPr>
              <w:spacing w:after="0"/>
              <w:rPr>
                <w:sz w:val="1"/>
                <w:szCs w:val="1"/>
                <w:color w:val="auto"/>
              </w:rPr>
            </w:pPr>
          </w:p>
        </w:tc>
      </w:tr>
      <w:tr>
        <w:trPr>
          <w:trHeight w:val="197"/>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Companies</w:t>
            </w: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Companies</w:t>
            </w:r>
          </w:p>
        </w:tc>
        <w:tc>
          <w:tcPr>
            <w:tcW w:w="240" w:type="dxa"/>
            <w:vAlign w:val="bottom"/>
          </w:tcPr>
          <w:p>
            <w:pPr>
              <w:spacing w:after="0"/>
              <w:rPr>
                <w:sz w:val="17"/>
                <w:szCs w:val="17"/>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to Net</w:t>
            </w: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Excess and Surplus Lines Written Premiums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921,164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332,108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589,056</w:t>
            </w:r>
          </w:p>
        </w:tc>
        <w:tc>
          <w:tcPr>
            <w:tcW w:w="100" w:type="dxa"/>
            <w:vAlign w:val="bottom"/>
          </w:tcPr>
          <w:p>
            <w:pPr>
              <w:spacing w:after="0"/>
              <w:rPr>
                <w:sz w:val="19"/>
                <w:szCs w:val="19"/>
                <w:color w:val="auto"/>
              </w:rPr>
            </w:pP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Written Premiums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Casualty Reinsurance Written Premiums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83,033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102.6 %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Written Premiums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748,479</w:t>
            </w:r>
          </w:p>
        </w:tc>
        <w:tc>
          <w:tcPr>
            <w:tcW w:w="1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Specialty Admitted Written Premiums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407,626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83,935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 Written Premiums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159,195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Written Premiums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1,322,034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762,919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744,380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December 31, 2020</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Excess and Surplus Lines Written Premiums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699,143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248,797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450,346</w:t>
            </w:r>
          </w:p>
        </w:tc>
        <w:tc>
          <w:tcPr>
            <w:tcW w:w="100" w:type="dxa"/>
            <w:vAlign w:val="bottom"/>
          </w:tcPr>
          <w:p>
            <w:pPr>
              <w:spacing w:after="0"/>
              <w:rPr>
                <w:sz w:val="19"/>
                <w:szCs w:val="19"/>
                <w:color w:val="auto"/>
              </w:rPr>
            </w:pP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Written Premiums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Casualty Reinsurance Written Premiums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137,544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108.4 %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Written Premiums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647,774</w:t>
            </w:r>
          </w:p>
        </w:tc>
        <w:tc>
          <w:tcPr>
            <w:tcW w:w="1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-187960</wp:posOffset>
            </wp:positionV>
            <wp:extent cx="916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-1696720</wp:posOffset>
            </wp:positionV>
            <wp:extent cx="9169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SCHEDULE V</w:t>
            </w:r>
          </w:p>
        </w:tc>
        <w:tc>
          <w:tcPr>
            <w:tcW w:w="0" w:type="dxa"/>
            <w:vAlign w:val="bottom"/>
          </w:tcPr>
          <w:p>
            <w:pPr>
              <w:spacing w:after="0"/>
              <w:rPr>
                <w:sz w:val="1"/>
                <w:szCs w:val="1"/>
                <w:color w:val="auto"/>
              </w:rPr>
            </w:pPr>
          </w:p>
        </w:tc>
      </w:tr>
      <w:tr>
        <w:trPr>
          <w:trHeight w:val="324"/>
        </w:trPr>
        <w:tc>
          <w:tcPr>
            <w:tcW w:w="8240" w:type="dxa"/>
            <w:vAlign w:val="bottom"/>
            <w:gridSpan w:val="9"/>
          </w:tcPr>
          <w:p>
            <w:pPr>
              <w:ind w:left="304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5"/>
          </w:tcPr>
          <w:p>
            <w:pPr>
              <w:ind w:left="4280"/>
              <w:spacing w:after="0"/>
              <w:rPr>
                <w:sz w:val="20"/>
                <w:szCs w:val="20"/>
                <w:color w:val="auto"/>
              </w:rPr>
            </w:pPr>
            <w:r>
              <w:rPr>
                <w:rFonts w:ascii="Arial" w:cs="Arial" w:eastAsia="Arial" w:hAnsi="Arial"/>
                <w:sz w:val="18"/>
                <w:szCs w:val="18"/>
                <w:b w:val="1"/>
                <w:bCs w:val="1"/>
                <w:color w:val="auto"/>
                <w:w w:val="91"/>
              </w:rPr>
              <w:t>Valuation and Qualifying Accounts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Balance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24"/>
                <w:szCs w:val="24"/>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Deductions</w:t>
            </w:r>
          </w:p>
        </w:tc>
        <w:tc>
          <w:tcPr>
            <w:tcW w:w="200" w:type="dxa"/>
            <w:vAlign w:val="bottom"/>
          </w:tcPr>
          <w:p>
            <w:pPr>
              <w:spacing w:after="0"/>
              <w:rPr>
                <w:sz w:val="24"/>
                <w:szCs w:val="2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9"/>
              </w:rPr>
              <w:t>Amounts</w:t>
            </w:r>
          </w:p>
        </w:tc>
        <w:tc>
          <w:tcPr>
            <w:tcW w:w="5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9"/>
              </w:rPr>
              <w:t>Amounts</w:t>
            </w:r>
          </w:p>
        </w:tc>
        <w:tc>
          <w:tcPr>
            <w:tcW w:w="48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at Beginning</w:t>
            </w:r>
          </w:p>
        </w:tc>
        <w:tc>
          <w:tcPr>
            <w:tcW w:w="320" w:type="dxa"/>
            <w:vAlign w:val="bottom"/>
          </w:tcPr>
          <w:p>
            <w:pPr>
              <w:spacing w:after="0"/>
              <w:rPr>
                <w:sz w:val="12"/>
                <w:szCs w:val="12"/>
                <w:color w:val="auto"/>
              </w:rPr>
            </w:pPr>
          </w:p>
        </w:tc>
        <w:tc>
          <w:tcPr>
            <w:tcW w:w="12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2"/>
                <w:szCs w:val="12"/>
                <w:color w:val="auto"/>
              </w:rPr>
            </w:pPr>
          </w:p>
        </w:tc>
        <w:tc>
          <w:tcPr>
            <w:tcW w:w="13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Written Off</w:t>
            </w: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of Period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7"/>
                <w:szCs w:val="17"/>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or Disposals</w:t>
            </w:r>
          </w:p>
        </w:tc>
        <w:tc>
          <w:tcPr>
            <w:tcW w:w="2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7"/>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7"/>
              </w:rPr>
              <w:t>Allowance for Credit Losses on Premiums Receivable and Agents'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Balances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Reinsurance Balances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Allowance for Credit Losses on Bank Loans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Allowance for Credit Losses on Premiums Receivable and Agents'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Allowance for Credit Losses on Reinsurance Balances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Bank Loans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9,722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December 31, 2020</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7"/>
              </w:rPr>
              <w:t>Allowance for Credit Losses on Premiums Receivable and Agents'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Balances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Reinsurance Balances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Allowance for Credit Losses on Bank Loans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80" w:firstLine="364"/>
        <w:spacing w:after="0" w:line="259" w:lineRule="auto"/>
        <w:rPr>
          <w:sz w:val="20"/>
          <w:szCs w:val="20"/>
          <w:color w:val="auto"/>
        </w:rPr>
      </w:pPr>
      <w:r>
        <w:rPr>
          <w:rFonts w:ascii="Arial" w:cs="Arial" w:eastAsia="Arial" w:hAnsi="Arial"/>
          <w:sz w:val="18"/>
          <w:szCs w:val="18"/>
          <w:color w:val="auto"/>
        </w:rPr>
        <w:t>In connection with the adoption of ASU 2016-13, the Company elected the fair value option in accounting for bank loan participations effective January 1, 2020. Under the fair value option, bank loan participations are measured at fair value, and changes in unrealized gains and losses in bank loan participations are reported in our income statement as net realized and unrealized gains (losses) on investments. Also u</w:t>
      </w:r>
      <w:r>
        <w:rPr>
          <w:rFonts w:ascii="Arial" w:cs="Arial" w:eastAsia="Arial" w:hAnsi="Arial"/>
          <w:sz w:val="18"/>
          <w:szCs w:val="18"/>
          <w:color w:val="231F20"/>
        </w:rPr>
        <w:t>pon adoption of ASU</w:t>
      </w:r>
      <w:r>
        <w:rPr>
          <w:rFonts w:ascii="Arial" w:cs="Arial" w:eastAsia="Arial" w:hAnsi="Arial"/>
          <w:sz w:val="18"/>
          <w:szCs w:val="18"/>
          <w:color w:val="auto"/>
        </w:rPr>
        <w:t xml:space="preserve"> 2016-13</w:t>
      </w:r>
      <w:r>
        <w:rPr>
          <w:rFonts w:ascii="Arial" w:cs="Arial" w:eastAsia="Arial" w:hAnsi="Arial"/>
          <w:sz w:val="18"/>
          <w:szCs w:val="18"/>
          <w:color w:val="231F20"/>
        </w:rPr>
        <w:t>, the</w:t>
      </w:r>
      <w:r>
        <w:rPr>
          <w:rFonts w:ascii="Arial" w:cs="Arial" w:eastAsia="Arial" w:hAnsi="Arial"/>
          <w:sz w:val="18"/>
          <w:szCs w:val="18"/>
          <w:color w:val="auto"/>
        </w:rPr>
        <w:t xml:space="preserve"> </w:t>
      </w:r>
      <w:r>
        <w:rPr>
          <w:rFonts w:ascii="Arial" w:cs="Arial" w:eastAsia="Arial" w:hAnsi="Arial"/>
          <w:sz w:val="18"/>
          <w:szCs w:val="18"/>
          <w:color w:val="231F20"/>
        </w:rPr>
        <w:t>Company established an allowance for credit losses on reinsurance balances.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 Concerning Property Casualty Insurance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82"/>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Reserve for losses and loss adjustment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2,768,995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2,748,473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2,192,080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630,371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695,594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606,806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73,368</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Losses and loss adjustment expenses incurred: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386,341</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Prior years - retroactive reinsurance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 - excluding retroactive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losses and loss adjustment expenses incurred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478,545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75,578</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Paid losses and loss adjustment expenses, net of reinsurance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392,468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469,945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647,774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26"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BYE-LAWS</w:t>
      </w:r>
    </w:p>
    <w:p>
      <w:pPr>
        <w:spacing w:after="0" w:line="211"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JAMES RIVER GROUP HOLDINGS, LTD.</w:t>
      </w:r>
    </w:p>
    <w:p>
      <w:pPr>
        <w:sectPr>
          <w:pgSz w:w="11900" w:h="16838" w:orient="portrait"/>
          <w:cols w:equalWidth="0" w:num="1">
            <w:col w:w="10120"/>
          </w:cols>
          <w:pgMar w:left="1440" w:top="121"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Definitions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Power to Issue Shares</w:t>
      </w:r>
    </w:p>
    <w:p>
      <w:pPr>
        <w:spacing w:after="0" w:line="225" w:lineRule="exact"/>
        <w:rPr>
          <w:rFonts w:ascii="Arial" w:cs="Arial" w:eastAsia="Arial" w:hAnsi="Arial"/>
          <w:sz w:val="18"/>
          <w:szCs w:val="18"/>
          <w:color w:val="010000"/>
        </w:rPr>
      </w:pPr>
    </w:p>
    <w:p>
      <w:pPr>
        <w:ind w:right="160" w:firstLine="8"/>
        <w:spacing w:after="0" w:line="277" w:lineRule="auto"/>
        <w:tabs>
          <w:tab w:leader="none" w:pos="315"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Power and Obligation of the Company to Purchase its Shares</w:t>
      </w:r>
    </w:p>
    <w:p>
      <w:pPr>
        <w:spacing w:after="0" w:line="170" w:lineRule="exact"/>
        <w:rPr>
          <w:rFonts w:ascii="Arial" w:cs="Arial" w:eastAsia="Arial" w:hAnsi="Arial"/>
          <w:sz w:val="18"/>
          <w:szCs w:val="18"/>
          <w:color w:val="010000"/>
        </w:rPr>
      </w:pPr>
    </w:p>
    <w:p>
      <w:pPr>
        <w:ind w:left="320" w:hanging="312"/>
        <w:spacing w:after="0"/>
        <w:tabs>
          <w:tab w:leader="none" w:pos="3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Rights Attaching to Shares</w:t>
      </w:r>
    </w:p>
    <w:p>
      <w:pPr>
        <w:spacing w:after="0" w:line="235" w:lineRule="exact"/>
        <w:rPr>
          <w:rFonts w:ascii="Arial" w:cs="Arial" w:eastAsia="Arial" w:hAnsi="Arial"/>
          <w:sz w:val="18"/>
          <w:szCs w:val="18"/>
          <w:color w:val="010000"/>
        </w:rPr>
      </w:pPr>
    </w:p>
    <w:p>
      <w:pPr>
        <w:ind w:left="320" w:hanging="312"/>
        <w:spacing w:after="0"/>
        <w:tabs>
          <w:tab w:leader="none" w:pos="320" w:val="left"/>
        </w:tabs>
        <w:numPr>
          <w:ilvl w:val="0"/>
          <w:numId w:val="63"/>
        </w:numPr>
        <w:rPr>
          <w:rFonts w:ascii="Arial" w:cs="Arial" w:eastAsia="Arial" w:hAnsi="Arial"/>
          <w:sz w:val="18"/>
          <w:szCs w:val="18"/>
          <w:color w:val="010000"/>
        </w:rPr>
      </w:pPr>
      <w:r>
        <w:rPr>
          <w:rFonts w:ascii="Arial" w:cs="Arial" w:eastAsia="Arial" w:hAnsi="Arial"/>
          <w:sz w:val="20"/>
          <w:szCs w:val="20"/>
          <w:color w:val="auto"/>
        </w:rPr>
        <w:t>[</w:t>
      </w:r>
      <w:r>
        <w:rPr>
          <w:rFonts w:ascii="Arial" w:cs="Arial" w:eastAsia="Arial" w:hAnsi="Arial"/>
          <w:sz w:val="17"/>
          <w:szCs w:val="17"/>
          <w:color w:val="auto"/>
        </w:rPr>
        <w:t>Intentionally Omitted]</w:t>
      </w:r>
    </w:p>
    <w:p>
      <w:pPr>
        <w:spacing w:after="0" w:line="218" w:lineRule="exact"/>
        <w:rPr>
          <w:rFonts w:ascii="Arial" w:cs="Arial" w:eastAsia="Arial" w:hAnsi="Arial"/>
          <w:sz w:val="18"/>
          <w:szCs w:val="18"/>
          <w:color w:val="010000"/>
        </w:rPr>
      </w:pPr>
    </w:p>
    <w:p>
      <w:pPr>
        <w:ind w:left="320" w:hanging="312"/>
        <w:spacing w:after="0"/>
        <w:tabs>
          <w:tab w:leader="none" w:pos="3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010000"/>
        </w:rPr>
      </w:pPr>
    </w:p>
    <w:p>
      <w:pPr>
        <w:ind w:left="320" w:hanging="312"/>
        <w:spacing w:after="0"/>
        <w:tabs>
          <w:tab w:leader="none" w:pos="3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Calls on Shares</w:t>
      </w:r>
    </w:p>
    <w:p>
      <w:pPr>
        <w:spacing w:after="0" w:line="225" w:lineRule="exact"/>
        <w:rPr>
          <w:rFonts w:ascii="Arial" w:cs="Arial" w:eastAsia="Arial" w:hAnsi="Arial"/>
          <w:sz w:val="18"/>
          <w:szCs w:val="18"/>
          <w:color w:val="010000"/>
        </w:rPr>
      </w:pPr>
    </w:p>
    <w:p>
      <w:pPr>
        <w:ind w:left="320" w:hanging="312"/>
        <w:spacing w:after="0"/>
        <w:tabs>
          <w:tab w:leader="none" w:pos="3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Forfeiture of Shares</w:t>
      </w:r>
    </w:p>
    <w:p>
      <w:pPr>
        <w:spacing w:after="0" w:line="225" w:lineRule="exact"/>
        <w:rPr>
          <w:rFonts w:ascii="Arial" w:cs="Arial" w:eastAsia="Arial" w:hAnsi="Arial"/>
          <w:sz w:val="18"/>
          <w:szCs w:val="18"/>
          <w:color w:val="010000"/>
        </w:rPr>
      </w:pPr>
    </w:p>
    <w:p>
      <w:pPr>
        <w:ind w:left="320" w:hanging="312"/>
        <w:spacing w:after="0"/>
        <w:tabs>
          <w:tab w:leader="none" w:pos="3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Share Certificates</w:t>
      </w:r>
    </w:p>
    <w:p>
      <w:pPr>
        <w:spacing w:after="0" w:line="225" w:lineRule="exact"/>
        <w:rPr>
          <w:rFonts w:ascii="Arial" w:cs="Arial" w:eastAsia="Arial" w:hAnsi="Arial"/>
          <w:sz w:val="18"/>
          <w:szCs w:val="18"/>
          <w:color w:val="010000"/>
        </w:rPr>
      </w:pPr>
    </w:p>
    <w:p>
      <w:pPr>
        <w:ind w:left="420" w:hanging="412"/>
        <w:spacing w:after="0"/>
        <w:tabs>
          <w:tab w:leader="none" w:pos="4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Fractional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SHARES</w:t>
      </w:r>
    </w:p>
    <w:p>
      <w:pPr>
        <w:spacing w:after="0" w:line="229"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Register of Members</w:t>
      </w:r>
    </w:p>
    <w:p>
      <w:pPr>
        <w:spacing w:after="0" w:line="225" w:lineRule="exact"/>
        <w:rPr>
          <w:rFonts w:ascii="Arial" w:cs="Arial" w:eastAsia="Arial" w:hAnsi="Arial"/>
          <w:sz w:val="18"/>
          <w:szCs w:val="18"/>
          <w:color w:val="010000"/>
        </w:rPr>
      </w:pPr>
    </w:p>
    <w:p>
      <w:pPr>
        <w:ind w:left="420" w:hanging="412"/>
        <w:spacing w:after="0"/>
        <w:tabs>
          <w:tab w:leader="none" w:pos="420" w:val="left"/>
        </w:tabs>
        <w:numPr>
          <w:ilvl w:val="0"/>
          <w:numId w:val="64"/>
        </w:numPr>
        <w:rPr>
          <w:rFonts w:ascii="Arial" w:cs="Arial" w:eastAsia="Arial" w:hAnsi="Arial"/>
          <w:sz w:val="17"/>
          <w:szCs w:val="17"/>
          <w:color w:val="010000"/>
        </w:rPr>
      </w:pPr>
      <w:r>
        <w:rPr>
          <w:rFonts w:ascii="Arial" w:cs="Arial" w:eastAsia="Arial" w:hAnsi="Arial"/>
          <w:sz w:val="17"/>
          <w:szCs w:val="17"/>
          <w:color w:val="auto"/>
        </w:rPr>
        <w:t>Registered Holder Absolute Owner</w:t>
      </w:r>
    </w:p>
    <w:p>
      <w:pPr>
        <w:spacing w:after="0" w:line="236" w:lineRule="exact"/>
        <w:rPr>
          <w:rFonts w:ascii="Arial" w:cs="Arial" w:eastAsia="Arial" w:hAnsi="Arial"/>
          <w:sz w:val="17"/>
          <w:szCs w:val="17"/>
          <w:color w:val="010000"/>
        </w:rPr>
      </w:pPr>
    </w:p>
    <w:p>
      <w:pPr>
        <w:ind w:left="420" w:hanging="412"/>
        <w:spacing w:after="0"/>
        <w:tabs>
          <w:tab w:leader="none" w:pos="42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Transfer of Registered Shares</w:t>
      </w:r>
    </w:p>
    <w:p>
      <w:pPr>
        <w:spacing w:after="0" w:line="225" w:lineRule="exact"/>
        <w:rPr>
          <w:rFonts w:ascii="Arial" w:cs="Arial" w:eastAsia="Arial" w:hAnsi="Arial"/>
          <w:sz w:val="18"/>
          <w:szCs w:val="18"/>
          <w:color w:val="010000"/>
        </w:rPr>
      </w:pPr>
    </w:p>
    <w:p>
      <w:pPr>
        <w:ind w:left="420" w:hanging="412"/>
        <w:spacing w:after="0"/>
        <w:tabs>
          <w:tab w:leader="none" w:pos="420" w:val="left"/>
        </w:tabs>
        <w:numPr>
          <w:ilvl w:val="0"/>
          <w:numId w:val="64"/>
        </w:numPr>
        <w:rPr>
          <w:rFonts w:ascii="Arial" w:cs="Arial" w:eastAsia="Arial" w:hAnsi="Arial"/>
          <w:sz w:val="17"/>
          <w:szCs w:val="17"/>
          <w:color w:val="010000"/>
        </w:rPr>
      </w:pPr>
      <w:r>
        <w:rPr>
          <w:rFonts w:ascii="Arial" w:cs="Arial" w:eastAsia="Arial" w:hAnsi="Arial"/>
          <w:sz w:val="17"/>
          <w:szCs w:val="17"/>
          <w:color w:val="auto"/>
        </w:rPr>
        <w:t>Transmission of Registered Shares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ALTERATION OF SHARE CAPITAL</w:t>
      </w:r>
    </w:p>
    <w:p>
      <w:pPr>
        <w:spacing w:after="0" w:line="229"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Power to Alter Capital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010000"/>
              </w:rPr>
              <w:t>16.</w:t>
            </w:r>
          </w:p>
        </w:tc>
        <w:tc>
          <w:tcPr>
            <w:tcW w:w="3200" w:type="dxa"/>
            <w:vAlign w:val="bottom"/>
          </w:tcPr>
          <w:p>
            <w:pPr>
              <w:ind w:left="80"/>
              <w:spacing w:after="0"/>
              <w:rPr>
                <w:sz w:val="20"/>
                <w:szCs w:val="20"/>
                <w:color w:val="auto"/>
              </w:rPr>
            </w:pPr>
            <w:r>
              <w:rPr>
                <w:rFonts w:ascii="Arial" w:cs="Arial" w:eastAsia="Arial" w:hAnsi="Arial"/>
                <w:sz w:val="18"/>
                <w:szCs w:val="18"/>
                <w:color w:val="auto"/>
              </w:rPr>
              <w:t>Variation of Rights Attaching to</w:t>
            </w:r>
          </w:p>
        </w:tc>
        <w:tc>
          <w:tcPr>
            <w:tcW w:w="780" w:type="dxa"/>
            <w:vAlign w:val="bottom"/>
          </w:tcPr>
          <w:p>
            <w:pPr>
              <w:ind w:left="460"/>
              <w:spacing w:after="0"/>
              <w:rPr>
                <w:sz w:val="20"/>
                <w:szCs w:val="20"/>
                <w:color w:val="auto"/>
              </w:rPr>
            </w:pPr>
            <w:r>
              <w:rPr>
                <w:rFonts w:ascii="Arial" w:cs="Arial" w:eastAsia="Arial" w:hAnsi="Arial"/>
                <w:sz w:val="18"/>
                <w:szCs w:val="18"/>
                <w:color w:val="010000"/>
              </w:rPr>
              <w:t>31.</w:t>
            </w:r>
          </w:p>
        </w:tc>
        <w:tc>
          <w:tcPr>
            <w:tcW w:w="2780" w:type="dxa"/>
            <w:vAlign w:val="bottom"/>
          </w:tcPr>
          <w:p>
            <w:pPr>
              <w:ind w:left="80"/>
              <w:spacing w:after="0"/>
              <w:rPr>
                <w:sz w:val="20"/>
                <w:szCs w:val="20"/>
                <w:color w:val="auto"/>
              </w:rPr>
            </w:pPr>
            <w:r>
              <w:rPr>
                <w:rFonts w:ascii="Arial" w:cs="Arial" w:eastAsia="Arial" w:hAnsi="Arial"/>
                <w:sz w:val="18"/>
                <w:szCs w:val="18"/>
                <w:color w:val="auto"/>
              </w:rPr>
              <w:t>Voting on Resolutions</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32.</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w w:val="97"/>
              </w:rPr>
              <w:t>Power to Demand a Vote on a Poll</w:t>
            </w:r>
          </w:p>
        </w:tc>
        <w:tc>
          <w:tcPr>
            <w:tcW w:w="0" w:type="dxa"/>
            <w:vAlign w:val="bottom"/>
          </w:tcPr>
          <w:p>
            <w:pPr>
              <w:spacing w:after="0"/>
              <w:rPr>
                <w:sz w:val="1"/>
                <w:szCs w:val="1"/>
                <w:color w:val="auto"/>
              </w:rPr>
            </w:pPr>
          </w:p>
        </w:tc>
      </w:tr>
      <w:tr>
        <w:trPr>
          <w:trHeight w:val="216"/>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AND CAPITALISATION</w:t>
            </w: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vMerge w:val="continue"/>
          </w:tcPr>
          <w:p>
            <w:pPr>
              <w:spacing w:after="0"/>
              <w:rPr>
                <w:sz w:val="18"/>
                <w:szCs w:val="18"/>
                <w:color w:val="auto"/>
              </w:rPr>
            </w:pP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33.</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rPr>
              <w:t>Voting by Joint Holders of Shares</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17.</w:t>
            </w:r>
          </w:p>
        </w:tc>
        <w:tc>
          <w:tcPr>
            <w:tcW w:w="3200" w:type="dxa"/>
            <w:vAlign w:val="bottom"/>
            <w:vMerge w:val="restart"/>
          </w:tcPr>
          <w:p>
            <w:pPr>
              <w:ind w:left="80"/>
              <w:spacing w:after="0"/>
              <w:rPr>
                <w:sz w:val="20"/>
                <w:szCs w:val="20"/>
                <w:color w:val="auto"/>
              </w:rPr>
            </w:pPr>
            <w:r>
              <w:rPr>
                <w:rFonts w:ascii="Arial" w:cs="Arial" w:eastAsia="Arial" w:hAnsi="Arial"/>
                <w:sz w:val="18"/>
                <w:szCs w:val="18"/>
                <w:color w:val="auto"/>
              </w:rPr>
              <w:t>Dividends</w:t>
            </w: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34.</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rPr>
              <w:t>Instrument of Proxy</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18.</w:t>
            </w:r>
          </w:p>
        </w:tc>
        <w:tc>
          <w:tcPr>
            <w:tcW w:w="3200" w:type="dxa"/>
            <w:vAlign w:val="bottom"/>
            <w:vMerge w:val="restart"/>
          </w:tcPr>
          <w:p>
            <w:pPr>
              <w:ind w:left="80"/>
              <w:spacing w:after="0"/>
              <w:rPr>
                <w:sz w:val="20"/>
                <w:szCs w:val="20"/>
                <w:color w:val="auto"/>
              </w:rPr>
            </w:pPr>
            <w:r>
              <w:rPr>
                <w:rFonts w:ascii="Arial" w:cs="Arial" w:eastAsia="Arial" w:hAnsi="Arial"/>
                <w:sz w:val="18"/>
                <w:szCs w:val="18"/>
                <w:color w:val="auto"/>
              </w:rPr>
              <w:t>Power to Set Aside Profits</w:t>
            </w: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35.</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w w:val="89"/>
              </w:rPr>
              <w:t>Representation of Corporate Member</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19.</w:t>
            </w:r>
          </w:p>
        </w:tc>
        <w:tc>
          <w:tcPr>
            <w:tcW w:w="3200" w:type="dxa"/>
            <w:vAlign w:val="bottom"/>
            <w:vMerge w:val="restart"/>
          </w:tcPr>
          <w:p>
            <w:pPr>
              <w:ind w:left="80"/>
              <w:spacing w:after="0"/>
              <w:rPr>
                <w:sz w:val="20"/>
                <w:szCs w:val="20"/>
                <w:color w:val="auto"/>
              </w:rPr>
            </w:pPr>
            <w:r>
              <w:rPr>
                <w:rFonts w:ascii="Arial" w:cs="Arial" w:eastAsia="Arial" w:hAnsi="Arial"/>
                <w:sz w:val="18"/>
                <w:szCs w:val="18"/>
                <w:color w:val="auto"/>
              </w:rPr>
              <w:t>Method of Payment</w:t>
            </w: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36.</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rPr>
              <w:t>Adjournment of General Meeting</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20.</w:t>
            </w:r>
          </w:p>
        </w:tc>
        <w:tc>
          <w:tcPr>
            <w:tcW w:w="3200" w:type="dxa"/>
            <w:vAlign w:val="bottom"/>
            <w:vMerge w:val="restart"/>
          </w:tcPr>
          <w:p>
            <w:pPr>
              <w:ind w:left="80"/>
              <w:spacing w:after="0"/>
              <w:rPr>
                <w:sz w:val="20"/>
                <w:szCs w:val="20"/>
                <w:color w:val="auto"/>
              </w:rPr>
            </w:pPr>
            <w:r>
              <w:rPr>
                <w:rFonts w:ascii="Arial" w:cs="Arial" w:eastAsia="Arial" w:hAnsi="Arial"/>
                <w:sz w:val="18"/>
                <w:szCs w:val="18"/>
                <w:color w:val="auto"/>
              </w:rPr>
              <w:t>Capitalisation</w:t>
            </w: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37.</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rPr>
              <w:t>Written Resolutions</w:t>
            </w:r>
          </w:p>
        </w:tc>
        <w:tc>
          <w:tcPr>
            <w:tcW w:w="0" w:type="dxa"/>
            <w:vAlign w:val="bottom"/>
          </w:tcPr>
          <w:p>
            <w:pPr>
              <w:spacing w:after="0"/>
              <w:rPr>
                <w:sz w:val="1"/>
                <w:szCs w:val="1"/>
                <w:color w:val="auto"/>
              </w:rPr>
            </w:pPr>
          </w:p>
        </w:tc>
      </w:tr>
      <w:tr>
        <w:trPr>
          <w:trHeight w:val="216"/>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MEETINGS OF MEMBERS</w:t>
            </w: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vMerge w:val="continue"/>
          </w:tcPr>
          <w:p>
            <w:pPr>
              <w:spacing w:after="0"/>
              <w:rPr>
                <w:sz w:val="18"/>
                <w:szCs w:val="18"/>
                <w:color w:val="auto"/>
              </w:rPr>
            </w:pP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38.</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rPr>
              <w:t>Directors Attendance at General</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010000"/>
              </w:rPr>
              <w:t>21.</w:t>
            </w:r>
          </w:p>
        </w:tc>
        <w:tc>
          <w:tcPr>
            <w:tcW w:w="3200" w:type="dxa"/>
            <w:vAlign w:val="bottom"/>
          </w:tcPr>
          <w:p>
            <w:pPr>
              <w:ind w:left="80"/>
              <w:spacing w:after="0"/>
              <w:rPr>
                <w:sz w:val="20"/>
                <w:szCs w:val="20"/>
                <w:color w:val="auto"/>
              </w:rPr>
            </w:pPr>
            <w:r>
              <w:rPr>
                <w:rFonts w:ascii="Arial" w:cs="Arial" w:eastAsia="Arial" w:hAnsi="Arial"/>
                <w:sz w:val="18"/>
                <w:szCs w:val="18"/>
                <w:color w:val="auto"/>
              </w:rPr>
              <w:t>Annual General Meetings</w:t>
            </w:r>
          </w:p>
        </w:tc>
        <w:tc>
          <w:tcPr>
            <w:tcW w:w="3560" w:type="dxa"/>
            <w:vAlign w:val="bottom"/>
            <w:gridSpan w:val="2"/>
          </w:tcPr>
          <w:p>
            <w:pPr>
              <w:ind w:left="460"/>
              <w:spacing w:after="0"/>
              <w:rPr>
                <w:sz w:val="20"/>
                <w:szCs w:val="20"/>
                <w:color w:val="auto"/>
              </w:rPr>
            </w:pPr>
            <w:r>
              <w:rPr>
                <w:rFonts w:ascii="Arial" w:cs="Arial" w:eastAsia="Arial" w:hAnsi="Arial"/>
                <w:sz w:val="18"/>
                <w:szCs w:val="18"/>
                <w:color w:val="auto"/>
              </w:rPr>
              <w:t>Meetings</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010000"/>
              </w:rPr>
              <w:t>22.</w:t>
            </w:r>
          </w:p>
        </w:tc>
        <w:tc>
          <w:tcPr>
            <w:tcW w:w="3200" w:type="dxa"/>
            <w:vAlign w:val="bottom"/>
          </w:tcPr>
          <w:p>
            <w:pPr>
              <w:ind w:left="80"/>
              <w:spacing w:after="0"/>
              <w:rPr>
                <w:sz w:val="20"/>
                <w:szCs w:val="20"/>
                <w:color w:val="auto"/>
              </w:rPr>
            </w:pPr>
            <w:r>
              <w:rPr>
                <w:rFonts w:ascii="Arial" w:cs="Arial" w:eastAsia="Arial" w:hAnsi="Arial"/>
                <w:sz w:val="18"/>
                <w:szCs w:val="18"/>
                <w:color w:val="010000"/>
              </w:rPr>
              <w:t>S</w:t>
            </w:r>
            <w:r>
              <w:rPr>
                <w:rFonts w:ascii="Arial" w:cs="Arial" w:eastAsia="Arial" w:hAnsi="Arial"/>
                <w:sz w:val="18"/>
                <w:szCs w:val="18"/>
                <w:color w:val="000000"/>
              </w:rPr>
              <w:t>pecial General Meetings</w:t>
            </w:r>
          </w:p>
        </w:tc>
        <w:tc>
          <w:tcPr>
            <w:tcW w:w="3560" w:type="dxa"/>
            <w:vAlign w:val="bottom"/>
            <w:gridSpan w:val="2"/>
          </w:tcPr>
          <w:p>
            <w:pPr>
              <w:ind w:left="460"/>
              <w:spacing w:after="0"/>
              <w:rPr>
                <w:sz w:val="20"/>
                <w:szCs w:val="20"/>
                <w:color w:val="auto"/>
              </w:rPr>
            </w:pPr>
            <w:r>
              <w:rPr>
                <w:rFonts w:ascii="Arial" w:cs="Arial" w:eastAsia="Arial" w:hAnsi="Arial"/>
                <w:sz w:val="18"/>
                <w:szCs w:val="18"/>
                <w:b w:val="1"/>
                <w:bCs w:val="1"/>
                <w:color w:val="auto"/>
              </w:rPr>
              <w:t>DIRECTORS AND OFFICERS</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010000"/>
              </w:rPr>
              <w:t>23.</w:t>
            </w:r>
          </w:p>
        </w:tc>
        <w:tc>
          <w:tcPr>
            <w:tcW w:w="3200" w:type="dxa"/>
            <w:vAlign w:val="bottom"/>
          </w:tcPr>
          <w:p>
            <w:pPr>
              <w:ind w:left="80"/>
              <w:spacing w:after="0"/>
              <w:rPr>
                <w:sz w:val="20"/>
                <w:szCs w:val="20"/>
                <w:color w:val="auto"/>
              </w:rPr>
            </w:pPr>
            <w:r>
              <w:rPr>
                <w:rFonts w:ascii="Arial" w:cs="Arial" w:eastAsia="Arial" w:hAnsi="Arial"/>
                <w:sz w:val="18"/>
                <w:szCs w:val="18"/>
                <w:color w:val="auto"/>
              </w:rPr>
              <w:t>Requisitioned General Meetings</w:t>
            </w:r>
          </w:p>
        </w:tc>
        <w:tc>
          <w:tcPr>
            <w:tcW w:w="780" w:type="dxa"/>
            <w:vAlign w:val="bottom"/>
          </w:tcPr>
          <w:p>
            <w:pPr>
              <w:ind w:left="460"/>
              <w:spacing w:after="0"/>
              <w:rPr>
                <w:sz w:val="20"/>
                <w:szCs w:val="20"/>
                <w:color w:val="auto"/>
              </w:rPr>
            </w:pPr>
            <w:r>
              <w:rPr>
                <w:rFonts w:ascii="Arial" w:cs="Arial" w:eastAsia="Arial" w:hAnsi="Arial"/>
                <w:sz w:val="18"/>
                <w:szCs w:val="18"/>
                <w:color w:val="010000"/>
              </w:rPr>
              <w:t>39.</w:t>
            </w:r>
          </w:p>
        </w:tc>
        <w:tc>
          <w:tcPr>
            <w:tcW w:w="2780" w:type="dxa"/>
            <w:vAlign w:val="bottom"/>
          </w:tcPr>
          <w:p>
            <w:pPr>
              <w:ind w:left="80"/>
              <w:spacing w:after="0"/>
              <w:rPr>
                <w:sz w:val="20"/>
                <w:szCs w:val="20"/>
                <w:color w:val="auto"/>
              </w:rPr>
            </w:pPr>
            <w:r>
              <w:rPr>
                <w:rFonts w:ascii="Arial" w:cs="Arial" w:eastAsia="Arial" w:hAnsi="Arial"/>
                <w:sz w:val="18"/>
                <w:szCs w:val="18"/>
                <w:color w:val="auto"/>
              </w:rPr>
              <w:t>Election of Directors</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010000"/>
              </w:rPr>
              <w:t>24.</w:t>
            </w:r>
          </w:p>
        </w:tc>
        <w:tc>
          <w:tcPr>
            <w:tcW w:w="3200" w:type="dxa"/>
            <w:vAlign w:val="bottom"/>
          </w:tcPr>
          <w:p>
            <w:pPr>
              <w:ind w:left="80"/>
              <w:spacing w:after="0"/>
              <w:rPr>
                <w:sz w:val="20"/>
                <w:szCs w:val="20"/>
                <w:color w:val="auto"/>
              </w:rPr>
            </w:pPr>
            <w:r>
              <w:rPr>
                <w:rFonts w:ascii="Arial" w:cs="Arial" w:eastAsia="Arial" w:hAnsi="Arial"/>
                <w:sz w:val="18"/>
                <w:szCs w:val="18"/>
                <w:color w:val="auto"/>
              </w:rPr>
              <w:t>Notice</w:t>
            </w:r>
          </w:p>
        </w:tc>
        <w:tc>
          <w:tcPr>
            <w:tcW w:w="780" w:type="dxa"/>
            <w:vAlign w:val="bottom"/>
          </w:tcPr>
          <w:p>
            <w:pPr>
              <w:ind w:left="460"/>
              <w:spacing w:after="0"/>
              <w:rPr>
                <w:sz w:val="20"/>
                <w:szCs w:val="20"/>
                <w:color w:val="auto"/>
              </w:rPr>
            </w:pPr>
            <w:r>
              <w:rPr>
                <w:rFonts w:ascii="Arial" w:cs="Arial" w:eastAsia="Arial" w:hAnsi="Arial"/>
                <w:sz w:val="18"/>
                <w:szCs w:val="18"/>
                <w:color w:val="010000"/>
              </w:rPr>
              <w:t>40.</w:t>
            </w:r>
          </w:p>
        </w:tc>
        <w:tc>
          <w:tcPr>
            <w:tcW w:w="2780" w:type="dxa"/>
            <w:vAlign w:val="bottom"/>
          </w:tcPr>
          <w:p>
            <w:pPr>
              <w:ind w:left="80"/>
              <w:spacing w:after="0"/>
              <w:rPr>
                <w:sz w:val="20"/>
                <w:szCs w:val="20"/>
                <w:color w:val="auto"/>
              </w:rPr>
            </w:pPr>
            <w:r>
              <w:rPr>
                <w:rFonts w:ascii="Arial" w:cs="Arial" w:eastAsia="Arial" w:hAnsi="Arial"/>
                <w:sz w:val="18"/>
                <w:szCs w:val="18"/>
                <w:color w:val="auto"/>
              </w:rPr>
              <w:t>Number of Directors</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010000"/>
              </w:rPr>
              <w:t>25.</w:t>
            </w:r>
          </w:p>
        </w:tc>
        <w:tc>
          <w:tcPr>
            <w:tcW w:w="3200" w:type="dxa"/>
            <w:vAlign w:val="bottom"/>
          </w:tcPr>
          <w:p>
            <w:pPr>
              <w:ind w:left="80"/>
              <w:spacing w:after="0"/>
              <w:rPr>
                <w:sz w:val="20"/>
                <w:szCs w:val="20"/>
                <w:color w:val="auto"/>
              </w:rPr>
            </w:pPr>
            <w:r>
              <w:rPr>
                <w:rFonts w:ascii="Arial" w:cs="Arial" w:eastAsia="Arial" w:hAnsi="Arial"/>
                <w:sz w:val="18"/>
                <w:szCs w:val="18"/>
                <w:color w:val="auto"/>
              </w:rPr>
              <w:t>Giving Notice and Access</w:t>
            </w:r>
          </w:p>
        </w:tc>
        <w:tc>
          <w:tcPr>
            <w:tcW w:w="780" w:type="dxa"/>
            <w:vAlign w:val="bottom"/>
          </w:tcPr>
          <w:p>
            <w:pPr>
              <w:ind w:left="460"/>
              <w:spacing w:after="0"/>
              <w:rPr>
                <w:sz w:val="20"/>
                <w:szCs w:val="20"/>
                <w:color w:val="auto"/>
              </w:rPr>
            </w:pPr>
            <w:r>
              <w:rPr>
                <w:rFonts w:ascii="Arial" w:cs="Arial" w:eastAsia="Arial" w:hAnsi="Arial"/>
                <w:sz w:val="18"/>
                <w:szCs w:val="18"/>
                <w:color w:val="010000"/>
              </w:rPr>
              <w:t>41.</w:t>
            </w:r>
          </w:p>
        </w:tc>
        <w:tc>
          <w:tcPr>
            <w:tcW w:w="2780" w:type="dxa"/>
            <w:vAlign w:val="bottom"/>
          </w:tcPr>
          <w:p>
            <w:pPr>
              <w:ind w:left="80"/>
              <w:spacing w:after="0"/>
              <w:rPr>
                <w:sz w:val="20"/>
                <w:szCs w:val="20"/>
                <w:color w:val="auto"/>
              </w:rPr>
            </w:pPr>
            <w:r>
              <w:rPr>
                <w:rFonts w:ascii="Arial" w:cs="Arial" w:eastAsia="Arial" w:hAnsi="Arial"/>
                <w:sz w:val="18"/>
                <w:szCs w:val="18"/>
                <w:color w:val="auto"/>
              </w:rPr>
              <w:t>Term of Office of Directors</w:t>
            </w:r>
          </w:p>
        </w:tc>
        <w:tc>
          <w:tcPr>
            <w:tcW w:w="0" w:type="dxa"/>
            <w:vAlign w:val="bottom"/>
          </w:tcPr>
          <w:p>
            <w:pPr>
              <w:spacing w:after="0"/>
              <w:rPr>
                <w:sz w:val="1"/>
                <w:szCs w:val="1"/>
                <w:color w:val="auto"/>
              </w:rPr>
            </w:pP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010000"/>
              </w:rPr>
              <w:t>26.</w:t>
            </w:r>
          </w:p>
        </w:tc>
        <w:tc>
          <w:tcPr>
            <w:tcW w:w="3200" w:type="dxa"/>
            <w:vAlign w:val="bottom"/>
          </w:tcPr>
          <w:p>
            <w:pPr>
              <w:ind w:left="80"/>
              <w:spacing w:after="0"/>
              <w:rPr>
                <w:sz w:val="20"/>
                <w:szCs w:val="20"/>
                <w:color w:val="auto"/>
              </w:rPr>
            </w:pPr>
            <w:r>
              <w:rPr>
                <w:rFonts w:ascii="Arial" w:cs="Arial" w:eastAsia="Arial" w:hAnsi="Arial"/>
                <w:sz w:val="18"/>
                <w:szCs w:val="18"/>
                <w:color w:val="auto"/>
              </w:rPr>
              <w:t>Notice of Nominations and Member</w:t>
            </w:r>
          </w:p>
        </w:tc>
        <w:tc>
          <w:tcPr>
            <w:tcW w:w="780" w:type="dxa"/>
            <w:vAlign w:val="bottom"/>
          </w:tcPr>
          <w:p>
            <w:pPr>
              <w:ind w:left="460"/>
              <w:spacing w:after="0"/>
              <w:rPr>
                <w:sz w:val="20"/>
                <w:szCs w:val="20"/>
                <w:color w:val="auto"/>
              </w:rPr>
            </w:pPr>
            <w:r>
              <w:rPr>
                <w:rFonts w:ascii="Arial" w:cs="Arial" w:eastAsia="Arial" w:hAnsi="Arial"/>
                <w:sz w:val="18"/>
                <w:szCs w:val="18"/>
                <w:color w:val="010000"/>
              </w:rPr>
              <w:t>42.</w:t>
            </w:r>
          </w:p>
        </w:tc>
        <w:tc>
          <w:tcPr>
            <w:tcW w:w="2780" w:type="dxa"/>
            <w:vAlign w:val="bottom"/>
          </w:tcPr>
          <w:p>
            <w:pPr>
              <w:ind w:left="80"/>
              <w:spacing w:after="0"/>
              <w:rPr>
                <w:sz w:val="20"/>
                <w:szCs w:val="20"/>
                <w:color w:val="auto"/>
              </w:rPr>
            </w:pPr>
            <w:r>
              <w:rPr>
                <w:rFonts w:ascii="Arial" w:cs="Arial" w:eastAsia="Arial" w:hAnsi="Arial"/>
                <w:sz w:val="18"/>
                <w:szCs w:val="18"/>
                <w:color w:val="auto"/>
              </w:rPr>
              <w:t>Removal of Directors</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43.</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rPr>
              <w:t>Committees</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27.</w:t>
            </w:r>
          </w:p>
        </w:tc>
        <w:tc>
          <w:tcPr>
            <w:tcW w:w="3200" w:type="dxa"/>
            <w:vAlign w:val="bottom"/>
            <w:vMerge w:val="restart"/>
          </w:tcPr>
          <w:p>
            <w:pPr>
              <w:ind w:left="80"/>
              <w:spacing w:after="0"/>
              <w:rPr>
                <w:sz w:val="20"/>
                <w:szCs w:val="20"/>
                <w:color w:val="auto"/>
              </w:rPr>
            </w:pPr>
            <w:r>
              <w:rPr>
                <w:rFonts w:ascii="Arial" w:cs="Arial" w:eastAsia="Arial" w:hAnsi="Arial"/>
                <w:sz w:val="18"/>
                <w:szCs w:val="18"/>
                <w:color w:val="auto"/>
              </w:rPr>
              <w:t>Postponement or Cancellation of</w:t>
            </w: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General Meeting</w:t>
            </w:r>
          </w:p>
        </w:tc>
        <w:tc>
          <w:tcPr>
            <w:tcW w:w="780" w:type="dxa"/>
            <w:vAlign w:val="bottom"/>
          </w:tcPr>
          <w:p>
            <w:pPr>
              <w:ind w:left="460"/>
              <w:spacing w:after="0"/>
              <w:rPr>
                <w:sz w:val="20"/>
                <w:szCs w:val="20"/>
                <w:color w:val="auto"/>
              </w:rPr>
            </w:pPr>
            <w:r>
              <w:rPr>
                <w:rFonts w:ascii="Arial" w:cs="Arial" w:eastAsia="Arial" w:hAnsi="Arial"/>
                <w:sz w:val="18"/>
                <w:szCs w:val="18"/>
                <w:color w:val="010000"/>
              </w:rPr>
              <w:t>44.</w:t>
            </w:r>
          </w:p>
        </w:tc>
        <w:tc>
          <w:tcPr>
            <w:tcW w:w="2780" w:type="dxa"/>
            <w:vAlign w:val="bottom"/>
          </w:tcPr>
          <w:p>
            <w:pPr>
              <w:ind w:left="80"/>
              <w:spacing w:after="0"/>
              <w:rPr>
                <w:sz w:val="20"/>
                <w:szCs w:val="20"/>
                <w:color w:val="auto"/>
              </w:rPr>
            </w:pPr>
            <w:r>
              <w:rPr>
                <w:rFonts w:ascii="Arial" w:cs="Arial" w:eastAsia="Arial" w:hAnsi="Arial"/>
                <w:sz w:val="18"/>
                <w:szCs w:val="18"/>
                <w:color w:val="auto"/>
              </w:rPr>
              <w:t>Vacancy in the Office of Director</w:t>
            </w:r>
          </w:p>
        </w:tc>
        <w:tc>
          <w:tcPr>
            <w:tcW w:w="0" w:type="dxa"/>
            <w:vAlign w:val="bottom"/>
          </w:tcPr>
          <w:p>
            <w:pPr>
              <w:spacing w:after="0"/>
              <w:rPr>
                <w:sz w:val="1"/>
                <w:szCs w:val="1"/>
                <w:color w:val="auto"/>
              </w:rPr>
            </w:pP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010000"/>
              </w:rPr>
              <w:t>28.</w:t>
            </w:r>
          </w:p>
        </w:tc>
        <w:tc>
          <w:tcPr>
            <w:tcW w:w="3200" w:type="dxa"/>
            <w:vAlign w:val="bottom"/>
          </w:tcPr>
          <w:p>
            <w:pPr>
              <w:ind w:left="80"/>
              <w:spacing w:after="0"/>
              <w:rPr>
                <w:sz w:val="20"/>
                <w:szCs w:val="20"/>
                <w:color w:val="auto"/>
              </w:rPr>
            </w:pPr>
            <w:r>
              <w:rPr>
                <w:rFonts w:ascii="Arial" w:cs="Arial" w:eastAsia="Arial" w:hAnsi="Arial"/>
                <w:sz w:val="18"/>
                <w:szCs w:val="18"/>
                <w:color w:val="auto"/>
              </w:rPr>
              <w:t>Electronic Participation and Security</w:t>
            </w:r>
          </w:p>
        </w:tc>
        <w:tc>
          <w:tcPr>
            <w:tcW w:w="780" w:type="dxa"/>
            <w:vAlign w:val="bottom"/>
          </w:tcPr>
          <w:p>
            <w:pPr>
              <w:ind w:left="460"/>
              <w:spacing w:after="0"/>
              <w:rPr>
                <w:sz w:val="20"/>
                <w:szCs w:val="20"/>
                <w:color w:val="auto"/>
              </w:rPr>
            </w:pPr>
            <w:r>
              <w:rPr>
                <w:rFonts w:ascii="Arial" w:cs="Arial" w:eastAsia="Arial" w:hAnsi="Arial"/>
                <w:sz w:val="18"/>
                <w:szCs w:val="18"/>
                <w:color w:val="auto"/>
              </w:rPr>
              <w:t>45.</w:t>
            </w:r>
          </w:p>
        </w:tc>
        <w:tc>
          <w:tcPr>
            <w:tcW w:w="2780" w:type="dxa"/>
            <w:vAlign w:val="bottom"/>
          </w:tcPr>
          <w:p>
            <w:pPr>
              <w:ind w:left="80"/>
              <w:spacing w:after="0"/>
              <w:rPr>
                <w:sz w:val="20"/>
                <w:szCs w:val="20"/>
                <w:color w:val="auto"/>
              </w:rPr>
            </w:pPr>
            <w:r>
              <w:rPr>
                <w:rFonts w:ascii="Arial" w:cs="Arial" w:eastAsia="Arial" w:hAnsi="Arial"/>
                <w:sz w:val="18"/>
                <w:szCs w:val="18"/>
                <w:color w:val="auto"/>
              </w:rPr>
              <w:t>Remuneration of Directors</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in Meetings</w:t>
            </w: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46.</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rPr>
              <w:t>Defect in Appointment</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29.</w:t>
            </w:r>
          </w:p>
        </w:tc>
        <w:tc>
          <w:tcPr>
            <w:tcW w:w="3200" w:type="dxa"/>
            <w:vAlign w:val="bottom"/>
            <w:vMerge w:val="restart"/>
          </w:tcPr>
          <w:p>
            <w:pPr>
              <w:ind w:left="80"/>
              <w:spacing w:after="0"/>
              <w:rPr>
                <w:sz w:val="20"/>
                <w:szCs w:val="20"/>
                <w:color w:val="auto"/>
              </w:rPr>
            </w:pPr>
            <w:r>
              <w:rPr>
                <w:rFonts w:ascii="Arial" w:cs="Arial" w:eastAsia="Arial" w:hAnsi="Arial"/>
                <w:sz w:val="18"/>
                <w:szCs w:val="18"/>
                <w:color w:val="auto"/>
              </w:rPr>
              <w:t>Quorum at General Meetings</w:t>
            </w: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780" w:type="dxa"/>
            <w:vAlign w:val="bottom"/>
            <w:vMerge w:val="restart"/>
          </w:tcPr>
          <w:p>
            <w:pPr>
              <w:ind w:left="460"/>
              <w:spacing w:after="0"/>
              <w:rPr>
                <w:sz w:val="20"/>
                <w:szCs w:val="20"/>
                <w:color w:val="auto"/>
              </w:rPr>
            </w:pPr>
            <w:r>
              <w:rPr>
                <w:rFonts w:ascii="Arial" w:cs="Arial" w:eastAsia="Arial" w:hAnsi="Arial"/>
                <w:sz w:val="18"/>
                <w:szCs w:val="18"/>
                <w:color w:val="010000"/>
              </w:rPr>
              <w:t>47.</w:t>
            </w:r>
          </w:p>
        </w:tc>
        <w:tc>
          <w:tcPr>
            <w:tcW w:w="2780" w:type="dxa"/>
            <w:vAlign w:val="bottom"/>
            <w:vMerge w:val="restart"/>
          </w:tcPr>
          <w:p>
            <w:pPr>
              <w:ind w:left="80"/>
              <w:spacing w:after="0"/>
              <w:rPr>
                <w:sz w:val="20"/>
                <w:szCs w:val="20"/>
                <w:color w:val="auto"/>
              </w:rPr>
            </w:pPr>
            <w:r>
              <w:rPr>
                <w:rFonts w:ascii="Arial" w:cs="Arial" w:eastAsia="Arial" w:hAnsi="Arial"/>
                <w:sz w:val="18"/>
                <w:szCs w:val="18"/>
                <w:color w:val="auto"/>
              </w:rPr>
              <w:t>Directors to Manage Business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right="4420" w:firstLine="4"/>
        <w:spacing w:after="0" w:line="260" w:lineRule="auto"/>
        <w:tabs>
          <w:tab w:leader="none" w:pos="405"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Chairman to Preside at General Meetings</w:t>
      </w:r>
    </w:p>
    <w:p>
      <w:pPr>
        <w:sectPr>
          <w:pgSz w:w="11900" w:h="16838" w:orient="portrait"/>
          <w:cols w:equalWidth="0" w:num="2">
            <w:col w:w="3260" w:space="720"/>
            <w:col w:w="7080"/>
          </w:cols>
          <w:pgMar w:left="320" w:top="1417" w:right="51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010000"/>
              </w:rPr>
              <w:t>48.</w:t>
            </w:r>
          </w:p>
        </w:tc>
        <w:tc>
          <w:tcPr>
            <w:tcW w:w="3180" w:type="dxa"/>
            <w:vAlign w:val="bottom"/>
          </w:tcPr>
          <w:p>
            <w:pPr>
              <w:ind w:left="100"/>
              <w:spacing w:after="0"/>
              <w:rPr>
                <w:sz w:val="20"/>
                <w:szCs w:val="20"/>
                <w:color w:val="auto"/>
              </w:rPr>
            </w:pPr>
            <w:r>
              <w:rPr>
                <w:rFonts w:ascii="Arial" w:cs="Arial" w:eastAsia="Arial" w:hAnsi="Arial"/>
                <w:sz w:val="18"/>
                <w:szCs w:val="18"/>
                <w:color w:val="auto"/>
              </w:rPr>
              <w:t>Powers of the Board of Directors</w:t>
            </w:r>
          </w:p>
        </w:tc>
        <w:tc>
          <w:tcPr>
            <w:tcW w:w="800" w:type="dxa"/>
            <w:vAlign w:val="bottom"/>
          </w:tcPr>
          <w:p>
            <w:pPr>
              <w:ind w:left="480"/>
              <w:spacing w:after="0"/>
              <w:rPr>
                <w:sz w:val="20"/>
                <w:szCs w:val="20"/>
                <w:color w:val="auto"/>
              </w:rPr>
            </w:pPr>
            <w:r>
              <w:rPr>
                <w:rFonts w:ascii="Arial" w:cs="Arial" w:eastAsia="Arial" w:hAnsi="Arial"/>
                <w:sz w:val="18"/>
                <w:szCs w:val="18"/>
                <w:color w:val="010000"/>
              </w:rPr>
              <w:t>60.</w:t>
            </w:r>
          </w:p>
        </w:tc>
        <w:tc>
          <w:tcPr>
            <w:tcW w:w="3220" w:type="dxa"/>
            <w:vAlign w:val="bottom"/>
          </w:tcPr>
          <w:p>
            <w:pPr>
              <w:ind w:left="80"/>
              <w:spacing w:after="0"/>
              <w:rPr>
                <w:sz w:val="20"/>
                <w:szCs w:val="20"/>
                <w:color w:val="auto"/>
              </w:rPr>
            </w:pPr>
            <w:r>
              <w:rPr>
                <w:rFonts w:ascii="Arial" w:cs="Arial" w:eastAsia="Arial" w:hAnsi="Arial"/>
                <w:sz w:val="18"/>
                <w:szCs w:val="18"/>
                <w:color w:val="auto"/>
              </w:rPr>
              <w:t>Board to Continue in the Event of</w:t>
            </w:r>
          </w:p>
        </w:tc>
        <w:tc>
          <w:tcPr>
            <w:tcW w:w="760" w:type="dxa"/>
            <w:vAlign w:val="bottom"/>
          </w:tcPr>
          <w:p>
            <w:pPr>
              <w:ind w:left="440"/>
              <w:spacing w:after="0"/>
              <w:rPr>
                <w:sz w:val="20"/>
                <w:szCs w:val="20"/>
                <w:color w:val="auto"/>
              </w:rPr>
            </w:pPr>
            <w:r>
              <w:rPr>
                <w:rFonts w:ascii="Arial" w:cs="Arial" w:eastAsia="Arial" w:hAnsi="Arial"/>
                <w:sz w:val="18"/>
                <w:szCs w:val="18"/>
                <w:color w:val="010000"/>
              </w:rPr>
              <w:t>72.</w:t>
            </w:r>
          </w:p>
        </w:tc>
        <w:tc>
          <w:tcPr>
            <w:tcW w:w="2440" w:type="dxa"/>
            <w:vAlign w:val="bottom"/>
          </w:tcPr>
          <w:p>
            <w:pPr>
              <w:ind w:left="80"/>
              <w:spacing w:after="0"/>
              <w:rPr>
                <w:sz w:val="20"/>
                <w:szCs w:val="20"/>
                <w:color w:val="auto"/>
              </w:rPr>
            </w:pPr>
            <w:r>
              <w:rPr>
                <w:rFonts w:ascii="Arial" w:cs="Arial" w:eastAsia="Arial" w:hAnsi="Arial"/>
                <w:sz w:val="18"/>
                <w:szCs w:val="18"/>
                <w:color w:val="auto"/>
              </w:rPr>
              <w:t>Duties of Auditor</w:t>
            </w:r>
          </w:p>
        </w:tc>
        <w:tc>
          <w:tcPr>
            <w:tcW w:w="0" w:type="dxa"/>
            <w:vAlign w:val="bottom"/>
          </w:tcPr>
          <w:p>
            <w:pPr>
              <w:spacing w:after="0"/>
              <w:rPr>
                <w:sz w:val="1"/>
                <w:szCs w:val="1"/>
                <w:color w:val="auto"/>
              </w:rPr>
            </w:pPr>
          </w:p>
        </w:tc>
      </w:t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010000"/>
              </w:rPr>
              <w:t>49.</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Register of Directors and Officers</w:t>
            </w:r>
          </w:p>
        </w:tc>
        <w:tc>
          <w:tcPr>
            <w:tcW w:w="4020" w:type="dxa"/>
            <w:vAlign w:val="bottom"/>
            <w:gridSpan w:val="2"/>
          </w:tcPr>
          <w:p>
            <w:pPr>
              <w:ind w:left="480"/>
              <w:spacing w:after="0"/>
              <w:rPr>
                <w:sz w:val="20"/>
                <w:szCs w:val="20"/>
                <w:color w:val="auto"/>
              </w:rPr>
            </w:pPr>
            <w:r>
              <w:rPr>
                <w:rFonts w:ascii="Arial" w:cs="Arial" w:eastAsia="Arial" w:hAnsi="Arial"/>
                <w:sz w:val="18"/>
                <w:szCs w:val="18"/>
                <w:color w:val="auto"/>
              </w:rPr>
              <w:t>Vacancy</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10000"/>
              </w:rPr>
              <w:t>73.</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rPr>
              <w:t>Access to Records</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61.</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Chairman to Preside</w:t>
            </w: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50.</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Appointment of Officers</w:t>
            </w:r>
          </w:p>
        </w:tc>
        <w:tc>
          <w:tcPr>
            <w:tcW w:w="80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760" w:type="dxa"/>
            <w:vAlign w:val="bottom"/>
            <w:vMerge w:val="restart"/>
          </w:tcPr>
          <w:p>
            <w:pPr>
              <w:ind w:left="440"/>
              <w:spacing w:after="0"/>
              <w:rPr>
                <w:sz w:val="20"/>
                <w:szCs w:val="20"/>
                <w:color w:val="auto"/>
              </w:rPr>
            </w:pPr>
            <w:r>
              <w:rPr>
                <w:rFonts w:ascii="Arial" w:cs="Arial" w:eastAsia="Arial" w:hAnsi="Arial"/>
                <w:sz w:val="18"/>
                <w:szCs w:val="18"/>
                <w:color w:val="010000"/>
              </w:rPr>
              <w:t>74.</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62.</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Written Resolutions</w:t>
            </w: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51.</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Appointment of Secretary</w:t>
            </w:r>
          </w:p>
        </w:tc>
        <w:tc>
          <w:tcPr>
            <w:tcW w:w="80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760" w:type="dxa"/>
            <w:vAlign w:val="bottom"/>
            <w:vMerge w:val="restart"/>
          </w:tcPr>
          <w:p>
            <w:pPr>
              <w:ind w:left="440"/>
              <w:spacing w:after="0"/>
              <w:rPr>
                <w:sz w:val="20"/>
                <w:szCs w:val="20"/>
                <w:color w:val="auto"/>
              </w:rPr>
            </w:pPr>
            <w:r>
              <w:rPr>
                <w:rFonts w:ascii="Arial" w:cs="Arial" w:eastAsia="Arial" w:hAnsi="Arial"/>
                <w:sz w:val="18"/>
                <w:szCs w:val="18"/>
                <w:color w:val="010000"/>
              </w:rPr>
              <w:t>75.</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5"/>
              </w:rPr>
              <w:t>Distribution of Auditor’s Report</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63.</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Validity of Prior Acts of the Board</w:t>
            </w: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52.</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Duties of Officers</w:t>
            </w:r>
          </w:p>
        </w:tc>
        <w:tc>
          <w:tcPr>
            <w:tcW w:w="80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760" w:type="dxa"/>
            <w:vAlign w:val="bottom"/>
            <w:vMerge w:val="restart"/>
          </w:tcPr>
          <w:p>
            <w:pPr>
              <w:ind w:left="440"/>
              <w:spacing w:after="0"/>
              <w:rPr>
                <w:sz w:val="20"/>
                <w:szCs w:val="20"/>
                <w:color w:val="auto"/>
              </w:rPr>
            </w:pPr>
            <w:r>
              <w:rPr>
                <w:rFonts w:ascii="Arial" w:cs="Arial" w:eastAsia="Arial" w:hAnsi="Arial"/>
                <w:sz w:val="18"/>
                <w:szCs w:val="18"/>
                <w:color w:val="010000"/>
              </w:rPr>
              <w:t>76.</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2"/>
              </w:rPr>
              <w:t>Vacancy in the Office of Auditor</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40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CORPORATE RECORDS</w:t>
            </w: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53.</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Remuneration of Officers</w:t>
            </w:r>
          </w:p>
        </w:tc>
        <w:tc>
          <w:tcPr>
            <w:tcW w:w="4020" w:type="dxa"/>
            <w:vAlign w:val="bottom"/>
            <w:gridSpan w:val="2"/>
            <w:vMerge w:val="continue"/>
          </w:tcPr>
          <w:p>
            <w:pPr>
              <w:spacing w:after="0"/>
              <w:rPr>
                <w:sz w:val="18"/>
                <w:szCs w:val="18"/>
                <w:color w:val="auto"/>
              </w:rPr>
            </w:pPr>
          </w:p>
        </w:tc>
        <w:tc>
          <w:tcPr>
            <w:tcW w:w="32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VOLUNTARY WINDING-UP AND</w:t>
            </w:r>
          </w:p>
        </w:tc>
        <w:tc>
          <w:tcPr>
            <w:tcW w:w="0" w:type="dxa"/>
            <w:vAlign w:val="bottom"/>
          </w:tcPr>
          <w:p>
            <w:pPr>
              <w:spacing w:after="0"/>
              <w:rPr>
                <w:sz w:val="1"/>
                <w:szCs w:val="1"/>
                <w:color w:val="auto"/>
              </w:rPr>
            </w:pPr>
          </w:p>
        </w:tc>
      </w:tr>
      <w:tr>
        <w:trPr>
          <w:trHeight w:val="198"/>
        </w:trPr>
        <w:tc>
          <w:tcPr>
            <w:tcW w:w="320" w:type="dxa"/>
            <w:vAlign w:val="bottom"/>
            <w:vMerge w:val="continue"/>
          </w:tcPr>
          <w:p>
            <w:pPr>
              <w:spacing w:after="0"/>
              <w:rPr>
                <w:sz w:val="17"/>
                <w:szCs w:val="17"/>
                <w:color w:val="auto"/>
              </w:rPr>
            </w:pPr>
          </w:p>
        </w:tc>
        <w:tc>
          <w:tcPr>
            <w:tcW w:w="31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Arial" w:cs="Arial" w:eastAsia="Arial" w:hAnsi="Arial"/>
                <w:sz w:val="18"/>
                <w:szCs w:val="18"/>
                <w:color w:val="010000"/>
              </w:rPr>
              <w:t>54.</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Conflicts of Interest</w:t>
            </w:r>
          </w:p>
        </w:tc>
        <w:tc>
          <w:tcPr>
            <w:tcW w:w="800" w:type="dxa"/>
            <w:vAlign w:val="bottom"/>
          </w:tcPr>
          <w:p>
            <w:pPr>
              <w:ind w:left="480"/>
              <w:spacing w:after="0"/>
              <w:rPr>
                <w:sz w:val="20"/>
                <w:szCs w:val="20"/>
                <w:color w:val="auto"/>
              </w:rPr>
            </w:pPr>
            <w:r>
              <w:rPr>
                <w:rFonts w:ascii="Arial" w:cs="Arial" w:eastAsia="Arial" w:hAnsi="Arial"/>
                <w:sz w:val="18"/>
                <w:szCs w:val="18"/>
                <w:color w:val="010000"/>
              </w:rPr>
              <w:t>64.</w:t>
            </w:r>
          </w:p>
        </w:tc>
        <w:tc>
          <w:tcPr>
            <w:tcW w:w="3220" w:type="dxa"/>
            <w:vAlign w:val="bottom"/>
          </w:tcPr>
          <w:p>
            <w:pPr>
              <w:ind w:left="80"/>
              <w:spacing w:after="0"/>
              <w:rPr>
                <w:sz w:val="20"/>
                <w:szCs w:val="20"/>
                <w:color w:val="auto"/>
              </w:rPr>
            </w:pPr>
            <w:r>
              <w:rPr>
                <w:rFonts w:ascii="Arial" w:cs="Arial" w:eastAsia="Arial" w:hAnsi="Arial"/>
                <w:sz w:val="18"/>
                <w:szCs w:val="18"/>
                <w:color w:val="auto"/>
              </w:rPr>
              <w:t>Minutes</w:t>
            </w:r>
          </w:p>
        </w:tc>
        <w:tc>
          <w:tcPr>
            <w:tcW w:w="3200" w:type="dxa"/>
            <w:vAlign w:val="bottom"/>
            <w:gridSpan w:val="2"/>
          </w:tcPr>
          <w:p>
            <w:pPr>
              <w:ind w:left="440"/>
              <w:spacing w:after="0"/>
              <w:rPr>
                <w:sz w:val="20"/>
                <w:szCs w:val="20"/>
                <w:color w:val="auto"/>
              </w:rPr>
            </w:pPr>
            <w:r>
              <w:rPr>
                <w:rFonts w:ascii="Arial" w:cs="Arial" w:eastAsia="Arial" w:hAnsi="Arial"/>
                <w:sz w:val="18"/>
                <w:szCs w:val="18"/>
                <w:b w:val="1"/>
                <w:bCs w:val="1"/>
                <w:color w:val="auto"/>
              </w:rPr>
              <w:t>DISSOLUTION</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65.</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Place Where Corporate Records Kept</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10000"/>
              </w:rPr>
              <w:t>77.</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rPr>
              <w:t>Winding-Up</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55.</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Indemnification and Exculpation of</w:t>
            </w:r>
          </w:p>
        </w:tc>
        <w:tc>
          <w:tcPr>
            <w:tcW w:w="80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vMerge w:val="continue"/>
          </w:tcPr>
          <w:p>
            <w:pPr>
              <w:spacing w:after="0"/>
              <w:rPr>
                <w:sz w:val="17"/>
                <w:szCs w:val="17"/>
                <w:color w:val="auto"/>
              </w:rPr>
            </w:pPr>
          </w:p>
        </w:tc>
        <w:tc>
          <w:tcPr>
            <w:tcW w:w="31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CHANGES TO CONSTITUTION</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Directors and Officers</w:t>
            </w:r>
          </w:p>
        </w:tc>
        <w:tc>
          <w:tcPr>
            <w:tcW w:w="800" w:type="dxa"/>
            <w:vAlign w:val="bottom"/>
          </w:tcPr>
          <w:p>
            <w:pPr>
              <w:ind w:left="480"/>
              <w:spacing w:after="0"/>
              <w:rPr>
                <w:sz w:val="20"/>
                <w:szCs w:val="20"/>
                <w:color w:val="auto"/>
              </w:rPr>
            </w:pPr>
            <w:r>
              <w:rPr>
                <w:rFonts w:ascii="Arial" w:cs="Arial" w:eastAsia="Arial" w:hAnsi="Arial"/>
                <w:sz w:val="18"/>
                <w:szCs w:val="18"/>
                <w:color w:val="010000"/>
              </w:rPr>
              <w:t>66.</w:t>
            </w:r>
          </w:p>
        </w:tc>
        <w:tc>
          <w:tcPr>
            <w:tcW w:w="3220" w:type="dxa"/>
            <w:vAlign w:val="bottom"/>
          </w:tcPr>
          <w:p>
            <w:pPr>
              <w:ind w:left="80"/>
              <w:spacing w:after="0"/>
              <w:rPr>
                <w:sz w:val="20"/>
                <w:szCs w:val="20"/>
                <w:color w:val="auto"/>
              </w:rPr>
            </w:pPr>
            <w:r>
              <w:rPr>
                <w:rFonts w:ascii="Arial" w:cs="Arial" w:eastAsia="Arial" w:hAnsi="Arial"/>
                <w:sz w:val="18"/>
                <w:szCs w:val="18"/>
                <w:color w:val="auto"/>
              </w:rPr>
              <w:t>Form and Use of Seal</w:t>
            </w:r>
          </w:p>
        </w:tc>
        <w:tc>
          <w:tcPr>
            <w:tcW w:w="3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MEETINGS OF THE BOARD OF</w:t>
            </w:r>
          </w:p>
        </w:tc>
        <w:tc>
          <w:tcPr>
            <w:tcW w:w="4020" w:type="dxa"/>
            <w:vAlign w:val="bottom"/>
            <w:gridSpan w:val="2"/>
          </w:tcPr>
          <w:p>
            <w:pPr>
              <w:ind w:left="480"/>
              <w:spacing w:after="0"/>
              <w:rPr>
                <w:sz w:val="20"/>
                <w:szCs w:val="20"/>
                <w:color w:val="auto"/>
              </w:rPr>
            </w:pPr>
            <w:r>
              <w:rPr>
                <w:rFonts w:ascii="Arial" w:cs="Arial" w:eastAsia="Arial" w:hAnsi="Arial"/>
                <w:sz w:val="18"/>
                <w:szCs w:val="18"/>
                <w:b w:val="1"/>
                <w:bCs w:val="1"/>
                <w:color w:val="auto"/>
              </w:rPr>
              <w:t>ACCOUNTS</w:t>
            </w:r>
          </w:p>
        </w:tc>
        <w:tc>
          <w:tcPr>
            <w:tcW w:w="760" w:type="dxa"/>
            <w:vAlign w:val="bottom"/>
          </w:tcPr>
          <w:p>
            <w:pPr>
              <w:ind w:left="440"/>
              <w:spacing w:after="0"/>
              <w:rPr>
                <w:sz w:val="20"/>
                <w:szCs w:val="20"/>
                <w:color w:val="auto"/>
              </w:rPr>
            </w:pPr>
            <w:r>
              <w:rPr>
                <w:rFonts w:ascii="Arial" w:cs="Arial" w:eastAsia="Arial" w:hAnsi="Arial"/>
                <w:sz w:val="18"/>
                <w:szCs w:val="18"/>
                <w:color w:val="010000"/>
              </w:rPr>
              <w:t>78.</w:t>
            </w:r>
          </w:p>
        </w:tc>
        <w:tc>
          <w:tcPr>
            <w:tcW w:w="2440" w:type="dxa"/>
            <w:vAlign w:val="bottom"/>
          </w:tcPr>
          <w:p>
            <w:pPr>
              <w:ind w:left="80"/>
              <w:spacing w:after="0"/>
              <w:rPr>
                <w:sz w:val="20"/>
                <w:szCs w:val="20"/>
                <w:color w:val="auto"/>
              </w:rPr>
            </w:pPr>
            <w:r>
              <w:rPr>
                <w:rFonts w:ascii="Arial" w:cs="Arial" w:eastAsia="Arial" w:hAnsi="Arial"/>
                <w:sz w:val="18"/>
                <w:szCs w:val="18"/>
                <w:color w:val="auto"/>
              </w:rPr>
              <w:t>Changes to Bye-laws</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67.</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Records of Account</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10000"/>
              </w:rPr>
              <w:t>79.</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0"/>
              </w:rPr>
              <w:t>Changes to the Memorandum of</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2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010000"/>
              </w:rPr>
              <w:t>56.</w:t>
            </w:r>
          </w:p>
        </w:tc>
        <w:tc>
          <w:tcPr>
            <w:tcW w:w="3180" w:type="dxa"/>
            <w:vAlign w:val="bottom"/>
          </w:tcPr>
          <w:p>
            <w:pPr>
              <w:ind w:left="100"/>
              <w:spacing w:after="0"/>
              <w:rPr>
                <w:sz w:val="20"/>
                <w:szCs w:val="20"/>
                <w:color w:val="auto"/>
              </w:rPr>
            </w:pPr>
            <w:r>
              <w:rPr>
                <w:rFonts w:ascii="Arial" w:cs="Arial" w:eastAsia="Arial" w:hAnsi="Arial"/>
                <w:sz w:val="18"/>
                <w:szCs w:val="18"/>
                <w:color w:val="auto"/>
              </w:rPr>
              <w:t>Board Meetings</w:t>
            </w: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68.</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Financial Year End</w:t>
            </w:r>
          </w:p>
        </w:tc>
        <w:tc>
          <w:tcPr>
            <w:tcW w:w="3200" w:type="dxa"/>
            <w:vAlign w:val="bottom"/>
            <w:gridSpan w:val="2"/>
          </w:tcPr>
          <w:p>
            <w:pPr>
              <w:ind w:left="44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57.</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Notice of Board Meetings</w:t>
            </w:r>
          </w:p>
        </w:tc>
        <w:tc>
          <w:tcPr>
            <w:tcW w:w="80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760" w:type="dxa"/>
            <w:vAlign w:val="bottom"/>
            <w:vMerge w:val="restart"/>
          </w:tcPr>
          <w:p>
            <w:pPr>
              <w:ind w:left="440"/>
              <w:spacing w:after="0"/>
              <w:rPr>
                <w:sz w:val="20"/>
                <w:szCs w:val="20"/>
                <w:color w:val="auto"/>
              </w:rPr>
            </w:pPr>
            <w:r>
              <w:rPr>
                <w:rFonts w:ascii="Arial" w:cs="Arial" w:eastAsia="Arial" w:hAnsi="Arial"/>
                <w:sz w:val="18"/>
                <w:szCs w:val="18"/>
                <w:color w:val="010000"/>
              </w:rPr>
              <w:t>80.</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rPr>
              <w:t>Merger and Amalgamation</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40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AUDITS</w:t>
            </w: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58.</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Electronic Participation in Meetings</w:t>
            </w:r>
          </w:p>
        </w:tc>
        <w:tc>
          <w:tcPr>
            <w:tcW w:w="4020" w:type="dxa"/>
            <w:vAlign w:val="bottom"/>
            <w:gridSpan w:val="2"/>
            <w:vMerge w:val="continue"/>
          </w:tcPr>
          <w:p>
            <w:pPr>
              <w:spacing w:after="0"/>
              <w:rPr>
                <w:sz w:val="18"/>
                <w:szCs w:val="18"/>
                <w:color w:val="auto"/>
              </w:rPr>
            </w:pPr>
          </w:p>
        </w:tc>
        <w:tc>
          <w:tcPr>
            <w:tcW w:w="760" w:type="dxa"/>
            <w:vAlign w:val="bottom"/>
            <w:vMerge w:val="restart"/>
          </w:tcPr>
          <w:p>
            <w:pPr>
              <w:ind w:left="440"/>
              <w:spacing w:after="0"/>
              <w:rPr>
                <w:sz w:val="20"/>
                <w:szCs w:val="20"/>
                <w:color w:val="auto"/>
              </w:rPr>
            </w:pPr>
            <w:r>
              <w:rPr>
                <w:rFonts w:ascii="Arial" w:cs="Arial" w:eastAsia="Arial" w:hAnsi="Arial"/>
                <w:sz w:val="18"/>
                <w:szCs w:val="18"/>
                <w:color w:val="auto"/>
              </w:rPr>
              <w:t>81.</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rPr>
              <w:t>Discontinuance</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69.</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Annual Audit</w:t>
            </w: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010000"/>
              </w:rPr>
              <w:t>59.</w:t>
            </w:r>
          </w:p>
        </w:tc>
        <w:tc>
          <w:tcPr>
            <w:tcW w:w="3180" w:type="dxa"/>
            <w:vAlign w:val="bottom"/>
            <w:vMerge w:val="restart"/>
          </w:tcPr>
          <w:p>
            <w:pPr>
              <w:ind w:left="100"/>
              <w:spacing w:after="0"/>
              <w:rPr>
                <w:sz w:val="20"/>
                <w:szCs w:val="20"/>
                <w:color w:val="auto"/>
              </w:rPr>
            </w:pPr>
            <w:r>
              <w:rPr>
                <w:rFonts w:ascii="Arial" w:cs="Arial" w:eastAsia="Arial" w:hAnsi="Arial"/>
                <w:sz w:val="18"/>
                <w:szCs w:val="18"/>
                <w:color w:val="auto"/>
              </w:rPr>
              <w:t>Quorum at Board Meetings</w:t>
            </w:r>
          </w:p>
        </w:tc>
        <w:tc>
          <w:tcPr>
            <w:tcW w:w="80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760" w:type="dxa"/>
            <w:vAlign w:val="bottom"/>
            <w:vMerge w:val="restart"/>
          </w:tcPr>
          <w:p>
            <w:pPr>
              <w:ind w:left="440"/>
              <w:spacing w:after="0"/>
              <w:rPr>
                <w:sz w:val="20"/>
                <w:szCs w:val="20"/>
                <w:color w:val="auto"/>
              </w:rPr>
            </w:pPr>
            <w:r>
              <w:rPr>
                <w:rFonts w:ascii="Arial" w:cs="Arial" w:eastAsia="Arial" w:hAnsi="Arial"/>
                <w:sz w:val="18"/>
                <w:szCs w:val="18"/>
                <w:color w:val="010000"/>
              </w:rPr>
              <w:t>82.</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rPr>
              <w:t>Corporate Opportunities.</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70.</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Appointment of Auditor</w:t>
            </w: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760" w:type="dxa"/>
            <w:vAlign w:val="bottom"/>
            <w:vMerge w:val="restart"/>
          </w:tcPr>
          <w:p>
            <w:pPr>
              <w:ind w:left="440"/>
              <w:spacing w:after="0"/>
              <w:rPr>
                <w:sz w:val="20"/>
                <w:szCs w:val="20"/>
                <w:color w:val="auto"/>
              </w:rPr>
            </w:pPr>
            <w:r>
              <w:rPr>
                <w:rFonts w:ascii="Arial" w:cs="Arial" w:eastAsia="Arial" w:hAnsi="Arial"/>
                <w:sz w:val="18"/>
                <w:szCs w:val="18"/>
                <w:color w:val="auto"/>
              </w:rPr>
              <w:t>83.</w:t>
            </w:r>
          </w:p>
        </w:tc>
        <w:tc>
          <w:tcPr>
            <w:tcW w:w="2440" w:type="dxa"/>
            <w:vAlign w:val="bottom"/>
            <w:vMerge w:val="restart"/>
          </w:tcPr>
          <w:p>
            <w:pPr>
              <w:ind w:left="80"/>
              <w:spacing w:after="0"/>
              <w:rPr>
                <w:sz w:val="20"/>
                <w:szCs w:val="20"/>
                <w:color w:val="auto"/>
              </w:rPr>
            </w:pPr>
            <w:r>
              <w:rPr>
                <w:rFonts w:ascii="Arial" w:cs="Arial" w:eastAsia="Arial" w:hAnsi="Arial"/>
                <w:sz w:val="18"/>
                <w:szCs w:val="18"/>
                <w:color w:val="auto"/>
              </w:rPr>
              <w:t>Exclusive Jurisdiction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0" w:type="dxa"/>
            <w:vAlign w:val="bottom"/>
            <w:vMerge w:val="restart"/>
          </w:tcPr>
          <w:p>
            <w:pPr>
              <w:ind w:left="480"/>
              <w:spacing w:after="0"/>
              <w:rPr>
                <w:sz w:val="20"/>
                <w:szCs w:val="20"/>
                <w:color w:val="auto"/>
              </w:rPr>
            </w:pPr>
            <w:r>
              <w:rPr>
                <w:rFonts w:ascii="Arial" w:cs="Arial" w:eastAsia="Arial" w:hAnsi="Arial"/>
                <w:sz w:val="18"/>
                <w:szCs w:val="18"/>
                <w:color w:val="010000"/>
              </w:rPr>
              <w:t>71.</w:t>
            </w:r>
          </w:p>
        </w:tc>
        <w:tc>
          <w:tcPr>
            <w:tcW w:w="3220" w:type="dxa"/>
            <w:vAlign w:val="bottom"/>
            <w:vMerge w:val="restart"/>
          </w:tcPr>
          <w:p>
            <w:pPr>
              <w:ind w:left="80"/>
              <w:spacing w:after="0"/>
              <w:rPr>
                <w:sz w:val="20"/>
                <w:szCs w:val="20"/>
                <w:color w:val="auto"/>
              </w:rPr>
            </w:pPr>
            <w:r>
              <w:rPr>
                <w:rFonts w:ascii="Arial" w:cs="Arial" w:eastAsia="Arial" w:hAnsi="Arial"/>
                <w:sz w:val="18"/>
                <w:szCs w:val="18"/>
                <w:color w:val="auto"/>
              </w:rPr>
              <w:t>Remuneration of Auditor</w:t>
            </w:r>
          </w:p>
        </w:tc>
        <w:tc>
          <w:tcPr>
            <w:tcW w:w="76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1421" w:right="859" w:bottom="1440" w:gutter="0" w:footer="0" w:header="0"/>
        </w:sectPr>
      </w:pPr>
    </w:p>
    <w:bookmarkStart w:id="181" w:name="page182"/>
    <w:bookmarkEnd w:id="181"/>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79" w:lineRule="exact"/>
        <w:rPr>
          <w:sz w:val="20"/>
          <w:szCs w:val="20"/>
          <w:color w:val="auto"/>
        </w:rPr>
      </w:pPr>
    </w:p>
    <w:p>
      <w:pPr>
        <w:ind w:left="320" w:hanging="314"/>
        <w:spacing w:after="0"/>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79" w:lineRule="exact"/>
        <w:rPr>
          <w:rFonts w:ascii="Arial" w:cs="Arial" w:eastAsia="Arial" w:hAnsi="Arial"/>
          <w:sz w:val="18"/>
          <w:szCs w:val="18"/>
          <w:b w:val="1"/>
          <w:bCs w:val="1"/>
          <w:color w:val="auto"/>
        </w:rPr>
      </w:pPr>
    </w:p>
    <w:p>
      <w:pPr>
        <w:ind w:left="740" w:right="940" w:hanging="405"/>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In these Bye-laws, the following words and expressions shall, where not inconsistent with the context, have the following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w:t>
      </w:r>
    </w:p>
    <w:p>
      <w:pPr>
        <w:spacing w:after="0" w:line="22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Act</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the Companies Act 1981, as amended from time to time;</w:t>
            </w:r>
          </w:p>
        </w:tc>
      </w:tr>
      <w:tr>
        <w:trPr>
          <w:trHeight w:val="472"/>
        </w:trPr>
        <w:tc>
          <w:tcPr>
            <w:tcW w:w="2520" w:type="dxa"/>
            <w:vAlign w:val="bottom"/>
          </w:tcPr>
          <w:p>
            <w:pPr>
              <w:spacing w:after="0"/>
              <w:rPr>
                <w:sz w:val="20"/>
                <w:szCs w:val="20"/>
                <w:color w:val="auto"/>
              </w:rPr>
            </w:pPr>
            <w:r>
              <w:rPr>
                <w:rFonts w:ascii="Arial" w:cs="Arial" w:eastAsia="Arial" w:hAnsi="Arial"/>
                <w:sz w:val="18"/>
                <w:szCs w:val="18"/>
                <w:color w:val="auto"/>
              </w:rPr>
              <w:t>Affiliate</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4"/>
              </w:rPr>
              <w:t>with respect to any Person, any other Person directly or indirectly Controlling, Controlled by or</w:t>
            </w:r>
          </w:p>
        </w:tc>
      </w:tr>
      <w:tr>
        <w:trPr>
          <w:trHeight w:val="230"/>
        </w:trPr>
        <w:tc>
          <w:tcPr>
            <w:tcW w:w="2520" w:type="dxa"/>
            <w:vAlign w:val="bottom"/>
          </w:tcPr>
          <w:p>
            <w:pPr>
              <w:spacing w:after="0"/>
              <w:rPr>
                <w:sz w:val="20"/>
                <w:szCs w:val="20"/>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under common Control with such Person;</w:t>
            </w:r>
          </w:p>
        </w:tc>
      </w:tr>
      <w:tr>
        <w:trPr>
          <w:trHeight w:val="486"/>
        </w:trPr>
        <w:tc>
          <w:tcPr>
            <w:tcW w:w="2520" w:type="dxa"/>
            <w:vAlign w:val="bottom"/>
          </w:tcPr>
          <w:p>
            <w:pPr>
              <w:spacing w:after="0"/>
              <w:rPr>
                <w:sz w:val="20"/>
                <w:szCs w:val="20"/>
                <w:color w:val="auto"/>
              </w:rPr>
            </w:pPr>
            <w:r>
              <w:rPr>
                <w:rFonts w:ascii="Arial" w:cs="Arial" w:eastAsia="Arial" w:hAnsi="Arial"/>
                <w:sz w:val="18"/>
                <w:szCs w:val="18"/>
                <w:color w:val="auto"/>
              </w:rPr>
              <w:t>Auditor</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the independent registered public accounting firm of the Company;</w:t>
            </w:r>
          </w:p>
        </w:tc>
      </w:tr>
      <w:tr>
        <w:trPr>
          <w:trHeight w:val="472"/>
        </w:trPr>
        <w:tc>
          <w:tcPr>
            <w:tcW w:w="2520" w:type="dxa"/>
            <w:vAlign w:val="bottom"/>
          </w:tcPr>
          <w:p>
            <w:pPr>
              <w:spacing w:after="0"/>
              <w:rPr>
                <w:sz w:val="20"/>
                <w:szCs w:val="20"/>
                <w:color w:val="auto"/>
              </w:rPr>
            </w:pPr>
            <w:r>
              <w:rPr>
                <w:rFonts w:ascii="Arial" w:cs="Arial" w:eastAsia="Arial" w:hAnsi="Arial"/>
                <w:sz w:val="18"/>
                <w:szCs w:val="18"/>
                <w:color w:val="auto"/>
              </w:rPr>
              <w:t>Board</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2"/>
              </w:rPr>
              <w:t>the board of Directors appointed or elected pursuant to these Bye-laws and acting by resolution</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1"/>
              </w:rPr>
              <w:t>in accordance with the Act and these Bye-laws or the Directors present at a meeting of Directors</w:t>
            </w:r>
          </w:p>
        </w:tc>
      </w:tr>
      <w:tr>
        <w:trPr>
          <w:trHeight w:val="230"/>
        </w:trPr>
        <w:tc>
          <w:tcPr>
            <w:tcW w:w="2520" w:type="dxa"/>
            <w:vAlign w:val="bottom"/>
          </w:tcPr>
          <w:p>
            <w:pPr>
              <w:spacing w:after="0"/>
              <w:rPr>
                <w:sz w:val="20"/>
                <w:szCs w:val="20"/>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at which there is a quorum;</w:t>
            </w:r>
          </w:p>
        </w:tc>
      </w:tr>
      <w:tr>
        <w:trPr>
          <w:trHeight w:val="486"/>
        </w:trPr>
        <w:tc>
          <w:tcPr>
            <w:tcW w:w="2520" w:type="dxa"/>
            <w:vAlign w:val="bottom"/>
          </w:tcPr>
          <w:p>
            <w:pPr>
              <w:spacing w:after="0"/>
              <w:rPr>
                <w:sz w:val="20"/>
                <w:szCs w:val="20"/>
                <w:color w:val="auto"/>
              </w:rPr>
            </w:pPr>
            <w:r>
              <w:rPr>
                <w:rFonts w:ascii="Arial" w:cs="Arial" w:eastAsia="Arial" w:hAnsi="Arial"/>
                <w:sz w:val="18"/>
                <w:szCs w:val="18"/>
                <w:color w:val="auto"/>
              </w:rPr>
              <w:t>Code</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the Internal Revenue Code of 1986, as amended, of the United States of America;</w:t>
            </w:r>
          </w:p>
        </w:tc>
      </w:tr>
      <w:tr>
        <w:trPr>
          <w:trHeight w:val="472"/>
        </w:trPr>
        <w:tc>
          <w:tcPr>
            <w:tcW w:w="2520" w:type="dxa"/>
            <w:vAlign w:val="bottom"/>
          </w:tcPr>
          <w:p>
            <w:pPr>
              <w:spacing w:after="0"/>
              <w:rPr>
                <w:sz w:val="20"/>
                <w:szCs w:val="20"/>
                <w:color w:val="auto"/>
              </w:rPr>
            </w:pPr>
            <w:r>
              <w:rPr>
                <w:rFonts w:ascii="Arial" w:cs="Arial" w:eastAsia="Arial" w:hAnsi="Arial"/>
                <w:sz w:val="18"/>
                <w:szCs w:val="18"/>
                <w:color w:val="auto"/>
              </w:rPr>
              <w:t>Company</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5"/>
              </w:rPr>
              <w:t>James River Group Holdings, Ltd., the company for which these Bye-laws are approved and</w:t>
            </w:r>
          </w:p>
        </w:tc>
      </w:tr>
      <w:tr>
        <w:trPr>
          <w:trHeight w:val="230"/>
        </w:trPr>
        <w:tc>
          <w:tcPr>
            <w:tcW w:w="2520" w:type="dxa"/>
            <w:vAlign w:val="bottom"/>
          </w:tcPr>
          <w:p>
            <w:pPr>
              <w:spacing w:after="0"/>
              <w:rPr>
                <w:sz w:val="20"/>
                <w:szCs w:val="20"/>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confirmed;</w:t>
            </w:r>
          </w:p>
        </w:tc>
      </w:tr>
      <w:tr>
        <w:trPr>
          <w:trHeight w:val="472"/>
        </w:trPr>
        <w:tc>
          <w:tcPr>
            <w:tcW w:w="2520" w:type="dxa"/>
            <w:vAlign w:val="bottom"/>
          </w:tcPr>
          <w:p>
            <w:pPr>
              <w:spacing w:after="0"/>
              <w:rPr>
                <w:sz w:val="20"/>
                <w:szCs w:val="20"/>
                <w:color w:val="auto"/>
              </w:rPr>
            </w:pPr>
            <w:r>
              <w:rPr>
                <w:rFonts w:ascii="Arial" w:cs="Arial" w:eastAsia="Arial" w:hAnsi="Arial"/>
                <w:sz w:val="18"/>
                <w:szCs w:val="18"/>
                <w:color w:val="auto"/>
              </w:rPr>
              <w:t>Control</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1"/>
              </w:rPr>
              <w:t>the power to direct the affairs of a person by reason of ownership of voting securities, by contract</w:t>
            </w:r>
          </w:p>
        </w:tc>
      </w:tr>
      <w:tr>
        <w:trPr>
          <w:trHeight w:val="230"/>
        </w:trPr>
        <w:tc>
          <w:tcPr>
            <w:tcW w:w="2520" w:type="dxa"/>
            <w:vAlign w:val="bottom"/>
          </w:tcPr>
          <w:p>
            <w:pPr>
              <w:spacing w:after="0"/>
              <w:rPr>
                <w:sz w:val="20"/>
                <w:szCs w:val="20"/>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or otherwise;</w:t>
            </w:r>
          </w:p>
        </w:tc>
      </w:tr>
      <w:tr>
        <w:trPr>
          <w:trHeight w:val="472"/>
        </w:trPr>
        <w:tc>
          <w:tcPr>
            <w:tcW w:w="2520" w:type="dxa"/>
            <w:vAlign w:val="bottom"/>
          </w:tcPr>
          <w:p>
            <w:pPr>
              <w:spacing w:after="0"/>
              <w:rPr>
                <w:sz w:val="20"/>
                <w:szCs w:val="20"/>
                <w:color w:val="auto"/>
              </w:rPr>
            </w:pPr>
            <w:r>
              <w:rPr>
                <w:rFonts w:ascii="Arial" w:cs="Arial" w:eastAsia="Arial" w:hAnsi="Arial"/>
                <w:sz w:val="18"/>
                <w:szCs w:val="18"/>
                <w:color w:val="auto"/>
              </w:rPr>
              <w:t>Controlled Shares</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7"/>
              </w:rPr>
              <w:t>in reference to any person, all shares that such person is deemed to own directly, indirectly</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0"/>
              </w:rPr>
              <w:t>(within the meaning of Section 958 of the Code) or, in the case of any U.S. Person, constructively</w:t>
            </w:r>
          </w:p>
        </w:tc>
      </w:tr>
      <w:tr>
        <w:trPr>
          <w:trHeight w:val="230"/>
        </w:trPr>
        <w:tc>
          <w:tcPr>
            <w:tcW w:w="2520" w:type="dxa"/>
            <w:vAlign w:val="bottom"/>
          </w:tcPr>
          <w:p>
            <w:pPr>
              <w:spacing w:after="0"/>
              <w:rPr>
                <w:sz w:val="20"/>
                <w:szCs w:val="20"/>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(within the meaning of Section 958(b) of the Code);</w:t>
            </w:r>
          </w:p>
        </w:tc>
      </w:tr>
      <w:tr>
        <w:trPr>
          <w:trHeight w:val="486"/>
        </w:trPr>
        <w:tc>
          <w:tcPr>
            <w:tcW w:w="2520" w:type="dxa"/>
            <w:vAlign w:val="bottom"/>
          </w:tcPr>
          <w:p>
            <w:pPr>
              <w:spacing w:after="0"/>
              <w:rPr>
                <w:sz w:val="20"/>
                <w:szCs w:val="20"/>
                <w:color w:val="auto"/>
              </w:rPr>
            </w:pPr>
            <w:r>
              <w:rPr>
                <w:rFonts w:ascii="Arial" w:cs="Arial" w:eastAsia="Arial" w:hAnsi="Arial"/>
                <w:sz w:val="18"/>
                <w:szCs w:val="18"/>
                <w:color w:val="auto"/>
              </w:rPr>
              <w:t>Director</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a director of the Company;</w:t>
            </w:r>
          </w:p>
        </w:tc>
      </w:tr>
      <w:tr>
        <w:trPr>
          <w:trHeight w:val="472"/>
        </w:trPr>
        <w:tc>
          <w:tcPr>
            <w:tcW w:w="2520" w:type="dxa"/>
            <w:vAlign w:val="bottom"/>
          </w:tcPr>
          <w:p>
            <w:pPr>
              <w:spacing w:after="0"/>
              <w:rPr>
                <w:sz w:val="20"/>
                <w:szCs w:val="20"/>
                <w:color w:val="auto"/>
              </w:rPr>
            </w:pPr>
            <w:r>
              <w:rPr>
                <w:rFonts w:ascii="Arial" w:cs="Arial" w:eastAsia="Arial" w:hAnsi="Arial"/>
                <w:sz w:val="18"/>
                <w:szCs w:val="18"/>
                <w:color w:val="auto"/>
              </w:rPr>
              <w:t>Fair Market Value</w:t>
            </w: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0"/>
              </w:rPr>
              <w:t>with respect to a repurchase of any shares of the Company in accordance with these Bye-laws, (i)</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0"/>
              </w:rPr>
              <w:t>if such shares are listed on a securities exchange (or quoted in a securities quotation system), the</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2"/>
              </w:rPr>
              <w:t>average closing sale price of such shares on such exchange (or in such quotation system), or, if</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6"/>
              </w:rPr>
              <w:t>such shares are listed on (or quoted in) more than one exchange (or quotation system), the</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89"/>
              </w:rPr>
              <w:t>average closing sale price of the shares on the principal securities exchange (or quotation system)</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7"/>
              </w:rPr>
              <w:t>on which such shares are then traded, or, if such shares are not then listed on a securities</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1"/>
              </w:rPr>
              <w:t>exchange (or quotation system) but are traded in the over-the-counter market, the average of the</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5"/>
              </w:rPr>
              <w:t>latest bid and asked quotations for such shares in such market, in each case for the last five</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2"/>
              </w:rPr>
              <w:t>trading days immediately preceding the day on which notice of the repurchase of such shares is</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2"/>
              </w:rPr>
              <w:t>sent pursuant to these Bye-laws or (ii) if no such closing sales prices or quotations are available</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8"/>
              </w:rPr>
              <w:t>because such shares are not publicly traded or otherwise, the fair value of such shares as</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4"/>
              </w:rPr>
              <w:t>determined by one independent nationally recognised investment banking firm chosen by the</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1"/>
              </w:rPr>
              <w:t>Board and reasonably satisfactory to the Member whose shares are to be so repurchased by the</w:t>
            </w:r>
          </w:p>
        </w:tc>
      </w:tr>
      <w:tr>
        <w:trPr>
          <w:trHeight w:val="190"/>
        </w:trPr>
        <w:tc>
          <w:tcPr>
            <w:tcW w:w="2520" w:type="dxa"/>
            <w:vAlign w:val="bottom"/>
          </w:tcPr>
          <w:p>
            <w:pPr>
              <w:spacing w:after="0"/>
              <w:rPr>
                <w:sz w:val="16"/>
                <w:szCs w:val="16"/>
                <w:color w:val="auto"/>
              </w:rPr>
            </w:pPr>
          </w:p>
        </w:tc>
        <w:tc>
          <w:tcPr>
            <w:tcW w:w="8260" w:type="dxa"/>
            <w:vAlign w:val="bottom"/>
            <w:gridSpan w:val="3"/>
          </w:tcPr>
          <w:p>
            <w:pPr>
              <w:ind w:left="1220"/>
              <w:spacing w:after="0" w:line="190" w:lineRule="exact"/>
              <w:rPr>
                <w:sz w:val="20"/>
                <w:szCs w:val="20"/>
                <w:color w:val="auto"/>
              </w:rPr>
            </w:pPr>
            <w:r>
              <w:rPr>
                <w:rFonts w:ascii="Arial" w:cs="Arial" w:eastAsia="Arial" w:hAnsi="Arial"/>
                <w:sz w:val="18"/>
                <w:szCs w:val="18"/>
                <w:color w:val="auto"/>
                <w:w w:val="95"/>
              </w:rPr>
              <w:t>Company; provided that the calculation of the Fair Market Value of the shares made by such</w:t>
            </w:r>
          </w:p>
        </w:tc>
      </w:tr>
      <w:tr>
        <w:trPr>
          <w:trHeight w:val="20"/>
        </w:trPr>
        <w:tc>
          <w:tcPr>
            <w:tcW w:w="2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2"/>
        </w:trPr>
        <w:tc>
          <w:tcPr>
            <w:tcW w:w="2520" w:type="dxa"/>
            <w:vAlign w:val="bottom"/>
          </w:tcPr>
          <w:p>
            <w:pPr>
              <w:spacing w:after="0"/>
              <w:rPr>
                <w:sz w:val="19"/>
                <w:szCs w:val="19"/>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2"/>
              </w:rPr>
              <w:t>appointed investment banking firm (i) shall not include any discount relating to the absence of a</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4"/>
              </w:rPr>
              <w:t>public trading market for, or any transfer restrictions on, such shares, and (ii) such calculation</w:t>
            </w:r>
          </w:p>
        </w:tc>
      </w:tr>
      <w:tr>
        <w:trPr>
          <w:trHeight w:val="216"/>
        </w:trPr>
        <w:tc>
          <w:tcPr>
            <w:tcW w:w="2520" w:type="dxa"/>
            <w:vAlign w:val="bottom"/>
          </w:tcPr>
          <w:p>
            <w:pPr>
              <w:spacing w:after="0"/>
              <w:rPr>
                <w:sz w:val="18"/>
                <w:szCs w:val="18"/>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w w:val="93"/>
              </w:rPr>
              <w:t>shall be final and the fees and expenses stemming from such calculation shall be borne by the</w:t>
            </w:r>
          </w:p>
        </w:tc>
      </w:tr>
      <w:tr>
        <w:trPr>
          <w:trHeight w:val="230"/>
        </w:trPr>
        <w:tc>
          <w:tcPr>
            <w:tcW w:w="2520" w:type="dxa"/>
            <w:vAlign w:val="bottom"/>
          </w:tcPr>
          <w:p>
            <w:pPr>
              <w:spacing w:after="0"/>
              <w:rPr>
                <w:sz w:val="20"/>
                <w:szCs w:val="20"/>
                <w:color w:val="auto"/>
              </w:rPr>
            </w:pPr>
          </w:p>
        </w:tc>
        <w:tc>
          <w:tcPr>
            <w:tcW w:w="8260" w:type="dxa"/>
            <w:vAlign w:val="bottom"/>
            <w:gridSpan w:val="3"/>
          </w:tcPr>
          <w:p>
            <w:pPr>
              <w:ind w:left="1220"/>
              <w:spacing w:after="0"/>
              <w:rPr>
                <w:sz w:val="20"/>
                <w:szCs w:val="20"/>
                <w:color w:val="auto"/>
              </w:rPr>
            </w:pPr>
            <w:r>
              <w:rPr>
                <w:rFonts w:ascii="Arial" w:cs="Arial" w:eastAsia="Arial" w:hAnsi="Arial"/>
                <w:sz w:val="18"/>
                <w:szCs w:val="18"/>
                <w:color w:val="auto"/>
              </w:rPr>
              <w:t>Company or its assignee, as the case may be;</w:t>
            </w:r>
          </w:p>
        </w:tc>
      </w:tr>
    </w:tbl>
    <w:p>
      <w:pPr>
        <w:sectPr>
          <w:pgSz w:w="11900" w:h="16838" w:orient="portrait"/>
          <w:cols w:equalWidth="0" w:num="1">
            <w:col w:w="11200"/>
          </w:cols>
          <w:pgMar w:left="340" w:top="1440" w:right="359" w:bottom="1440" w:gutter="0" w:footer="0" w:header="0"/>
        </w:sectPr>
      </w:pPr>
    </w:p>
    <w:bookmarkStart w:id="182" w:name="page183"/>
    <w:bookmarkEnd w:id="182"/>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Member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person registered in the Register of Members as the holder of shares in the Company and, when two or more persons are so registered as joint holders of shares, means the person whose name stands first in the Register of Members as one of such joint holders or all of such persons, as the context so requires;</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Notice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as further provided in these Bye-laws unless otherwise specifically stated;</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Officer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any person appointed by the Board to hold an office in the Company;</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Person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individual, corporation, association, partnership, limited liability company, joint venture, joint stock or other company, business trust, trust, organization, governmental authority or other entity of any kind;</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Register of Directors and Officers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register of Directors and Officers referred to in these Bye-laws;</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Register of Members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register of members referred to in these Bye-laws;</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Authority</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Resident Representative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any person appointed to act as resident representative and includes any deputy or assistant resident representative;</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person appointed to perform any or all of the duties of secretary of the Company and includes any deputy or assistant secretary and any person appointed by the Board to perform any of the duties of the Secretary;</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Common Shares and Preferred Shares (as applicable);</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Subsidiary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with respect to any Person, means a company, more than fifty percent (50%) (or, in the case of a wholly owned subsidiary, one hundred percent (100%)) of the outstanding voting shares of which are owned, directly or indirectly, by such Person or by one or more other Subsidiaries of such Person, or any such Person and one or more other Subsidiaries;</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Trading Day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any day on which the New York Stock Exchange or NASDAQ (or such other principal stock exchange or automated quotation system on which the shares of the Company are then traded) is open for trading in securities listed thereon;</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Treasury Share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share of the Company that was or is treated as having been acquired and held by the Company and has been held continuously by the Company since it was so acquired and has not been cancelled;</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of America and its dependent territories or any part thereof; and</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U.S. Person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 “United States person” as defined in Section 957(c) of the Code.</w:t>
      </w:r>
    </w:p>
    <w:p>
      <w:pPr>
        <w:spacing w:after="0" w:line="200" w:lineRule="exact"/>
        <w:rPr>
          <w:sz w:val="20"/>
          <w:szCs w:val="20"/>
          <w:color w:val="auto"/>
        </w:rPr>
      </w:pPr>
    </w:p>
    <w:p>
      <w:pPr>
        <w:sectPr>
          <w:pgSz w:w="11900" w:h="16838" w:orient="portrait"/>
          <w:cols w:equalWidth="0" w:num="2">
            <w:col w:w="3020" w:space="720"/>
            <w:col w:w="7040"/>
          </w:cols>
          <w:pgMar w:left="760" w:top="1440" w:right="359" w:bottom="250" w:gutter="0" w:footer="0" w:header="0"/>
          <w:type w:val="continuous"/>
        </w:sectPr>
      </w:pPr>
    </w:p>
    <w:p>
      <w:pPr>
        <w:spacing w:after="0" w:line="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 these Bye-laws, where not inconsistent with the context:</w:t>
      </w:r>
    </w:p>
    <w:p>
      <w:pPr>
        <w:spacing w:after="0" w:line="283" w:lineRule="exact"/>
        <w:rPr>
          <w:sz w:val="20"/>
          <w:szCs w:val="20"/>
          <w:color w:val="auto"/>
        </w:rPr>
      </w:pPr>
    </w:p>
    <w:p>
      <w:pPr>
        <w:ind w:left="780" w:hanging="384"/>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words denoting the plural number include the singular number and vice versa;</w:t>
      </w:r>
    </w:p>
    <w:p>
      <w:pPr>
        <w:spacing w:after="0" w:line="279" w:lineRule="exact"/>
        <w:rPr>
          <w:rFonts w:ascii="Arial" w:cs="Arial" w:eastAsia="Arial" w:hAnsi="Arial"/>
          <w:sz w:val="18"/>
          <w:szCs w:val="18"/>
          <w:color w:val="auto"/>
        </w:rPr>
      </w:pPr>
    </w:p>
    <w:p>
      <w:pPr>
        <w:ind w:left="780" w:hanging="384"/>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words denoting the masculine gender include the feminine and neuter genders;</w:t>
      </w:r>
    </w:p>
    <w:p>
      <w:pPr>
        <w:spacing w:after="0" w:line="279" w:lineRule="exact"/>
        <w:rPr>
          <w:rFonts w:ascii="Arial" w:cs="Arial" w:eastAsia="Arial" w:hAnsi="Arial"/>
          <w:sz w:val="18"/>
          <w:szCs w:val="18"/>
          <w:color w:val="auto"/>
        </w:rPr>
      </w:pPr>
    </w:p>
    <w:p>
      <w:pPr>
        <w:ind w:left="780" w:hanging="384"/>
        <w:spacing w:after="0"/>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words importing persons include companies, associations or bodies of persons whether corporate or not;</w:t>
      </w:r>
    </w:p>
    <w:p>
      <w:pPr>
        <w:spacing w:after="0" w:line="302" w:lineRule="exact"/>
        <w:rPr>
          <w:rFonts w:ascii="Arial" w:cs="Arial" w:eastAsia="Arial" w:hAnsi="Arial"/>
          <w:sz w:val="16"/>
          <w:szCs w:val="16"/>
          <w:color w:val="auto"/>
        </w:rPr>
      </w:pPr>
    </w:p>
    <w:p>
      <w:pPr>
        <w:ind w:left="780" w:hanging="384"/>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words:</w:t>
      </w:r>
    </w:p>
    <w:p>
      <w:pPr>
        <w:spacing w:after="0" w:line="279" w:lineRule="exact"/>
        <w:rPr>
          <w:rFonts w:ascii="Arial" w:cs="Arial" w:eastAsia="Arial" w:hAnsi="Arial"/>
          <w:sz w:val="18"/>
          <w:szCs w:val="18"/>
          <w:color w:val="auto"/>
        </w:rPr>
      </w:pPr>
    </w:p>
    <w:p>
      <w:pPr>
        <w:ind w:left="1160" w:hanging="359"/>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“may” shall be construed as permissive; and</w:t>
      </w:r>
    </w:p>
    <w:p>
      <w:pPr>
        <w:spacing w:after="0" w:line="279" w:lineRule="exact"/>
        <w:rPr>
          <w:rFonts w:ascii="Arial" w:cs="Arial" w:eastAsia="Arial" w:hAnsi="Arial"/>
          <w:sz w:val="18"/>
          <w:szCs w:val="18"/>
          <w:color w:val="auto"/>
        </w:rPr>
      </w:pPr>
    </w:p>
    <w:p>
      <w:pPr>
        <w:ind w:left="1200" w:hanging="399"/>
        <w:spacing w:after="0"/>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“shall” shall be construed as imperative;</w:t>
      </w:r>
    </w:p>
    <w:p>
      <w:pPr>
        <w:spacing w:after="0" w:line="279" w:lineRule="exact"/>
        <w:rPr>
          <w:rFonts w:ascii="Arial" w:cs="Arial" w:eastAsia="Arial" w:hAnsi="Arial"/>
          <w:sz w:val="18"/>
          <w:szCs w:val="18"/>
          <w:color w:val="auto"/>
        </w:rPr>
      </w:pPr>
    </w:p>
    <w:p>
      <w:pPr>
        <w:ind w:left="780" w:hanging="384"/>
        <w:spacing w:after="0"/>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reference to statutory provision shall be deemed to include any amendment or re-enactment thereof;</w:t>
      </w:r>
    </w:p>
    <w:p>
      <w:pPr>
        <w:sectPr>
          <w:pgSz w:w="11900" w:h="16838" w:orient="portrait"/>
          <w:cols w:equalWidth="0" w:num="1">
            <w:col w:w="10780"/>
          </w:cols>
          <w:pgMar w:left="760" w:top="1440" w:right="359" w:bottom="250" w:gutter="0" w:footer="0" w:header="0"/>
          <w:type w:val="continuous"/>
        </w:sectPr>
      </w:pPr>
    </w:p>
    <w:bookmarkStart w:id="183" w:name="page184"/>
    <w:bookmarkEnd w:id="183"/>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895" w:right="1440" w:bottom="1440" w:gutter="0" w:footer="0" w:header="0"/>
        </w:sectPr>
      </w:pPr>
    </w:p>
    <w:bookmarkStart w:id="184" w:name="page185"/>
    <w:bookmarkEnd w:id="184"/>
    <w:p>
      <w:pPr>
        <w:spacing w:after="0" w:line="36" w:lineRule="exact"/>
        <w:rPr>
          <w:sz w:val="20"/>
          <w:szCs w:val="20"/>
          <w:color w:val="auto"/>
        </w:rPr>
      </w:pPr>
    </w:p>
    <w:p>
      <w:pPr>
        <w:ind w:left="1174" w:hanging="364"/>
        <w:spacing w:after="0"/>
        <w:tabs>
          <w:tab w:leader="none" w:pos="117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phrase “issued and outstanding” in relation to shares means shares in issue other than Treasury Shares;</w:t>
      </w:r>
    </w:p>
    <w:p>
      <w:pPr>
        <w:spacing w:after="0" w:line="279" w:lineRule="exact"/>
        <w:rPr>
          <w:rFonts w:ascii="Arial" w:cs="Arial" w:eastAsia="Arial" w:hAnsi="Arial"/>
          <w:sz w:val="18"/>
          <w:szCs w:val="18"/>
          <w:color w:val="auto"/>
        </w:rPr>
      </w:pPr>
    </w:p>
    <w:p>
      <w:pPr>
        <w:ind w:left="1194" w:hanging="384"/>
        <w:spacing w:after="0"/>
        <w:tabs>
          <w:tab w:leader="none" w:pos="11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word “corporation” means a corporation whether or not a company within the meaning of the Act;</w:t>
      </w:r>
    </w:p>
    <w:p>
      <w:pPr>
        <w:spacing w:after="0" w:line="279" w:lineRule="exact"/>
        <w:rPr>
          <w:rFonts w:ascii="Arial" w:cs="Arial" w:eastAsia="Arial" w:hAnsi="Arial"/>
          <w:sz w:val="18"/>
          <w:szCs w:val="18"/>
          <w:color w:val="auto"/>
        </w:rPr>
      </w:pPr>
    </w:p>
    <w:p>
      <w:pPr>
        <w:ind w:left="1194" w:hanging="384"/>
        <w:spacing w:after="0"/>
        <w:tabs>
          <w:tab w:leader="none" w:pos="11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otherwise provided herein, words or expressions defined in the Act shall bear the same meaning in these Bye-laws.</w:t>
      </w:r>
    </w:p>
    <w:p>
      <w:pPr>
        <w:spacing w:after="0" w:line="275" w:lineRule="exact"/>
        <w:rPr>
          <w:sz w:val="20"/>
          <w:szCs w:val="20"/>
          <w:color w:val="auto"/>
        </w:rPr>
      </w:pPr>
    </w:p>
    <w:p>
      <w:pPr>
        <w:ind w:left="734" w:right="620" w:hanging="404"/>
        <w:spacing w:after="0" w:line="277" w:lineRule="auto"/>
        <w:tabs>
          <w:tab w:leader="none" w:pos="71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In these Bye-laws expressions referring to writing or its cognates shall, unless the contrary intention appears, include facsimile, printing, lithography, photography, electronic mail and other modes of representing words in visible form.</w:t>
      </w:r>
    </w:p>
    <w:p>
      <w:pPr>
        <w:spacing w:after="0" w:line="224" w:lineRule="exact"/>
        <w:rPr>
          <w:sz w:val="20"/>
          <w:szCs w:val="20"/>
          <w:color w:val="auto"/>
        </w:rPr>
      </w:pPr>
    </w:p>
    <w:p>
      <w:pPr>
        <w:ind w:left="334"/>
        <w:spacing w:after="0"/>
        <w:tabs>
          <w:tab w:leader="none" w:pos="71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Headings used in these Bye-laws are for convenience only and are not to be used or relied upon in the construction hereof.</w:t>
      </w:r>
    </w:p>
    <w:p>
      <w:pPr>
        <w:spacing w:after="0" w:line="279" w:lineRule="exact"/>
        <w:rPr>
          <w:sz w:val="20"/>
          <w:szCs w:val="20"/>
          <w:color w:val="auto"/>
        </w:rPr>
      </w:pPr>
    </w:p>
    <w:p>
      <w:pPr>
        <w:jc w:val="center"/>
        <w:ind w:right="-33"/>
        <w:spacing w:after="0"/>
        <w:rPr>
          <w:sz w:val="20"/>
          <w:szCs w:val="20"/>
          <w:color w:val="auto"/>
        </w:rPr>
      </w:pPr>
      <w:r>
        <w:rPr>
          <w:rFonts w:ascii="Arial" w:cs="Arial" w:eastAsia="Arial" w:hAnsi="Arial"/>
          <w:sz w:val="18"/>
          <w:szCs w:val="18"/>
          <w:b w:val="1"/>
          <w:bCs w:val="1"/>
          <w:color w:val="auto"/>
        </w:rPr>
        <w:t>SHARES</w:t>
      </w:r>
    </w:p>
    <w:p>
      <w:pPr>
        <w:spacing w:after="0" w:line="279" w:lineRule="exact"/>
        <w:rPr>
          <w:sz w:val="20"/>
          <w:szCs w:val="20"/>
          <w:color w:val="auto"/>
        </w:rPr>
      </w:pPr>
    </w:p>
    <w:p>
      <w:pPr>
        <w:ind w:left="314" w:hanging="314"/>
        <w:spacing w:after="0"/>
        <w:tabs>
          <w:tab w:leader="none" w:pos="31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Power to Issue Shares</w:t>
      </w:r>
    </w:p>
    <w:p>
      <w:pPr>
        <w:spacing w:after="0" w:line="279" w:lineRule="exact"/>
        <w:rPr>
          <w:rFonts w:ascii="Arial" w:cs="Arial" w:eastAsia="Arial" w:hAnsi="Arial"/>
          <w:sz w:val="18"/>
          <w:szCs w:val="18"/>
          <w:b w:val="1"/>
          <w:bCs w:val="1"/>
          <w:color w:val="auto"/>
        </w:rPr>
      </w:pPr>
    </w:p>
    <w:p>
      <w:pPr>
        <w:ind w:left="734" w:right="300" w:hanging="405"/>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At the date these Bye-laws become effective, the share capital of the Company is divided into two classes: (i) common shares (the “</w:t>
      </w:r>
      <w:r>
        <w:rPr>
          <w:rFonts w:ascii="Arial" w:cs="Arial" w:eastAsia="Arial" w:hAnsi="Arial"/>
          <w:sz w:val="18"/>
          <w:szCs w:val="18"/>
          <w:u w:val="single" w:color="auto"/>
          <w:color w:val="auto"/>
        </w:rPr>
        <w:t>Common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and (ii) 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w:t>
      </w:r>
    </w:p>
    <w:p>
      <w:pPr>
        <w:spacing w:after="0" w:line="215" w:lineRule="exact"/>
        <w:rPr>
          <w:rFonts w:ascii="Arial" w:cs="Arial" w:eastAsia="Arial" w:hAnsi="Arial"/>
          <w:sz w:val="18"/>
          <w:szCs w:val="18"/>
          <w:b w:val="1"/>
          <w:bCs w:val="1"/>
          <w:color w:val="auto"/>
        </w:rPr>
      </w:pPr>
    </w:p>
    <w:p>
      <w:pPr>
        <w:ind w:left="734" w:hanging="405"/>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Subject to these Bye-laws and to any resolution of the Members to the contrary, and without prejudice to any special rights previously conferred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holders of any existing shares or class of shares, the Board shall have the power to issue any unissued shares on such terms and conditions as it may determine and any shares or class of shares may be issued with such preferred, deferred or other special rights or such restrictions, whether in regard to dividend, voting, return of capital, or otherwise as the Company may by resolution of the Members prescribe.</w:t>
      </w:r>
    </w:p>
    <w:p>
      <w:pPr>
        <w:spacing w:after="0" w:line="204" w:lineRule="exact"/>
        <w:rPr>
          <w:rFonts w:ascii="Arial" w:cs="Arial" w:eastAsia="Arial" w:hAnsi="Arial"/>
          <w:sz w:val="18"/>
          <w:szCs w:val="18"/>
          <w:b w:val="1"/>
          <w:bCs w:val="1"/>
          <w:color w:val="auto"/>
        </w:rPr>
      </w:pPr>
    </w:p>
    <w:p>
      <w:pPr>
        <w:ind w:left="734" w:right="180" w:hanging="405"/>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2.3 </w:t>
      </w:r>
      <w:r>
        <w:rPr>
          <w:rFonts w:ascii="Arial" w:cs="Arial" w:eastAsia="Arial" w:hAnsi="Arial"/>
          <w:sz w:val="16"/>
          <w:szCs w:val="16"/>
          <w:color w:val="auto"/>
        </w:rPr>
        <w:t>Subject to the Act, any Preferred Shares may be issued or converted into shares that (at a determinable date or at the option of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are liable to be redeemed on such terms and in such manner as may be determined by the Board (before the issue or conversion).</w:t>
      </w:r>
    </w:p>
    <w:p>
      <w:pPr>
        <w:spacing w:after="0" w:line="169" w:lineRule="exact"/>
        <w:rPr>
          <w:rFonts w:ascii="Arial" w:cs="Arial" w:eastAsia="Arial" w:hAnsi="Arial"/>
          <w:sz w:val="18"/>
          <w:szCs w:val="18"/>
          <w:b w:val="1"/>
          <w:bCs w:val="1"/>
          <w:color w:val="auto"/>
        </w:rPr>
      </w:pPr>
    </w:p>
    <w:p>
      <w:pPr>
        <w:ind w:left="314" w:hanging="314"/>
        <w:spacing w:after="0"/>
        <w:tabs>
          <w:tab w:leader="none" w:pos="31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Power and Obligation of the Company to Purchase its Shares</w:t>
      </w:r>
    </w:p>
    <w:p>
      <w:pPr>
        <w:spacing w:after="0" w:line="279" w:lineRule="exact"/>
        <w:rPr>
          <w:rFonts w:ascii="Arial" w:cs="Arial" w:eastAsia="Arial" w:hAnsi="Arial"/>
          <w:sz w:val="18"/>
          <w:szCs w:val="18"/>
          <w:b w:val="1"/>
          <w:bCs w:val="1"/>
          <w:color w:val="auto"/>
        </w:rPr>
      </w:pPr>
    </w:p>
    <w:p>
      <w:pPr>
        <w:ind w:left="734" w:right="100" w:hanging="405"/>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Company may purchase its own shares for cancellation or acquire them as Treasury Shares in accordance with the Act on such terms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think fit.</w:t>
      </w:r>
    </w:p>
    <w:p>
      <w:pPr>
        <w:spacing w:after="0" w:line="215" w:lineRule="exact"/>
        <w:rPr>
          <w:rFonts w:ascii="Arial" w:cs="Arial" w:eastAsia="Arial" w:hAnsi="Arial"/>
          <w:sz w:val="18"/>
          <w:szCs w:val="18"/>
          <w:b w:val="1"/>
          <w:bCs w:val="1"/>
          <w:color w:val="auto"/>
        </w:rPr>
      </w:pPr>
    </w:p>
    <w:p>
      <w:pPr>
        <w:ind w:left="334"/>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3.2  </w:t>
      </w:r>
      <w:r>
        <w:rPr>
          <w:rFonts w:ascii="Arial" w:cs="Arial" w:eastAsia="Arial" w:hAnsi="Arial"/>
          <w:sz w:val="17"/>
          <w:szCs w:val="17"/>
          <w:color w:val="auto"/>
        </w:rPr>
        <w:t>The Board may exercise all the powers of the Company to purchase or acquire all or any part of its own shares in accordance with the Act.</w:t>
      </w:r>
    </w:p>
    <w:p>
      <w:pPr>
        <w:spacing w:after="0" w:line="290" w:lineRule="exact"/>
        <w:rPr>
          <w:rFonts w:ascii="Arial" w:cs="Arial" w:eastAsia="Arial" w:hAnsi="Arial"/>
          <w:sz w:val="18"/>
          <w:szCs w:val="18"/>
          <w:b w:val="1"/>
          <w:bCs w:val="1"/>
          <w:color w:val="auto"/>
        </w:rPr>
      </w:pPr>
    </w:p>
    <w:p>
      <w:pPr>
        <w:ind w:left="734" w:right="20" w:hanging="405"/>
        <w:spacing w:after="0" w:line="28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3.3 </w:t>
      </w:r>
      <w:r>
        <w:rPr>
          <w:rFonts w:ascii="Arial" w:cs="Arial" w:eastAsia="Arial" w:hAnsi="Arial"/>
          <w:sz w:val="16"/>
          <w:szCs w:val="16"/>
          <w:color w:val="auto"/>
        </w:rPr>
        <w:t>Subject to the Act, if the Board in its sole discretion determines that ownership of shares of the Company by any Person may result in adverse</w:t>
      </w:r>
      <w:r>
        <w:rPr>
          <w:rFonts w:ascii="Arial" w:cs="Arial" w:eastAsia="Arial" w:hAnsi="Arial"/>
          <w:sz w:val="16"/>
          <w:szCs w:val="16"/>
          <w:b w:val="1"/>
          <w:bCs w:val="1"/>
          <w:color w:val="auto"/>
        </w:rPr>
        <w:t xml:space="preserve"> </w:t>
      </w:r>
      <w:r>
        <w:rPr>
          <w:rFonts w:ascii="Arial" w:cs="Arial" w:eastAsia="Arial" w:hAnsi="Arial"/>
          <w:sz w:val="16"/>
          <w:szCs w:val="16"/>
          <w:color w:val="auto"/>
        </w:rPr>
        <w:t>tax consequences or materially adverse legal or regulatory treatment to the Company, any Subsidiary of the Company or any other Person (including if such consequence arises as a result of any U.S. Person owning Controlled Shares of 9.5% or more of the value of the Company or the voting rights in the Company), the Company will have the option, but not the obligation, to purchase all or part of the shares of the Company held by such Person to the extent the Board, in the reasonable exercise of its discretion, determines it is necessary to avoid or cure such adverse consequences for immediately available funds in an amount equal to the Fair Market Value of such shares on the business day immediately prior to the date the Company sends the Repurchase Notice referred to below (the “</w:t>
      </w:r>
      <w:r>
        <w:rPr>
          <w:rFonts w:ascii="Arial" w:cs="Arial" w:eastAsia="Arial" w:hAnsi="Arial"/>
          <w:sz w:val="16"/>
          <w:szCs w:val="16"/>
          <w:u w:val="single" w:color="auto"/>
          <w:color w:val="auto"/>
        </w:rPr>
        <w:t>Repurchase Price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will use reasonable efforts to exercise this option equally among similarly situated Persons (to the extent possible under the circumstances). In the event that the Company determines to purchase any such shares, the Company will be entitled to assign its purchase right to a third party or parties, with the consent of such assignee. Each Person shall be bound by the determination by the Company to purchase or assign its right to purchase such Person’s shares and, if so required by the Company, shall sell the number of shares of the Company that the Company requires it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74"/>
          </w:cols>
          <w:pgMar w:left="346" w:top="1440" w:right="379" w:bottom="1440" w:gutter="0" w:footer="0" w:header="0"/>
        </w:sectPr>
      </w:pPr>
    </w:p>
    <w:bookmarkStart w:id="185" w:name="page186"/>
    <w:bookmarkEnd w:id="185"/>
    <w:p>
      <w:pPr>
        <w:spacing w:after="0" w:line="32" w:lineRule="exact"/>
        <w:rPr>
          <w:sz w:val="20"/>
          <w:szCs w:val="20"/>
          <w:color w:val="auto"/>
        </w:rPr>
      </w:pPr>
    </w:p>
    <w:p>
      <w:pPr>
        <w:ind w:left="734" w:right="80" w:hanging="404"/>
        <w:spacing w:after="0" w:line="271" w:lineRule="auto"/>
        <w:tabs>
          <w:tab w:leader="none" w:pos="71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color w:val="auto"/>
        </w:rPr>
        <w:t>In the event that the Company or its assignee(s) determines to purchase any such shares, the Company shall provide each Member concerned with written notice of such determination (a “</w:t>
      </w:r>
      <w:r>
        <w:rPr>
          <w:rFonts w:ascii="Arial" w:cs="Arial" w:eastAsia="Arial" w:hAnsi="Arial"/>
          <w:sz w:val="17"/>
          <w:szCs w:val="17"/>
          <w:u w:val="single" w:color="auto"/>
          <w:color w:val="auto"/>
        </w:rPr>
        <w:t>Repurchase Notice</w:t>
      </w:r>
      <w:r>
        <w:rPr>
          <w:rFonts w:ascii="Arial" w:cs="Arial" w:eastAsia="Arial" w:hAnsi="Arial"/>
          <w:sz w:val="17"/>
          <w:szCs w:val="17"/>
          <w:color w:val="auto"/>
        </w:rPr>
        <w:t>”) at least seven (7) calendar days prior to such purchase or such shorter period as each such Member may authorise, specifying the date on which any such shares are to be purchased and the Repurchase Price. The Company may revoke the Repurchase Notice at any time before it (or its assignee(s)) pays for the shares. Neither the Company nor its assignee(s) shall be obligated to give general notice to any Person of any intention to purchase or the conclusion of any purchase of shares of the Company. The closing of any such purchase of shares of the Company shall be no less than seven (7) calendar days after receipt of the Repurchase Notice by the Member, unless such Member agrees to a shorter period, and payment of the Repurchase Price by the Company or its assignee(s) shall be by wire transfer or certified check.</w:t>
      </w:r>
    </w:p>
    <w:p>
      <w:pPr>
        <w:spacing w:after="0" w:line="232" w:lineRule="exact"/>
        <w:rPr>
          <w:sz w:val="20"/>
          <w:szCs w:val="20"/>
          <w:color w:val="auto"/>
        </w:rPr>
      </w:pPr>
    </w:p>
    <w:p>
      <w:pPr>
        <w:jc w:val="both"/>
        <w:ind w:left="734" w:hanging="404"/>
        <w:spacing w:after="0" w:line="263" w:lineRule="auto"/>
        <w:tabs>
          <w:tab w:leader="none" w:pos="71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color w:val="auto"/>
        </w:rPr>
        <w:t>If the Company purchases any shares pursuant to Bye-laws 3.3 and 3.4, it shall do so only in a manner that the Board believes would not result, upon consummation of such transaction, in any U.S. Person owning Controlled Shares of 9.5% or more of the value of the Company or the voting rights in the Company.</w:t>
      </w:r>
    </w:p>
    <w:p>
      <w:pPr>
        <w:spacing w:after="0" w:line="238" w:lineRule="exact"/>
        <w:rPr>
          <w:sz w:val="20"/>
          <w:szCs w:val="20"/>
          <w:color w:val="auto"/>
        </w:rPr>
      </w:pPr>
    </w:p>
    <w:p>
      <w:pPr>
        <w:ind w:left="314" w:hanging="314"/>
        <w:spacing w:after="0"/>
        <w:tabs>
          <w:tab w:leader="none" w:pos="31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Attaching to Shares</w:t>
      </w:r>
    </w:p>
    <w:p>
      <w:pPr>
        <w:spacing w:after="0" w:line="279" w:lineRule="exact"/>
        <w:rPr>
          <w:rFonts w:ascii="Arial" w:cs="Arial" w:eastAsia="Arial" w:hAnsi="Arial"/>
          <w:sz w:val="18"/>
          <w:szCs w:val="18"/>
          <w:b w:val="1"/>
          <w:bCs w:val="1"/>
          <w:color w:val="auto"/>
        </w:rPr>
      </w:pPr>
    </w:p>
    <w:p>
      <w:pPr>
        <w:ind w:left="334"/>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The holders of the Common Shares shall, subject to these Bye-laws (including, without limitation, the rights attaching to Preferred Shares):</w:t>
      </w:r>
    </w:p>
    <w:p>
      <w:pPr>
        <w:spacing w:after="0" w:line="294" w:lineRule="exact"/>
        <w:rPr>
          <w:rFonts w:ascii="Arial" w:cs="Arial" w:eastAsia="Arial" w:hAnsi="Arial"/>
          <w:sz w:val="18"/>
          <w:szCs w:val="18"/>
          <w:b w:val="1"/>
          <w:bCs w:val="1"/>
          <w:color w:val="auto"/>
        </w:rPr>
      </w:pPr>
    </w:p>
    <w:p>
      <w:pPr>
        <w:ind w:left="1194" w:hanging="384"/>
        <w:spacing w:after="0"/>
        <w:tabs>
          <w:tab w:leader="none" w:pos="11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be entitled to one vote per share;</w:t>
      </w:r>
    </w:p>
    <w:p>
      <w:pPr>
        <w:spacing w:after="0" w:line="279" w:lineRule="exact"/>
        <w:rPr>
          <w:rFonts w:ascii="Arial" w:cs="Arial" w:eastAsia="Arial" w:hAnsi="Arial"/>
          <w:sz w:val="18"/>
          <w:szCs w:val="18"/>
          <w:color w:val="auto"/>
        </w:rPr>
      </w:pPr>
    </w:p>
    <w:p>
      <w:pPr>
        <w:ind w:left="1194" w:hanging="384"/>
        <w:spacing w:after="0"/>
        <w:tabs>
          <w:tab w:leader="none" w:pos="11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be entitled to such dividends as the Board may from time to time declare;</w:t>
      </w:r>
    </w:p>
    <w:p>
      <w:pPr>
        <w:spacing w:after="0" w:line="279" w:lineRule="exact"/>
        <w:rPr>
          <w:rFonts w:ascii="Arial" w:cs="Arial" w:eastAsia="Arial" w:hAnsi="Arial"/>
          <w:sz w:val="18"/>
          <w:szCs w:val="18"/>
          <w:color w:val="auto"/>
        </w:rPr>
      </w:pPr>
    </w:p>
    <w:p>
      <w:pPr>
        <w:ind w:left="1454" w:right="360" w:hanging="644"/>
        <w:spacing w:after="0" w:line="277" w:lineRule="auto"/>
        <w:tabs>
          <w:tab w:leader="none" w:pos="1186"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the event of a winding-up or dissolution of the Company, whether voluntary or involuntary or for the purpose of a reorganisation or otherwise or upon any distribution of capital, be entitled to the surplus assets of the Company; and</w:t>
      </w:r>
    </w:p>
    <w:p>
      <w:pPr>
        <w:spacing w:after="0" w:line="224" w:lineRule="exact"/>
        <w:rPr>
          <w:rFonts w:ascii="Arial" w:cs="Arial" w:eastAsia="Arial" w:hAnsi="Arial"/>
          <w:sz w:val="18"/>
          <w:szCs w:val="18"/>
          <w:color w:val="auto"/>
        </w:rPr>
      </w:pPr>
    </w:p>
    <w:p>
      <w:pPr>
        <w:ind w:left="1194" w:hanging="384"/>
        <w:spacing w:after="0"/>
        <w:tabs>
          <w:tab w:leader="none" w:pos="11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generally be entitled to enjoy all of the rights attaching to shares.</w:t>
      </w:r>
    </w:p>
    <w:p>
      <w:pPr>
        <w:spacing w:after="0" w:line="275" w:lineRule="exact"/>
        <w:rPr>
          <w:sz w:val="20"/>
          <w:szCs w:val="20"/>
          <w:color w:val="auto"/>
        </w:rPr>
      </w:pPr>
    </w:p>
    <w:p>
      <w:pPr>
        <w:ind w:left="734" w:right="20" w:hanging="404"/>
        <w:spacing w:after="0" w:line="255" w:lineRule="auto"/>
        <w:tabs>
          <w:tab w:leader="none" w:pos="71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The Board is authorised to provide for the issuance of the Preferred Shares in one or more series, and to establish from time to time the number of shares to be included in each such series and to fix the terms, including designation, powers, preferences, rights, qualifications, limitations and restrictions of the shares of each such series (and, for the avoidance of doubt, such matters and the issuance of such Preferred Shares shall not be deemed to vary the rights attached to the Common Shares or, subject to the terms of any other series of Preferred Shares, to vary the rights attached to any other series of Preferred Shares). The authority of the Board with respect to each series shall include, but not be limited to, determination of the following:</w:t>
      </w:r>
    </w:p>
    <w:p>
      <w:pPr>
        <w:spacing w:after="0" w:line="250" w:lineRule="exact"/>
        <w:rPr>
          <w:sz w:val="20"/>
          <w:szCs w:val="20"/>
          <w:color w:val="auto"/>
        </w:rPr>
      </w:pPr>
    </w:p>
    <w:p>
      <w:pPr>
        <w:ind w:left="1194" w:hanging="384"/>
        <w:spacing w:after="0"/>
        <w:tabs>
          <w:tab w:leader="none" w:pos="11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279" w:lineRule="exact"/>
        <w:rPr>
          <w:rFonts w:ascii="Arial" w:cs="Arial" w:eastAsia="Arial" w:hAnsi="Arial"/>
          <w:sz w:val="18"/>
          <w:szCs w:val="18"/>
          <w:color w:val="auto"/>
        </w:rPr>
      </w:pPr>
    </w:p>
    <w:p>
      <w:pPr>
        <w:ind w:left="1214" w:right="200" w:hanging="404"/>
        <w:spacing w:after="0" w:line="277"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the payment of dividends on shares of that series;</w:t>
      </w:r>
    </w:p>
    <w:p>
      <w:pPr>
        <w:spacing w:after="0" w:line="224" w:lineRule="exact"/>
        <w:rPr>
          <w:rFonts w:ascii="Arial" w:cs="Arial" w:eastAsia="Arial" w:hAnsi="Arial"/>
          <w:sz w:val="18"/>
          <w:szCs w:val="18"/>
          <w:color w:val="auto"/>
        </w:rPr>
      </w:pPr>
    </w:p>
    <w:p>
      <w:pPr>
        <w:ind w:left="1194" w:hanging="384"/>
        <w:spacing w:after="0"/>
        <w:tabs>
          <w:tab w:leader="none" w:pos="1194" w:val="left"/>
        </w:tabs>
        <w:numPr>
          <w:ilvl w:val="0"/>
          <w:numId w:val="72"/>
        </w:numPr>
        <w:rPr>
          <w:rFonts w:ascii="Arial" w:cs="Arial" w:eastAsia="Arial" w:hAnsi="Arial"/>
          <w:sz w:val="17"/>
          <w:szCs w:val="17"/>
          <w:color w:val="auto"/>
        </w:rPr>
      </w:pPr>
      <w:r>
        <w:rPr>
          <w:rFonts w:ascii="Arial" w:cs="Arial" w:eastAsia="Arial" w:hAnsi="Arial"/>
          <w:sz w:val="17"/>
          <w:szCs w:val="17"/>
          <w:color w:val="auto"/>
        </w:rPr>
        <w:t>whether the series shall have voting rights, in addition to the voting rights provided by law and, if so, the terms of such voting rights;</w:t>
      </w:r>
    </w:p>
    <w:p>
      <w:pPr>
        <w:spacing w:after="0" w:line="290" w:lineRule="exact"/>
        <w:rPr>
          <w:rFonts w:ascii="Arial" w:cs="Arial" w:eastAsia="Arial" w:hAnsi="Arial"/>
          <w:sz w:val="17"/>
          <w:szCs w:val="17"/>
          <w:color w:val="auto"/>
        </w:rPr>
      </w:pPr>
    </w:p>
    <w:p>
      <w:pPr>
        <w:ind w:left="1214" w:right="240" w:hanging="404"/>
        <w:spacing w:after="0" w:line="263"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the series shall have conversion or exchange privileges (including, without limitation, conversion into Common Shares) and, if so, the terms and conditions of such conversion or exchange, including provision for adjustment of the conversion or exchange rate in such events as the Board shall determine;</w:t>
      </w:r>
    </w:p>
    <w:p>
      <w:pPr>
        <w:spacing w:after="0" w:line="237" w:lineRule="exact"/>
        <w:rPr>
          <w:rFonts w:ascii="Arial" w:cs="Arial" w:eastAsia="Arial" w:hAnsi="Arial"/>
          <w:sz w:val="18"/>
          <w:szCs w:val="18"/>
          <w:color w:val="auto"/>
        </w:rPr>
      </w:pPr>
    </w:p>
    <w:p>
      <w:pPr>
        <w:ind w:left="1214" w:hanging="404"/>
        <w:spacing w:after="0" w:line="301" w:lineRule="auto"/>
        <w:tabs>
          <w:tab w:leader="none" w:pos="1189"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whether or not the shares of that series shall be redeemable or repurchaseable and, if so, the terms and conditions of such redemption or repurchase, including the manner of selecting shares for redemption or repurchase if less than all shares are to be redeemed or repurchased, the date or dates upon or after which they shall be redeemable or repurchaseable, and the amount per share payable in case of redemption or repurchase, which amount may vary under different conditions and at different redemption or repurchase dates;</w:t>
      </w:r>
    </w:p>
    <w:p>
      <w:pPr>
        <w:spacing w:after="0" w:line="211" w:lineRule="exact"/>
        <w:rPr>
          <w:rFonts w:ascii="Arial" w:cs="Arial" w:eastAsia="Arial" w:hAnsi="Arial"/>
          <w:sz w:val="16"/>
          <w:szCs w:val="16"/>
          <w:color w:val="auto"/>
        </w:rPr>
      </w:pPr>
    </w:p>
    <w:p>
      <w:pPr>
        <w:ind w:left="1214" w:right="220" w:hanging="404"/>
        <w:spacing w:after="0" w:line="277" w:lineRule="auto"/>
        <w:tabs>
          <w:tab w:leader="none" w:pos="11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that series shall have a sinking fund for the redemption or repurchase of shares of that series and, if so, the terms and amount of such sinking fund;</w:t>
      </w:r>
    </w:p>
    <w:p>
      <w:pPr>
        <w:sectPr>
          <w:pgSz w:w="11900" w:h="16838" w:orient="portrait"/>
          <w:cols w:equalWidth="0" w:num="1">
            <w:col w:w="11194"/>
          </w:cols>
          <w:pgMar w:left="346"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94"/>
          </w:cols>
          <w:pgMar w:left="346" w:top="1440" w:right="359" w:bottom="1440" w:gutter="0" w:footer="0" w:header="0"/>
          <w:type w:val="continuous"/>
        </w:sectPr>
      </w:pPr>
    </w:p>
    <w:bookmarkStart w:id="186" w:name="page187"/>
    <w:bookmarkEnd w:id="186"/>
    <w:p>
      <w:pPr>
        <w:spacing w:after="0" w:line="36" w:lineRule="exact"/>
        <w:rPr>
          <w:sz w:val="20"/>
          <w:szCs w:val="20"/>
          <w:color w:val="auto"/>
        </w:rPr>
      </w:pPr>
    </w:p>
    <w:p>
      <w:pPr>
        <w:ind w:left="1214" w:hanging="404"/>
        <w:spacing w:after="0" w:line="259" w:lineRule="auto"/>
        <w:tabs>
          <w:tab w:leader="none" w:pos="119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 of the shares of that series to the benefit of conditions and restrictions upon the creation of indebtedness of the Company or any Subsidiary, upon the issue of any additional shares (including additional shares of such series or any other series) and upon the payment of dividends or the making of other distributions on, and the purchase, redemption or other acquisition by the Company or any Subsidiary of any issued shares of the Company;</w:t>
      </w:r>
    </w:p>
    <w:p>
      <w:pPr>
        <w:spacing w:after="0" w:line="240" w:lineRule="exact"/>
        <w:rPr>
          <w:rFonts w:ascii="Arial" w:cs="Arial" w:eastAsia="Arial" w:hAnsi="Arial"/>
          <w:sz w:val="18"/>
          <w:szCs w:val="18"/>
          <w:color w:val="auto"/>
        </w:rPr>
      </w:pPr>
    </w:p>
    <w:p>
      <w:pPr>
        <w:ind w:left="1214" w:right="200" w:hanging="404"/>
        <w:spacing w:after="0" w:line="277" w:lineRule="auto"/>
        <w:tabs>
          <w:tab w:leader="none" w:pos="119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Company, and the relative rights of priority, if any, of payment in respect of shares of that series; and</w:t>
      </w:r>
    </w:p>
    <w:p>
      <w:pPr>
        <w:spacing w:after="0" w:line="224" w:lineRule="exact"/>
        <w:rPr>
          <w:rFonts w:ascii="Arial" w:cs="Arial" w:eastAsia="Arial" w:hAnsi="Arial"/>
          <w:sz w:val="18"/>
          <w:szCs w:val="18"/>
          <w:color w:val="auto"/>
        </w:rPr>
      </w:pPr>
    </w:p>
    <w:p>
      <w:pPr>
        <w:ind w:left="1154" w:hanging="344"/>
        <w:spacing w:after="0"/>
        <w:tabs>
          <w:tab w:leader="none" w:pos="11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rights, qualifications, limitations or restrictions of that series.</w:t>
      </w:r>
    </w:p>
    <w:p>
      <w:pPr>
        <w:spacing w:after="0" w:line="275" w:lineRule="exact"/>
        <w:rPr>
          <w:sz w:val="20"/>
          <w:szCs w:val="20"/>
          <w:color w:val="auto"/>
        </w:rPr>
      </w:pPr>
    </w:p>
    <w:p>
      <w:pPr>
        <w:ind w:left="714" w:right="60" w:hanging="404"/>
        <w:spacing w:after="0" w:line="273" w:lineRule="auto"/>
        <w:tabs>
          <w:tab w:leader="none" w:pos="69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color w:val="auto"/>
        </w:rPr>
        <w:t>Any Preferred Shares of any series that have been redeemed (whether through the operation of a sinking fund or otherwise) or which, if convertible or exchangeable, have been converted into or exchanged for shares of any other class or classes shall have the status of authorised and unissued Preferred Shares of the same series and may be reissued as a part of the series of which they were originally a part or may be reclassified and reissued as part of a new series of Preferred Shares to be created by resolution or resolutions of the Board or as part of any other series of Preferred Shares, all subject to the conditions and the restrictions on issuance set forth in the resolution or resolutions adopted by the Board providing for the issue of any series of Preferred Shares.</w:t>
      </w:r>
    </w:p>
    <w:p>
      <w:pPr>
        <w:spacing w:after="0" w:line="232" w:lineRule="exact"/>
        <w:rPr>
          <w:sz w:val="20"/>
          <w:szCs w:val="20"/>
          <w:color w:val="auto"/>
        </w:rPr>
      </w:pPr>
    </w:p>
    <w:p>
      <w:pPr>
        <w:ind w:left="714" w:hanging="404"/>
        <w:spacing w:after="0" w:line="254" w:lineRule="auto"/>
        <w:tabs>
          <w:tab w:leader="none" w:pos="69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At the discretion of the Board, whether or not in connection with the issuance and sale of any shares or other securities of the Company, the Company may issue securities, contracts, warrants or other instruments evidencing any shares, option rights, securities having conversion or option rights, or obligations on such terms, conditions and other provisions as are fixed by the Board including, without limiting the generality of this authority, conditions that preclude or limit any person or persons owning or offering to acquire a specified number or percentage of the issued Common Shares, other shares, option rights, securities having conversion or option rights, or obligations of the Company or transferee of the person or persons from exercising, converting, transferring or receiving the shares, option rights, securities having conversion or option rights, or obligations.</w:t>
      </w:r>
    </w:p>
    <w:p>
      <w:pPr>
        <w:spacing w:after="0" w:line="249" w:lineRule="exact"/>
        <w:rPr>
          <w:sz w:val="20"/>
          <w:szCs w:val="20"/>
          <w:color w:val="auto"/>
        </w:rPr>
      </w:pPr>
    </w:p>
    <w:p>
      <w:pPr>
        <w:ind w:left="714" w:right="300" w:hanging="404"/>
        <w:spacing w:after="0" w:line="263" w:lineRule="auto"/>
        <w:tabs>
          <w:tab w:leader="none" w:pos="69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color w:val="auto"/>
        </w:rPr>
        <w:t>All the rights attaching to a Treasury Share shall be suspended and shall not be exercised by the Company while it holds such Treasury Share and, except where required by the Act, all Treasury Shares shall be excluded from the calculation of any percentage or fraction of the share capital, or shares, of the Company.</w:t>
      </w:r>
    </w:p>
    <w:p>
      <w:pPr>
        <w:spacing w:after="0" w:line="238" w:lineRule="exact"/>
        <w:rPr>
          <w:sz w:val="20"/>
          <w:szCs w:val="20"/>
          <w:color w:val="auto"/>
        </w:rPr>
      </w:pPr>
    </w:p>
    <w:p>
      <w:pPr>
        <w:ind w:left="314" w:hanging="314"/>
        <w:spacing w:after="0"/>
        <w:tabs>
          <w:tab w:leader="none" w:pos="31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279" w:lineRule="exact"/>
        <w:rPr>
          <w:rFonts w:ascii="Arial" w:cs="Arial" w:eastAsia="Arial" w:hAnsi="Arial"/>
          <w:sz w:val="18"/>
          <w:szCs w:val="18"/>
          <w:b w:val="1"/>
          <w:bCs w:val="1"/>
          <w:color w:val="auto"/>
        </w:rPr>
      </w:pPr>
    </w:p>
    <w:p>
      <w:pPr>
        <w:ind w:left="314" w:hanging="314"/>
        <w:spacing w:after="0"/>
        <w:tabs>
          <w:tab w:leader="none" w:pos="31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279" w:lineRule="exact"/>
        <w:rPr>
          <w:rFonts w:ascii="Arial" w:cs="Arial" w:eastAsia="Arial" w:hAnsi="Arial"/>
          <w:sz w:val="18"/>
          <w:szCs w:val="18"/>
          <w:b w:val="1"/>
          <w:bCs w:val="1"/>
          <w:color w:val="auto"/>
        </w:rPr>
      </w:pPr>
    </w:p>
    <w:p>
      <w:pPr>
        <w:ind w:left="314" w:hanging="314"/>
        <w:spacing w:after="0"/>
        <w:tabs>
          <w:tab w:leader="none" w:pos="31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279" w:lineRule="exact"/>
        <w:rPr>
          <w:rFonts w:ascii="Arial" w:cs="Arial" w:eastAsia="Arial" w:hAnsi="Arial"/>
          <w:sz w:val="18"/>
          <w:szCs w:val="18"/>
          <w:b w:val="1"/>
          <w:bCs w:val="1"/>
          <w:color w:val="auto"/>
        </w:rPr>
      </w:pPr>
    </w:p>
    <w:p>
      <w:pPr>
        <w:ind w:left="734" w:hanging="405"/>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7.1 </w:t>
      </w:r>
      <w:r>
        <w:rPr>
          <w:rFonts w:ascii="Arial" w:cs="Arial" w:eastAsia="Arial" w:hAnsi="Arial"/>
          <w:sz w:val="16"/>
          <w:szCs w:val="16"/>
          <w:color w:val="auto"/>
        </w:rPr>
        <w:t>The Board may make such calls as it thinks fit upon the Members in respect of any moneys (whether in respect of nominal value or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unpaid on the shares allotted to or held by such Members (and not made payable at fixed times by the terms and conditions of issue) and, if a call is not paid on or before the day appointed for payment thereof, the Member may at the discretion of the Board be liable to pay the Company interest on the amount of such call at such rate as the Board may determine, from the date when such call was payable up to the actual date of payment. The Board may differentiate between the holders as to the amount of calls to be paid and the times of payment of such calls.</w:t>
      </w:r>
    </w:p>
    <w:p>
      <w:pPr>
        <w:spacing w:after="0" w:line="207" w:lineRule="exact"/>
        <w:rPr>
          <w:rFonts w:ascii="Arial" w:cs="Arial" w:eastAsia="Arial" w:hAnsi="Arial"/>
          <w:sz w:val="18"/>
          <w:szCs w:val="18"/>
          <w:b w:val="1"/>
          <w:bCs w:val="1"/>
          <w:color w:val="auto"/>
        </w:rPr>
      </w:pPr>
    </w:p>
    <w:p>
      <w:pPr>
        <w:ind w:left="734" w:right="40" w:hanging="405"/>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Any amount which, by the terms of allotment of a share, becomes payable upon issue or at any fixed date, whether on account of the nominal</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share or by way of premium, shall for the purposes of these Bye-laws be deemed to be an amount on which a call has been duly made and payable on the date on which, by the terms of issue, the same becomes payable, and in case of non-payment all the relevant provisions of these Bye-laws as to payment of interest, costs and expenses, forfeiture or otherwise shall apply as if such amount had become payable by virtue of a duly made and notified call.</w:t>
      </w:r>
    </w:p>
    <w:p>
      <w:pPr>
        <w:spacing w:after="0" w:line="237" w:lineRule="exact"/>
        <w:rPr>
          <w:rFonts w:ascii="Arial" w:cs="Arial" w:eastAsia="Arial" w:hAnsi="Arial"/>
          <w:sz w:val="18"/>
          <w:szCs w:val="18"/>
          <w:b w:val="1"/>
          <w:bCs w:val="1"/>
          <w:color w:val="auto"/>
        </w:rPr>
      </w:pPr>
    </w:p>
    <w:p>
      <w:pPr>
        <w:ind w:left="334"/>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7.3  </w:t>
      </w:r>
      <w:r>
        <w:rPr>
          <w:rFonts w:ascii="Arial" w:cs="Arial" w:eastAsia="Arial" w:hAnsi="Arial"/>
          <w:sz w:val="17"/>
          <w:szCs w:val="17"/>
          <w:color w:val="auto"/>
        </w:rPr>
        <w:t>The joint holders of a share shall be jointly and severally liable to pay all calls and any interest, costs and expenses in respect thereof.</w:t>
      </w:r>
    </w:p>
    <w:p>
      <w:pPr>
        <w:spacing w:after="0" w:line="290" w:lineRule="exact"/>
        <w:rPr>
          <w:rFonts w:ascii="Arial" w:cs="Arial" w:eastAsia="Arial" w:hAnsi="Arial"/>
          <w:sz w:val="18"/>
          <w:szCs w:val="18"/>
          <w:b w:val="1"/>
          <w:bCs w:val="1"/>
          <w:color w:val="auto"/>
        </w:rPr>
      </w:pPr>
    </w:p>
    <w:p>
      <w:pPr>
        <w:ind w:left="734" w:right="80" w:hanging="405"/>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7.4 </w:t>
      </w:r>
      <w:r>
        <w:rPr>
          <w:rFonts w:ascii="Arial" w:cs="Arial" w:eastAsia="Arial" w:hAnsi="Arial"/>
          <w:sz w:val="18"/>
          <w:szCs w:val="18"/>
          <w:color w:val="auto"/>
        </w:rPr>
        <w:t>The Company may accept from any Member the whole or a part of the amount remaining unpaid on any shares held by him, although no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amount has been called up or become payable.</w:t>
      </w:r>
    </w:p>
    <w:p>
      <w:pPr>
        <w:sectPr>
          <w:pgSz w:w="11900" w:h="16838" w:orient="portrait"/>
          <w:cols w:equalWidth="0" w:num="1">
            <w:col w:w="11174"/>
          </w:cols>
          <w:pgMar w:left="346"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74"/>
          </w:cols>
          <w:pgMar w:left="346" w:top="1440" w:right="379" w:bottom="1440" w:gutter="0" w:footer="0" w:header="0"/>
          <w:type w:val="continuous"/>
        </w:sectPr>
      </w:pPr>
    </w:p>
    <w:bookmarkStart w:id="187" w:name="page188"/>
    <w:bookmarkEnd w:id="187"/>
    <w:p>
      <w:pPr>
        <w:spacing w:after="0" w:line="32" w:lineRule="exact"/>
        <w:rPr>
          <w:sz w:val="20"/>
          <w:szCs w:val="20"/>
          <w:color w:val="auto"/>
        </w:rPr>
      </w:pPr>
    </w:p>
    <w:p>
      <w:pPr>
        <w:ind w:left="320" w:hanging="314"/>
        <w:spacing w:after="0"/>
        <w:tabs>
          <w:tab w:leader="none" w:pos="3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of Shares</w:t>
      </w:r>
    </w:p>
    <w:p>
      <w:pPr>
        <w:spacing w:after="0" w:line="279" w:lineRule="exact"/>
        <w:rPr>
          <w:sz w:val="20"/>
          <w:szCs w:val="20"/>
          <w:color w:val="auto"/>
        </w:rPr>
      </w:pPr>
    </w:p>
    <w:p>
      <w:pPr>
        <w:ind w:left="740" w:hanging="404"/>
        <w:spacing w:after="0" w:line="263" w:lineRule="auto"/>
        <w:tabs>
          <w:tab w:leader="none" w:pos="7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If any Member fails to pay, on the day appointed for payment thereof, any call pursuant to Bye-law 7 in respect of any share allotted to or held by such Member, the Board may, at any time thereafter during such time as the call remains unpaid, direct the Secretary to forward such Member a notice in writing in the form, or as near thereto as circumstances admit, of the following:</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Liability to Forfeiture for Non-Payment of Call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James River Group Holdings, Ltd.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have failed to pay the call of [amount of call] made on the [date], in respect of the [number] share(s) [number in figures] standing in your name in the Register of Members of the Company, on the [date], the day appointed for payment of such call. You are hereby notified that unless you pay such call together with interest thereon at the rate of [●] per annum computed from the said [date] at the registered office of the Company the share(s) will be liable to be forfeited.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this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[Signature of Secretary] By Order of the Board</w:t>
      </w:r>
    </w:p>
    <w:p>
      <w:pPr>
        <w:spacing w:after="0" w:line="275" w:lineRule="exact"/>
        <w:rPr>
          <w:sz w:val="20"/>
          <w:szCs w:val="20"/>
          <w:color w:val="auto"/>
        </w:rPr>
      </w:pPr>
    </w:p>
    <w:p>
      <w:pPr>
        <w:ind w:left="740" w:right="100" w:hanging="404"/>
        <w:spacing w:after="0" w:line="301" w:lineRule="auto"/>
        <w:tabs>
          <w:tab w:leader="none" w:pos="7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If the requirements of such notice are not complied with, any such share may at any time thereafter before the payment of such call and the interest due in respect thereof be forfeited by a resolution of the Board to that effect, and such share shall thereupon become the property of the Company and may be disposed of as the Board shall determine. Without limiting the generality of the foregoing, the disposal may take place by sale, repurchase, redemption or any other method of disposal permitted by and consistent with these Bye-laws and the Act.</w:t>
      </w:r>
    </w:p>
    <w:p>
      <w:pPr>
        <w:spacing w:after="0" w:line="211" w:lineRule="exact"/>
        <w:rPr>
          <w:sz w:val="20"/>
          <w:szCs w:val="20"/>
          <w:color w:val="auto"/>
        </w:rPr>
      </w:pPr>
    </w:p>
    <w:p>
      <w:pPr>
        <w:jc w:val="both"/>
        <w:ind w:left="720" w:right="160" w:hanging="404"/>
        <w:spacing w:after="0" w:line="263" w:lineRule="auto"/>
        <w:tabs>
          <w:tab w:leader="none" w:pos="7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color w:val="auto"/>
        </w:rPr>
        <w:t>A Member whose share or shares have been so forfeited shall, notwithstanding such forfeiture, be liable to pay to the Company all calls owing on such share or shares at the time of the forfeiture, together with all interest due thereon and any costs and expenses incurred by the Company in connection therewith.</w:t>
      </w:r>
    </w:p>
    <w:p>
      <w:pPr>
        <w:spacing w:after="0" w:line="238" w:lineRule="exact"/>
        <w:rPr>
          <w:sz w:val="20"/>
          <w:szCs w:val="20"/>
          <w:color w:val="auto"/>
        </w:rPr>
      </w:pPr>
    </w:p>
    <w:p>
      <w:pPr>
        <w:ind w:left="740" w:right="180" w:hanging="404"/>
        <w:spacing w:after="0" w:line="277" w:lineRule="auto"/>
        <w:tabs>
          <w:tab w:leader="none" w:pos="7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color w:val="auto"/>
        </w:rPr>
        <w:t>The Board may accept the surrender of any shares which it is in a position to forfeit on such terms and conditions as may be agreed. Subject to those terms and conditions, a surrendered share shall be treated as if it had been forfeited.</w:t>
      </w:r>
    </w:p>
    <w:p>
      <w:pPr>
        <w:spacing w:after="0" w:line="224" w:lineRule="exact"/>
        <w:rPr>
          <w:sz w:val="20"/>
          <w:szCs w:val="20"/>
          <w:color w:val="auto"/>
        </w:rPr>
      </w:pPr>
    </w:p>
    <w:p>
      <w:pPr>
        <w:ind w:left="320" w:hanging="314"/>
        <w:spacing w:after="0"/>
        <w:tabs>
          <w:tab w:leader="none" w:pos="3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279" w:lineRule="exact"/>
        <w:rPr>
          <w:rFonts w:ascii="Arial" w:cs="Arial" w:eastAsia="Arial" w:hAnsi="Arial"/>
          <w:sz w:val="18"/>
          <w:szCs w:val="18"/>
          <w:b w:val="1"/>
          <w:bCs w:val="1"/>
          <w:color w:val="auto"/>
        </w:rPr>
      </w:pPr>
    </w:p>
    <w:p>
      <w:pPr>
        <w:ind w:left="740" w:hanging="405"/>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Every Member shall be entitled to a certificate under the common seal (or a facsimile thereof) of the Company or bearing the signature (or a</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thereof) of a Director or the Secretary or a person expressly authorised to sign specifying the number and, where appropriate, the class of shares held by such Member and whether the same are fully paid up and, if not, specifying the amount paid on such shares. The Board may by resolution determine, either generally or in a particular case, that any or all signatures on certificates may be printed thereon or affixed by mechanical means.</w:t>
      </w:r>
    </w:p>
    <w:p>
      <w:pPr>
        <w:spacing w:after="0" w:line="237" w:lineRule="exact"/>
        <w:rPr>
          <w:rFonts w:ascii="Arial" w:cs="Arial" w:eastAsia="Arial" w:hAnsi="Arial"/>
          <w:sz w:val="18"/>
          <w:szCs w:val="18"/>
          <w:b w:val="1"/>
          <w:bCs w:val="1"/>
          <w:color w:val="auto"/>
        </w:rPr>
      </w:pPr>
    </w:p>
    <w:p>
      <w:pPr>
        <w:ind w:left="740" w:right="260" w:hanging="405"/>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The Company shall be under no obligation to complete and deliver a share certificate unless specifically called upon to do so by the person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the shares have been allotted.</w:t>
      </w:r>
    </w:p>
    <w:p>
      <w:pPr>
        <w:spacing w:after="0" w:line="215" w:lineRule="exact"/>
        <w:rPr>
          <w:rFonts w:ascii="Arial" w:cs="Arial" w:eastAsia="Arial" w:hAnsi="Arial"/>
          <w:sz w:val="18"/>
          <w:szCs w:val="18"/>
          <w:b w:val="1"/>
          <w:bCs w:val="1"/>
          <w:color w:val="auto"/>
        </w:rPr>
      </w:pPr>
    </w:p>
    <w:p>
      <w:pPr>
        <w:ind w:left="740" w:right="160" w:hanging="405"/>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If any share certificate shall be proved to the satisfaction of the Board to have been worn out, lost, mislaid, or destroyed the Board may cause a</w:t>
      </w:r>
      <w:r>
        <w:rPr>
          <w:rFonts w:ascii="Arial" w:cs="Arial" w:eastAsia="Arial" w:hAnsi="Arial"/>
          <w:sz w:val="18"/>
          <w:szCs w:val="18"/>
          <w:b w:val="1"/>
          <w:bCs w:val="1"/>
          <w:color w:val="auto"/>
        </w:rPr>
        <w:t xml:space="preserve"> </w:t>
      </w:r>
      <w:r>
        <w:rPr>
          <w:rFonts w:ascii="Arial" w:cs="Arial" w:eastAsia="Arial" w:hAnsi="Arial"/>
          <w:sz w:val="18"/>
          <w:szCs w:val="18"/>
          <w:color w:val="auto"/>
        </w:rPr>
        <w:t>new certificate to be issued and request an indemnity for the lost certificate if it sees fit.</w:t>
      </w:r>
    </w:p>
    <w:p>
      <w:pPr>
        <w:spacing w:after="0" w:line="21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9.4  </w:t>
      </w:r>
      <w:r>
        <w:rPr>
          <w:rFonts w:ascii="Arial" w:cs="Arial" w:eastAsia="Arial" w:hAnsi="Arial"/>
          <w:sz w:val="18"/>
          <w:szCs w:val="18"/>
          <w:color w:val="auto"/>
        </w:rPr>
        <w:t>Notwithstanding any provisions of these Bye-laws:</w:t>
      </w:r>
    </w:p>
    <w:p>
      <w:pPr>
        <w:spacing w:after="0" w:line="283" w:lineRule="exact"/>
        <w:rPr>
          <w:rFonts w:ascii="Arial" w:cs="Arial" w:eastAsia="Arial" w:hAnsi="Arial"/>
          <w:sz w:val="18"/>
          <w:szCs w:val="18"/>
          <w:b w:val="1"/>
          <w:bCs w:val="1"/>
          <w:color w:val="auto"/>
        </w:rPr>
      </w:pPr>
    </w:p>
    <w:p>
      <w:pPr>
        <w:ind w:left="1220" w:right="20" w:hanging="404"/>
        <w:spacing w:after="0" w:line="301" w:lineRule="auto"/>
        <w:tabs>
          <w:tab w:leader="none" w:pos="11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Board shall, subject always to the Act and any other applicable laws and regulations and the facilities and requirements of any relevant system concerned, have power to implement any arrangements it may, in its absolute discretion, think fit in relation to the evidencing of title to and transfer of uncertificated shares and to the extent such arrangements are so implemented, no provision of these Bye-laws shall apply or have effect to the extent that it is in any respect inconsistent with the holding or transfer of shares in uncertificated form; and</w:t>
      </w:r>
    </w:p>
    <w:p>
      <w:pPr>
        <w:spacing w:after="0" w:line="211" w:lineRule="exact"/>
        <w:rPr>
          <w:rFonts w:ascii="Arial" w:cs="Arial" w:eastAsia="Arial" w:hAnsi="Arial"/>
          <w:sz w:val="16"/>
          <w:szCs w:val="16"/>
          <w:color w:val="auto"/>
        </w:rPr>
      </w:pPr>
    </w:p>
    <w:p>
      <w:pPr>
        <w:jc w:val="both"/>
        <w:ind w:left="1220" w:right="60" w:hanging="404"/>
        <w:spacing w:after="0" w:line="259" w:lineRule="auto"/>
        <w:tabs>
          <w:tab w:leader="none" w:pos="1205" w:val="left"/>
        </w:tabs>
        <w:numPr>
          <w:ilvl w:val="1"/>
          <w:numId w:val="76"/>
        </w:numPr>
        <w:rPr>
          <w:rFonts w:ascii="Arial" w:cs="Arial" w:eastAsia="Arial" w:hAnsi="Arial"/>
          <w:sz w:val="18"/>
          <w:szCs w:val="18"/>
          <w:color w:val="auto"/>
        </w:rPr>
      </w:pPr>
      <w:r>
        <w:rPr>
          <w:rFonts w:ascii="Arial" w:cs="Arial" w:eastAsia="Arial" w:hAnsi="Arial"/>
          <w:sz w:val="18"/>
          <w:szCs w:val="18"/>
          <w:color w:val="auto"/>
        </w:rPr>
        <w:t>unless otherwise determined by the Board and as permitted by the Act and any other applicable laws and regulations including applicable rules of the New York Stock Exchange or NASDAQ, no person shall be entitled to receive a certificate in respect of any share for so long as the title to that share is evidenced otherwise than by a certificate and for so long as transfers of that share may be made otherwise than by a written instrument.</w:t>
      </w:r>
    </w:p>
    <w:p>
      <w:pPr>
        <w:sectPr>
          <w:pgSz w:w="11900" w:h="16838" w:orient="portrait"/>
          <w:cols w:equalWidth="0" w:num="1">
            <w:col w:w="11180"/>
          </w:cols>
          <w:pgMar w:left="340" w:top="1440" w:right="379" w:bottom="5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80"/>
          </w:cols>
          <w:pgMar w:left="340" w:top="1440" w:right="379" w:bottom="541" w:gutter="0" w:footer="0" w:header="0"/>
          <w:type w:val="continuous"/>
        </w:sectPr>
      </w:pPr>
    </w:p>
    <w:bookmarkStart w:id="188" w:name="page189"/>
    <w:bookmarkEnd w:id="188"/>
    <w:p>
      <w:pPr>
        <w:spacing w:after="0" w:line="32" w:lineRule="exact"/>
        <w:rPr>
          <w:sz w:val="20"/>
          <w:szCs w:val="20"/>
          <w:color w:val="auto"/>
        </w:rPr>
      </w:pPr>
    </w:p>
    <w:p>
      <w:pPr>
        <w:ind w:left="440" w:hanging="414"/>
        <w:spacing w:after="0"/>
        <w:tabs>
          <w:tab w:leader="none" w:pos="4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Shares</w:t>
      </w:r>
    </w:p>
    <w:p>
      <w:pPr>
        <w:spacing w:after="0" w:line="283" w:lineRule="exact"/>
        <w:rPr>
          <w:sz w:val="20"/>
          <w:szCs w:val="20"/>
          <w:color w:val="auto"/>
        </w:rPr>
      </w:pPr>
    </w:p>
    <w:p>
      <w:pPr>
        <w:jc w:val="both"/>
        <w:ind w:left="20" w:right="180"/>
        <w:spacing w:after="0" w:line="286" w:lineRule="auto"/>
        <w:rPr>
          <w:sz w:val="20"/>
          <w:szCs w:val="20"/>
          <w:color w:val="auto"/>
        </w:rPr>
      </w:pPr>
      <w:r>
        <w:rPr>
          <w:rFonts w:ascii="Arial" w:cs="Arial" w:eastAsia="Arial" w:hAnsi="Arial"/>
          <w:sz w:val="17"/>
          <w:szCs w:val="17"/>
          <w:color w:val="auto"/>
        </w:rPr>
        <w:t>The Company may issue its shares in fractional denominations and deal with such fractions to the same extent as its whole shares and shares in fractional denominations shall have in proportion to the respective fractions represented thereby all of the rights of whole shares including (but without limiting the generality of the foregoing) the right to vote, to receive dividends and distributions and to participate in a winding-up.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 SHARES</w:t>
      </w:r>
    </w:p>
    <w:p>
      <w:pPr>
        <w:spacing w:after="0" w:line="279" w:lineRule="exact"/>
        <w:rPr>
          <w:sz w:val="20"/>
          <w:szCs w:val="20"/>
          <w:color w:val="auto"/>
        </w:rPr>
      </w:pPr>
    </w:p>
    <w:p>
      <w:pPr>
        <w:ind w:left="420" w:hanging="394"/>
        <w:spacing w:after="0"/>
        <w:tabs>
          <w:tab w:leader="none" w:pos="4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27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The Board shall cause to be kept in one or more books a Register of Members and shall enter therein the particulars required by the Act.</w:t>
      </w:r>
    </w:p>
    <w:p>
      <w:pPr>
        <w:spacing w:after="0" w:line="290" w:lineRule="exact"/>
        <w:rPr>
          <w:rFonts w:ascii="Arial" w:cs="Arial" w:eastAsia="Arial" w:hAnsi="Arial"/>
          <w:sz w:val="18"/>
          <w:szCs w:val="18"/>
          <w:b w:val="1"/>
          <w:bCs w:val="1"/>
          <w:color w:val="auto"/>
        </w:rPr>
      </w:pPr>
    </w:p>
    <w:p>
      <w:pPr>
        <w:ind w:left="920" w:right="140" w:hanging="48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The Register of Members shall be open to inspection without charge at the registered office of the Company on every business day,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reasonable restrictions as the Board may impose, so that not less than two hours in each business day be allowed for inspection. The Register of Members may, after notice has been given in accordance with the Act, be closed for any time or times not exceeding in the whole thirty days in each year.</w:t>
      </w:r>
    </w:p>
    <w:p>
      <w:pPr>
        <w:spacing w:after="0" w:line="233" w:lineRule="exact"/>
        <w:rPr>
          <w:rFonts w:ascii="Arial" w:cs="Arial" w:eastAsia="Arial" w:hAnsi="Arial"/>
          <w:sz w:val="18"/>
          <w:szCs w:val="18"/>
          <w:b w:val="1"/>
          <w:bCs w:val="1"/>
          <w:color w:val="auto"/>
        </w:rPr>
      </w:pPr>
    </w:p>
    <w:p>
      <w:pPr>
        <w:ind w:left="440" w:hanging="414"/>
        <w:spacing w:after="0"/>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Holder Absolute Owner</w:t>
      </w:r>
    </w:p>
    <w:p>
      <w:pPr>
        <w:spacing w:after="0" w:line="283" w:lineRule="exact"/>
        <w:rPr>
          <w:sz w:val="20"/>
          <w:szCs w:val="20"/>
          <w:color w:val="auto"/>
        </w:rPr>
      </w:pPr>
    </w:p>
    <w:p>
      <w:pPr>
        <w:ind w:left="20" w:right="60"/>
        <w:spacing w:after="0" w:line="277" w:lineRule="auto"/>
        <w:rPr>
          <w:sz w:val="20"/>
          <w:szCs w:val="20"/>
          <w:color w:val="auto"/>
        </w:rPr>
      </w:pPr>
      <w:r>
        <w:rPr>
          <w:rFonts w:ascii="Arial" w:cs="Arial" w:eastAsia="Arial" w:hAnsi="Arial"/>
          <w:sz w:val="18"/>
          <w:szCs w:val="18"/>
          <w:color w:val="auto"/>
        </w:rPr>
        <w:t>The Company shall be entitled to treat the registered holder of any share as the absolute owner thereof and accordingly shall not be bound to recognise any equitable claim or other claim to, or interest in, such share on the part of any other person.</w:t>
      </w:r>
    </w:p>
    <w:p>
      <w:pPr>
        <w:spacing w:after="0" w:line="220"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Transfer of Registered Shares</w:t>
      </w:r>
    </w:p>
    <w:p>
      <w:pPr>
        <w:spacing w:after="0" w:line="279" w:lineRule="exact"/>
        <w:rPr>
          <w:sz w:val="20"/>
          <w:szCs w:val="20"/>
          <w:color w:val="auto"/>
        </w:rPr>
      </w:pPr>
    </w:p>
    <w:p>
      <w:pPr>
        <w:ind w:left="920" w:right="260" w:hanging="485"/>
        <w:spacing w:after="0" w:line="277" w:lineRule="auto"/>
        <w:tabs>
          <w:tab w:leader="none" w:pos="90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An instrument of transfer shall be in writing in the form of the following, or as near thereto as circumstances admit, or in such other form as the Board may accept: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of a Share or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River Group Holdings, Ltd.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VALUE RECEIVED……………….. [amount], I, [name of transferor] hereby sell, assign and transfer unto [transferee] of [address], [number] shares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the Company.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DATED this [date]</w:t>
            </w:r>
          </w:p>
        </w:tc>
        <w:tc>
          <w:tcPr>
            <w:tcW w:w="7080" w:type="dxa"/>
            <w:vAlign w:val="bottom"/>
          </w:tcPr>
          <w:p>
            <w:pPr>
              <w:spacing w:after="0"/>
              <w:rPr>
                <w:sz w:val="20"/>
                <w:szCs w:val="20"/>
                <w:color w:val="auto"/>
              </w:rPr>
            </w:pPr>
          </w:p>
        </w:tc>
      </w:tr>
      <w:tr>
        <w:trPr>
          <w:trHeight w:val="48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Signed by:</w:t>
            </w:r>
          </w:p>
        </w:tc>
        <w:tc>
          <w:tcPr>
            <w:tcW w:w="7080" w:type="dxa"/>
            <w:vAlign w:val="bottom"/>
          </w:tcPr>
          <w:p>
            <w:pPr>
              <w:ind w:left="20"/>
              <w:spacing w:after="0"/>
              <w:rPr>
                <w:sz w:val="20"/>
                <w:szCs w:val="20"/>
                <w:color w:val="auto"/>
              </w:rPr>
            </w:pPr>
            <w:r>
              <w:rPr>
                <w:rFonts w:ascii="Arial" w:cs="Arial" w:eastAsia="Arial" w:hAnsi="Arial"/>
                <w:sz w:val="18"/>
                <w:szCs w:val="18"/>
                <w:color w:val="auto"/>
              </w:rPr>
              <w:t>In the presence of:</w:t>
            </w:r>
          </w:p>
        </w:tc>
      </w:tr>
      <w:tr>
        <w:trPr>
          <w:trHeight w:val="499"/>
        </w:trPr>
        <w:tc>
          <w:tcPr>
            <w:tcW w:w="3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Transferor</w:t>
            </w:r>
          </w:p>
        </w:tc>
        <w:tc>
          <w:tcPr>
            <w:tcW w:w="7080" w:type="dxa"/>
            <w:vAlign w:val="bottom"/>
          </w:tcPr>
          <w:p>
            <w:pPr>
              <w:ind w:left="20"/>
              <w:spacing w:after="0"/>
              <w:rPr>
                <w:sz w:val="20"/>
                <w:szCs w:val="20"/>
                <w:color w:val="auto"/>
              </w:rPr>
            </w:pPr>
            <w:r>
              <w:rPr>
                <w:rFonts w:ascii="Arial" w:cs="Arial" w:eastAsia="Arial" w:hAnsi="Arial"/>
                <w:sz w:val="18"/>
                <w:szCs w:val="18"/>
                <w:color w:val="auto"/>
              </w:rPr>
              <w:t>Witness</w:t>
            </w:r>
          </w:p>
        </w:tc>
      </w:tr>
      <w:tr>
        <w:trPr>
          <w:trHeight w:val="48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Signed by:</w:t>
            </w:r>
          </w:p>
        </w:tc>
        <w:tc>
          <w:tcPr>
            <w:tcW w:w="7080" w:type="dxa"/>
            <w:vAlign w:val="bottom"/>
          </w:tcPr>
          <w:p>
            <w:pPr>
              <w:ind w:left="20"/>
              <w:spacing w:after="0"/>
              <w:rPr>
                <w:sz w:val="20"/>
                <w:szCs w:val="20"/>
                <w:color w:val="auto"/>
              </w:rPr>
            </w:pPr>
            <w:r>
              <w:rPr>
                <w:rFonts w:ascii="Arial" w:cs="Arial" w:eastAsia="Arial" w:hAnsi="Arial"/>
                <w:sz w:val="18"/>
                <w:szCs w:val="18"/>
                <w:color w:val="auto"/>
              </w:rPr>
              <w:t>In the presence of:</w:t>
            </w:r>
          </w:p>
        </w:tc>
      </w:tr>
      <w:tr>
        <w:trPr>
          <w:trHeight w:val="499"/>
        </w:trPr>
        <w:tc>
          <w:tcPr>
            <w:tcW w:w="3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r>
        <w:trPr>
          <w:trHeight w:val="23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Transferee</w:t>
            </w:r>
          </w:p>
        </w:tc>
        <w:tc>
          <w:tcPr>
            <w:tcW w:w="7080" w:type="dxa"/>
            <w:vAlign w:val="bottom"/>
          </w:tcPr>
          <w:p>
            <w:pPr>
              <w:ind w:left="20"/>
              <w:spacing w:after="0"/>
              <w:rPr>
                <w:sz w:val="20"/>
                <w:szCs w:val="20"/>
                <w:color w:val="auto"/>
              </w:rPr>
            </w:pPr>
            <w:r>
              <w:rPr>
                <w:rFonts w:ascii="Arial" w:cs="Arial" w:eastAsia="Arial" w:hAnsi="Arial"/>
                <w:sz w:val="18"/>
                <w:szCs w:val="18"/>
                <w:color w:val="auto"/>
              </w:rPr>
              <w:t>Witness</w:t>
            </w:r>
          </w:p>
        </w:tc>
      </w:tr>
    </w:tbl>
    <w:p>
      <w:pPr>
        <w:spacing w:after="0" w:line="252" w:lineRule="exact"/>
        <w:rPr>
          <w:sz w:val="20"/>
          <w:szCs w:val="20"/>
          <w:color w:val="auto"/>
        </w:rPr>
      </w:pPr>
    </w:p>
    <w:p>
      <w:pPr>
        <w:ind w:left="920" w:right="120" w:hanging="485"/>
        <w:spacing w:after="0" w:line="259" w:lineRule="auto"/>
        <w:tabs>
          <w:tab w:leader="none" w:pos="9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 xml:space="preserve">Such instrument of transfer shall be signed by (or in the case of a party that is a corporation, on behalf of) the transferor and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fully paid share, the Board may accept the instrument signed by or on behalf of the transferor alone. The transferor shall be deemed to remain the holder of such share until the same has been registered as having been transferred to the transferee in the Register of Members.</w:t>
      </w:r>
    </w:p>
    <w:p>
      <w:pPr>
        <w:spacing w:after="0" w:line="241" w:lineRule="exact"/>
        <w:rPr>
          <w:sz w:val="20"/>
          <w:szCs w:val="20"/>
          <w:color w:val="auto"/>
        </w:rPr>
      </w:pPr>
    </w:p>
    <w:p>
      <w:pPr>
        <w:ind w:left="920" w:right="320" w:hanging="485"/>
        <w:spacing w:after="0" w:line="342" w:lineRule="auto"/>
        <w:tabs>
          <w:tab w:leader="none" w:pos="9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The Board may refuse to recognise any instrument of transfer unless it is accompanied by the certificate in respect of the shares to which it relates and by such other evidence as the Board may reasonably require showing the right of the transferor to make the transfer.</w:t>
      </w:r>
    </w:p>
    <w:p>
      <w:pPr>
        <w:spacing w:after="0" w:line="178" w:lineRule="exact"/>
        <w:rPr>
          <w:sz w:val="20"/>
          <w:szCs w:val="20"/>
          <w:color w:val="auto"/>
        </w:rPr>
      </w:pPr>
    </w:p>
    <w:p>
      <w:pPr>
        <w:ind w:left="920" w:right="260" w:hanging="485"/>
        <w:spacing w:after="0" w:line="263" w:lineRule="auto"/>
        <w:tabs>
          <w:tab w:leader="none" w:pos="90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The joint holders of any share may transfer such share to one or more of such joint holders, and the surviving holder or holders of any share previously held by them jointly with a deceased Member may transfer any such share to the executors or administrators of such deceased Member.</w:t>
      </w:r>
    </w:p>
    <w:p>
      <w:pPr>
        <w:spacing w:after="0" w:line="238" w:lineRule="exact"/>
        <w:rPr>
          <w:sz w:val="20"/>
          <w:szCs w:val="20"/>
          <w:color w:val="auto"/>
        </w:rPr>
      </w:pPr>
    </w:p>
    <w:p>
      <w:pPr>
        <w:ind w:left="920" w:right="100" w:hanging="485"/>
        <w:spacing w:after="0" w:line="301" w:lineRule="auto"/>
        <w:tabs>
          <w:tab w:leader="none" w:pos="90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The Board may in its absolute discretion and without assigning any reason therefore refuse to register the transfer of a share that is not fully paid up. The Board shall refuse to register a transfer unless all applicable consents, authorisations and permissions of any governmental body or agency in Bermuda have been obtained. If the Board refuses to register a transfer of any share the Secretary shall, within three months after the date on which the transfer was lodged with the Company, send to the transferor and transferee notice of the refusal.</w:t>
      </w:r>
    </w:p>
    <w:p>
      <w:pPr>
        <w:sectPr>
          <w:pgSz w:w="11900" w:h="16838" w:orient="portrait"/>
          <w:cols w:equalWidth="0" w:num="1">
            <w:col w:w="11240"/>
          </w:cols>
          <w:pgMar w:left="320" w:top="1440" w:right="339" w:bottom="379"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679" w:right="1440" w:bottom="1440" w:gutter="0" w:footer="0" w:header="0"/>
        </w:sectPr>
      </w:pPr>
    </w:p>
    <w:bookmarkStart w:id="190" w:name="page191"/>
    <w:bookmarkEnd w:id="190"/>
    <w:p>
      <w:pPr>
        <w:spacing w:after="0" w:line="32"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Shares may be transferred without a written instrument if transferred by an appointed agent or otherwise in accordance with the Act.</w:t>
      </w:r>
    </w:p>
    <w:p>
      <w:pPr>
        <w:spacing w:after="0" w:line="279" w:lineRule="exact"/>
        <w:rPr>
          <w:sz w:val="20"/>
          <w:szCs w:val="20"/>
          <w:color w:val="auto"/>
        </w:rPr>
      </w:pPr>
    </w:p>
    <w:p>
      <w:pPr>
        <w:ind w:left="920" w:right="160" w:hanging="485"/>
        <w:spacing w:after="0" w:line="277" w:lineRule="auto"/>
        <w:tabs>
          <w:tab w:leader="none" w:pos="90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color w:val="auto"/>
        </w:rPr>
        <w:t>Notwithstanding anything to the contrary in these Bye-laws, shares that are listed or admitted to trading on an appointed stock exchange may be transferred in accordance with the rules and regulations of such exchange.</w:t>
      </w:r>
    </w:p>
    <w:p>
      <w:pPr>
        <w:spacing w:after="0" w:line="224" w:lineRule="exact"/>
        <w:rPr>
          <w:sz w:val="20"/>
          <w:szCs w:val="20"/>
          <w:color w:val="auto"/>
        </w:rPr>
      </w:pPr>
    </w:p>
    <w:p>
      <w:pPr>
        <w:ind w:left="420" w:hanging="394"/>
        <w:spacing w:after="0"/>
        <w:tabs>
          <w:tab w:leader="none" w:pos="4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Registered Shares</w:t>
      </w:r>
    </w:p>
    <w:p>
      <w:pPr>
        <w:spacing w:after="0" w:line="279" w:lineRule="exact"/>
        <w:rPr>
          <w:rFonts w:ascii="Arial" w:cs="Arial" w:eastAsia="Arial" w:hAnsi="Arial"/>
          <w:sz w:val="18"/>
          <w:szCs w:val="18"/>
          <w:b w:val="1"/>
          <w:bCs w:val="1"/>
          <w:color w:val="auto"/>
        </w:rPr>
      </w:pPr>
    </w:p>
    <w:p>
      <w:pPr>
        <w:ind w:left="920" w:right="100" w:hanging="486"/>
        <w:spacing w:after="0" w:line="294"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In the case of the death of a Member, the survivor or survivors where the deceased Member was a joint holder, and the legal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the deceased Member where the deceased Member was a sole holder, shall be the only persons recognised by the Company as having any title to the deceased Member’s interest in the shares. Nothing herein contained shall release the estate of a deceased joint holder from any liability in respect of any share that had been jointly held by such deceased Member with other persons. Subject to the Act, for the purpose of this Bye-law, legal personal representative means the executor or administrator of a deceased Member or such other person as the Board may, in its absolute discretion, decide as being properly authorised to deal with the shares of a deceased Member.</w:t>
      </w:r>
    </w:p>
    <w:p>
      <w:pPr>
        <w:spacing w:after="0" w:line="213" w:lineRule="exact"/>
        <w:rPr>
          <w:rFonts w:ascii="Arial" w:cs="Arial" w:eastAsia="Arial" w:hAnsi="Arial"/>
          <w:sz w:val="18"/>
          <w:szCs w:val="18"/>
          <w:b w:val="1"/>
          <w:bCs w:val="1"/>
          <w:color w:val="auto"/>
        </w:rPr>
      </w:pPr>
    </w:p>
    <w:p>
      <w:pPr>
        <w:ind w:left="920" w:right="40" w:hanging="48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Any person becoming entitled to a share in consequence of the death or bankruptcy of any Member may be registered as a Member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as the Board may deem sufficient or may elect to nominate some person to be registered as a transferee of such share, and in such case the person becoming entitled shall execute in favour of such nominee an instrument of transfer in writing in the form, or as near thereto as circumstances admit, of the following: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by a Person Becoming Entitled on Death/Bankruptcy of a Member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River Group Holdings, Ltd.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65" w:lineRule="exact"/>
        <w:rPr>
          <w:sz w:val="20"/>
          <w:szCs w:val="20"/>
          <w:color w:val="auto"/>
        </w:rPr>
      </w:pPr>
    </w:p>
    <w:p>
      <w:pPr>
        <w:ind w:left="20" w:right="40"/>
        <w:spacing w:after="0" w:line="296" w:lineRule="auto"/>
        <w:rPr>
          <w:sz w:val="20"/>
          <w:szCs w:val="20"/>
          <w:color w:val="auto"/>
        </w:rPr>
      </w:pPr>
      <w:r>
        <w:rPr>
          <w:rFonts w:ascii="Arial" w:cs="Arial" w:eastAsia="Arial" w:hAnsi="Arial"/>
          <w:sz w:val="16"/>
          <w:szCs w:val="16"/>
          <w:color w:val="auto"/>
        </w:rPr>
        <w:t>I/We, having become entitled in consequence of the [death/bankruptcy] of [name and address of deceased/bankrupt Member] to [number] share(s) standing in the Register of Members of the Company in the name of the said [name of deceased/bankrupt Member] instead of being registered myself/ourselves, elect to have [name of transferee] (the “</w:t>
      </w:r>
      <w:r>
        <w:rPr>
          <w:rFonts w:ascii="Arial" w:cs="Arial" w:eastAsia="Arial" w:hAnsi="Arial"/>
          <w:sz w:val="16"/>
          <w:szCs w:val="16"/>
          <w:u w:val="single" w:color="auto"/>
          <w:color w:val="auto"/>
        </w:rPr>
        <w:t>Transferee</w:t>
      </w:r>
      <w:r>
        <w:rPr>
          <w:rFonts w:ascii="Arial" w:cs="Arial" w:eastAsia="Arial" w:hAnsi="Arial"/>
          <w:sz w:val="16"/>
          <w:szCs w:val="16"/>
          <w:color w:val="auto"/>
        </w:rPr>
        <w:t>”) registered as a transferee of such share(s) and I/we do hereby accordingly transfer the said share(s) to the Transferee to hold the same unto the Transferee, his or her executors, administrators and assigns, subject to the conditions on which the same were held at the time of the execution hereof; and the Transferee does hereby agree to take the said share(s) subject to the same conditions.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DATED this [date]</w:t>
            </w:r>
          </w:p>
        </w:tc>
        <w:tc>
          <w:tcPr>
            <w:tcW w:w="7080" w:type="dxa"/>
            <w:vAlign w:val="bottom"/>
          </w:tcPr>
          <w:p>
            <w:pPr>
              <w:spacing w:after="0"/>
              <w:rPr>
                <w:sz w:val="20"/>
                <w:szCs w:val="20"/>
                <w:color w:val="auto"/>
              </w:rPr>
            </w:pPr>
          </w:p>
        </w:tc>
      </w:tr>
      <w:tr>
        <w:trPr>
          <w:trHeight w:val="48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Signed by:</w:t>
            </w:r>
          </w:p>
        </w:tc>
        <w:tc>
          <w:tcPr>
            <w:tcW w:w="7080" w:type="dxa"/>
            <w:vAlign w:val="bottom"/>
          </w:tcPr>
          <w:p>
            <w:pPr>
              <w:ind w:left="20"/>
              <w:spacing w:after="0"/>
              <w:rPr>
                <w:sz w:val="20"/>
                <w:szCs w:val="20"/>
                <w:color w:val="auto"/>
              </w:rPr>
            </w:pPr>
            <w:r>
              <w:rPr>
                <w:rFonts w:ascii="Arial" w:cs="Arial" w:eastAsia="Arial" w:hAnsi="Arial"/>
                <w:sz w:val="18"/>
                <w:szCs w:val="18"/>
                <w:color w:val="auto"/>
              </w:rPr>
              <w:t>In the presence of:</w:t>
            </w:r>
          </w:p>
        </w:tc>
      </w:tr>
      <w:tr>
        <w:trPr>
          <w:trHeight w:val="499"/>
        </w:trPr>
        <w:tc>
          <w:tcPr>
            <w:tcW w:w="3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Transferor</w:t>
            </w:r>
          </w:p>
        </w:tc>
        <w:tc>
          <w:tcPr>
            <w:tcW w:w="7080" w:type="dxa"/>
            <w:vAlign w:val="bottom"/>
          </w:tcPr>
          <w:p>
            <w:pPr>
              <w:ind w:left="20"/>
              <w:spacing w:after="0"/>
              <w:rPr>
                <w:sz w:val="20"/>
                <w:szCs w:val="20"/>
                <w:color w:val="auto"/>
              </w:rPr>
            </w:pPr>
            <w:r>
              <w:rPr>
                <w:rFonts w:ascii="Arial" w:cs="Arial" w:eastAsia="Arial" w:hAnsi="Arial"/>
                <w:sz w:val="18"/>
                <w:szCs w:val="18"/>
                <w:color w:val="auto"/>
              </w:rPr>
              <w:t>Witness</w:t>
            </w:r>
          </w:p>
        </w:tc>
      </w:tr>
      <w:tr>
        <w:trPr>
          <w:trHeight w:val="48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Signed by:</w:t>
            </w:r>
          </w:p>
        </w:tc>
        <w:tc>
          <w:tcPr>
            <w:tcW w:w="7080" w:type="dxa"/>
            <w:vAlign w:val="bottom"/>
          </w:tcPr>
          <w:p>
            <w:pPr>
              <w:ind w:left="20"/>
              <w:spacing w:after="0"/>
              <w:rPr>
                <w:sz w:val="20"/>
                <w:szCs w:val="20"/>
                <w:color w:val="auto"/>
              </w:rPr>
            </w:pPr>
            <w:r>
              <w:rPr>
                <w:rFonts w:ascii="Arial" w:cs="Arial" w:eastAsia="Arial" w:hAnsi="Arial"/>
                <w:sz w:val="18"/>
                <w:szCs w:val="18"/>
                <w:color w:val="auto"/>
              </w:rPr>
              <w:t>In the presence of:</w:t>
            </w:r>
          </w:p>
        </w:tc>
      </w:tr>
      <w:tr>
        <w:trPr>
          <w:trHeight w:val="499"/>
        </w:trPr>
        <w:tc>
          <w:tcPr>
            <w:tcW w:w="3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Transferee</w:t>
            </w:r>
          </w:p>
        </w:tc>
        <w:tc>
          <w:tcPr>
            <w:tcW w:w="7080" w:type="dxa"/>
            <w:vAlign w:val="bottom"/>
          </w:tcPr>
          <w:p>
            <w:pPr>
              <w:ind w:left="20"/>
              <w:spacing w:after="0"/>
              <w:rPr>
                <w:sz w:val="20"/>
                <w:szCs w:val="20"/>
                <w:color w:val="auto"/>
              </w:rPr>
            </w:pPr>
            <w:r>
              <w:rPr>
                <w:rFonts w:ascii="Arial" w:cs="Arial" w:eastAsia="Arial" w:hAnsi="Arial"/>
                <w:sz w:val="18"/>
                <w:szCs w:val="18"/>
                <w:color w:val="auto"/>
              </w:rPr>
              <w:t>Witness</w:t>
            </w:r>
          </w:p>
        </w:tc>
      </w:tr>
    </w:tbl>
    <w:p>
      <w:pPr>
        <w:spacing w:after="0" w:line="252" w:lineRule="exact"/>
        <w:rPr>
          <w:sz w:val="20"/>
          <w:szCs w:val="20"/>
          <w:color w:val="auto"/>
        </w:rPr>
      </w:pPr>
    </w:p>
    <w:p>
      <w:pPr>
        <w:ind w:left="920" w:right="200" w:hanging="485"/>
        <w:spacing w:after="0" w:line="259" w:lineRule="auto"/>
        <w:tabs>
          <w:tab w:leader="none" w:pos="90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On the presentation of the foregoing materials to the Board, accompanied by such evidence as the Board may require to prove the title of the transferor, the transferee shall be registered as a Member. Notwithstanding the foregoing, the Board shall, in any case, have the same right to decline or suspend registration as it would have had in the case of a transfer of the share by that Member before such Member’s death or bankruptcy, as the case may be.</w:t>
      </w:r>
    </w:p>
    <w:p>
      <w:pPr>
        <w:spacing w:after="0" w:line="241" w:lineRule="exact"/>
        <w:rPr>
          <w:sz w:val="20"/>
          <w:szCs w:val="20"/>
          <w:color w:val="auto"/>
        </w:rPr>
      </w:pPr>
    </w:p>
    <w:p>
      <w:pPr>
        <w:ind w:left="920" w:right="120" w:hanging="485"/>
        <w:spacing w:after="0" w:line="263" w:lineRule="auto"/>
        <w:tabs>
          <w:tab w:leader="none" w:pos="90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8"/>
          <w:szCs w:val="18"/>
          <w:color w:val="auto"/>
        </w:rPr>
        <w:t>Where two or more persons are registered as joint holders of a share or shares, then in the event of the death of any joint holder or holders the remaining joint holder or holders shall be absolutely entitled to such share or shares and the Company shall recognise no claim in respect of the estate of any joint holder except in the case of the last survivor of such joint holders.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SHARE CAPITAL</w:t>
      </w:r>
    </w:p>
    <w:p>
      <w:pPr>
        <w:spacing w:after="0" w:line="279" w:lineRule="exact"/>
        <w:rPr>
          <w:sz w:val="20"/>
          <w:szCs w:val="20"/>
          <w:color w:val="auto"/>
        </w:rPr>
      </w:pPr>
    </w:p>
    <w:p>
      <w:pPr>
        <w:ind w:left="440" w:hanging="414"/>
        <w:spacing w:after="0"/>
        <w:tabs>
          <w:tab w:leader="none" w:pos="4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Power to Alter Capital</w:t>
      </w:r>
    </w:p>
    <w:p>
      <w:pPr>
        <w:spacing w:after="0" w:line="279" w:lineRule="exact"/>
        <w:rPr>
          <w:rFonts w:ascii="Arial" w:cs="Arial" w:eastAsia="Arial" w:hAnsi="Arial"/>
          <w:sz w:val="18"/>
          <w:szCs w:val="18"/>
          <w:b w:val="1"/>
          <w:bCs w:val="1"/>
          <w:color w:val="auto"/>
        </w:rPr>
      </w:pPr>
    </w:p>
    <w:p>
      <w:pPr>
        <w:ind w:left="920" w:right="12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The Company may if authorised by resolution of the Members increase, divide, consolidate, subdivide, change the currency denomination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diminish or otherwise alter or reduce its share capital in any manner permitted by the Act.</w:t>
      </w:r>
    </w:p>
    <w:p>
      <w:pPr>
        <w:sectPr>
          <w:pgSz w:w="11900" w:h="16838" w:orient="portrait"/>
          <w:cols w:equalWidth="0" w:num="1">
            <w:col w:w="11240"/>
          </w:cols>
          <w:pgMar w:left="320" w:top="1440" w:right="339"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440" w:right="339" w:bottom="379" w:gutter="0" w:footer="0" w:header="0"/>
          <w:type w:val="continuous"/>
        </w:sectPr>
      </w:pPr>
    </w:p>
    <w:bookmarkStart w:id="191" w:name="page192"/>
    <w:bookmarkEnd w:id="191"/>
    <w:p>
      <w:pPr>
        <w:spacing w:after="0" w:line="32" w:lineRule="exact"/>
        <w:rPr>
          <w:sz w:val="20"/>
          <w:szCs w:val="20"/>
          <w:color w:val="auto"/>
        </w:rPr>
      </w:pPr>
    </w:p>
    <w:p>
      <w:pPr>
        <w:ind w:left="900" w:right="320" w:hanging="485"/>
        <w:spacing w:after="0" w:line="277" w:lineRule="auto"/>
        <w:tabs>
          <w:tab w:leader="none" w:pos="8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8"/>
          <w:szCs w:val="18"/>
          <w:color w:val="auto"/>
        </w:rPr>
        <w:t>Where, on any alteration or reduction of share capital, fractions of shares or some other difficulty would arise, the Board may deal with or resolve the same in such manner as it thinks fit.</w:t>
      </w:r>
    </w:p>
    <w:p>
      <w:pPr>
        <w:spacing w:after="0" w:line="2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Variation of Rights Attaching to Shares</w:t>
      </w:r>
    </w:p>
    <w:p>
      <w:pPr>
        <w:spacing w:after="0" w:line="2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at any time, the share capital is divided into different classes of shares, the rights attached to any class (unless otherwise provided by the terms of issue of the shares of that class) may, whether or not the Company is being wound-up, be varied with the consent in writing of the holders of three-fourths of the issued shares of that class or with the sanction of a resolution passed by a majority of the votes cast at a separate general meeting of the holders of the shares of the class at which meeting the necessary quorum shall be two persons at least holding or representing by proxy one-third of the issued shares of the class. The rights conferred upon the holders of the shares of any class or series issued with preferred or other rights shall not, unless otherwise expressly provided by the terms of issue of the shares of that class or series, be deemed to be varied by the creation or issue of further shares ranking pari passu therewith.</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 AND CAPITALISATION</w:t>
      </w:r>
    </w:p>
    <w:p>
      <w:pPr>
        <w:spacing w:after="0" w:line="279" w:lineRule="exact"/>
        <w:rPr>
          <w:sz w:val="20"/>
          <w:szCs w:val="20"/>
          <w:color w:val="auto"/>
        </w:rPr>
      </w:pPr>
    </w:p>
    <w:p>
      <w:pPr>
        <w:ind w:left="420" w:hanging="414"/>
        <w:spacing w:after="0"/>
        <w:tabs>
          <w:tab w:leader="none" w:pos="4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79" w:lineRule="exact"/>
        <w:rPr>
          <w:rFonts w:ascii="Arial" w:cs="Arial" w:eastAsia="Arial" w:hAnsi="Arial"/>
          <w:sz w:val="18"/>
          <w:szCs w:val="18"/>
          <w:b w:val="1"/>
          <w:bCs w:val="1"/>
          <w:color w:val="auto"/>
        </w:rPr>
      </w:pPr>
    </w:p>
    <w:p>
      <w:pPr>
        <w:ind w:left="900" w:right="20" w:hanging="486"/>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17.1 </w:t>
      </w:r>
      <w:r>
        <w:rPr>
          <w:rFonts w:ascii="Arial" w:cs="Arial" w:eastAsia="Arial" w:hAnsi="Arial"/>
          <w:sz w:val="17"/>
          <w:szCs w:val="17"/>
          <w:color w:val="auto"/>
        </w:rPr>
        <w:t>The Board may, subject to these Bye-laws and in accordance with the Act, declare a dividend to be paid to the Members, in proportion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held by them, and such dividend may be paid in cash or wholly or partly in specie in which case the Board may fix the value for distribution in specie of any assets. No unpaid dividend shall bear interest as against the Company.</w:t>
      </w:r>
    </w:p>
    <w:p>
      <w:pPr>
        <w:spacing w:after="0" w:line="21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The Board may fix any date as the record date for determining the Members entitled to receive any dividend.</w:t>
      </w:r>
    </w:p>
    <w:p>
      <w:pPr>
        <w:spacing w:after="0" w:line="279" w:lineRule="exact"/>
        <w:rPr>
          <w:rFonts w:ascii="Arial" w:cs="Arial" w:eastAsia="Arial" w:hAnsi="Arial"/>
          <w:sz w:val="18"/>
          <w:szCs w:val="18"/>
          <w:b w:val="1"/>
          <w:bCs w:val="1"/>
          <w:color w:val="auto"/>
        </w:rPr>
      </w:pPr>
    </w:p>
    <w:p>
      <w:pPr>
        <w:ind w:left="900" w:right="8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The Company may pay dividends in proportion to the amount paid up on each share where a larger amount is paid up on some shares than on</w:t>
      </w:r>
      <w:r>
        <w:rPr>
          <w:rFonts w:ascii="Arial" w:cs="Arial" w:eastAsia="Arial" w:hAnsi="Arial"/>
          <w:sz w:val="18"/>
          <w:szCs w:val="18"/>
          <w:b w:val="1"/>
          <w:bCs w:val="1"/>
          <w:color w:val="auto"/>
        </w:rPr>
        <w:t xml:space="preserve"> </w:t>
      </w:r>
      <w:r>
        <w:rPr>
          <w:rFonts w:ascii="Arial" w:cs="Arial" w:eastAsia="Arial" w:hAnsi="Arial"/>
          <w:sz w:val="18"/>
          <w:szCs w:val="18"/>
          <w:color w:val="auto"/>
        </w:rPr>
        <w:t>others.</w:t>
      </w:r>
    </w:p>
    <w:p>
      <w:pPr>
        <w:spacing w:after="0" w:line="215" w:lineRule="exact"/>
        <w:rPr>
          <w:rFonts w:ascii="Arial" w:cs="Arial" w:eastAsia="Arial" w:hAnsi="Arial"/>
          <w:sz w:val="18"/>
          <w:szCs w:val="18"/>
          <w:b w:val="1"/>
          <w:bCs w:val="1"/>
          <w:color w:val="auto"/>
        </w:rPr>
      </w:pPr>
    </w:p>
    <w:p>
      <w:pPr>
        <w:ind w:left="900" w:right="14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The Board may declare and make such other distributions (in cash or in specie) to the Members as may be lawfully made out of the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No unpaid distribution shall bear interest as against the Company.</w:t>
      </w:r>
    </w:p>
    <w:p>
      <w:pPr>
        <w:spacing w:after="0" w:line="215" w:lineRule="exact"/>
        <w:rPr>
          <w:rFonts w:ascii="Arial" w:cs="Arial" w:eastAsia="Arial" w:hAnsi="Arial"/>
          <w:sz w:val="18"/>
          <w:szCs w:val="18"/>
          <w:b w:val="1"/>
          <w:bCs w:val="1"/>
          <w:color w:val="auto"/>
        </w:rPr>
      </w:pPr>
    </w:p>
    <w:p>
      <w:pPr>
        <w:ind w:left="420" w:hanging="414"/>
        <w:spacing w:after="0"/>
        <w:tabs>
          <w:tab w:leader="none" w:pos="4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Power to Set Aside Profits</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Board may, before declaring a dividend, set aside out of the surplus or profits of the Company, such amount as it thinks proper as a reserve to be used to meet contingencies or for equalising dividends or for any other purpose.</w:t>
      </w:r>
    </w:p>
    <w:p>
      <w:pPr>
        <w:spacing w:after="0" w:line="220" w:lineRule="exact"/>
        <w:rPr>
          <w:sz w:val="20"/>
          <w:szCs w:val="20"/>
          <w:color w:val="auto"/>
        </w:rPr>
      </w:pPr>
    </w:p>
    <w:p>
      <w:pPr>
        <w:ind w:left="420" w:hanging="414"/>
        <w:spacing w:after="0"/>
        <w:tabs>
          <w:tab w:leader="none" w:pos="4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279" w:lineRule="exact"/>
        <w:rPr>
          <w:rFonts w:ascii="Arial" w:cs="Arial" w:eastAsia="Arial" w:hAnsi="Arial"/>
          <w:sz w:val="18"/>
          <w:szCs w:val="18"/>
          <w:b w:val="1"/>
          <w:bCs w:val="1"/>
          <w:color w:val="auto"/>
        </w:rPr>
      </w:pPr>
    </w:p>
    <w:p>
      <w:pPr>
        <w:ind w:left="900" w:right="10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Any dividend, interest, or other moneys payable in cash in respect of the shares may be paid by cheque or draft sent through the post directed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Member at such Member’s address in the Register of Members, or to such person and to such address as the holder may in writing direct.</w:t>
      </w:r>
    </w:p>
    <w:p>
      <w:pPr>
        <w:spacing w:after="0" w:line="229" w:lineRule="exact"/>
        <w:rPr>
          <w:rFonts w:ascii="Arial" w:cs="Arial" w:eastAsia="Arial" w:hAnsi="Arial"/>
          <w:sz w:val="18"/>
          <w:szCs w:val="18"/>
          <w:b w:val="1"/>
          <w:bCs w:val="1"/>
          <w:color w:val="auto"/>
        </w:rPr>
      </w:pPr>
    </w:p>
    <w:p>
      <w:pPr>
        <w:ind w:left="900" w:right="100" w:hanging="48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In the case of joint holders of shares, any dividend, interest or other moneys payable in cash in respect of shares may be paid by cheque or</w:t>
      </w:r>
      <w:r>
        <w:rPr>
          <w:rFonts w:ascii="Arial" w:cs="Arial" w:eastAsia="Arial" w:hAnsi="Arial"/>
          <w:sz w:val="18"/>
          <w:szCs w:val="18"/>
          <w:b w:val="1"/>
          <w:bCs w:val="1"/>
          <w:color w:val="auto"/>
        </w:rPr>
        <w:t xml:space="preserve"> </w:t>
      </w:r>
      <w:r>
        <w:rPr>
          <w:rFonts w:ascii="Arial" w:cs="Arial" w:eastAsia="Arial" w:hAnsi="Arial"/>
          <w:sz w:val="18"/>
          <w:szCs w:val="18"/>
          <w:color w:val="auto"/>
        </w:rPr>
        <w:t>draft sent through the post directed to the address of the holder first named in the Register of Members, or to such person and to such address as the joint holders may in writing direct. If two or more persons are registered as joint holders of any shares any one can give an effectual receipt for any dividend paid in respect of such shares.</w:t>
      </w:r>
    </w:p>
    <w:p>
      <w:pPr>
        <w:spacing w:after="0" w:line="233" w:lineRule="exact"/>
        <w:rPr>
          <w:rFonts w:ascii="Arial" w:cs="Arial" w:eastAsia="Arial" w:hAnsi="Arial"/>
          <w:sz w:val="18"/>
          <w:szCs w:val="18"/>
          <w:b w:val="1"/>
          <w:bCs w:val="1"/>
          <w:color w:val="auto"/>
        </w:rPr>
      </w:pPr>
    </w:p>
    <w:p>
      <w:pPr>
        <w:ind w:left="900" w:right="34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The Board may deduct from the dividends or distributions payable to any Member all moneys due from such Member to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calls or otherwise.</w:t>
      </w:r>
    </w:p>
    <w:p>
      <w:pPr>
        <w:spacing w:after="0" w:line="215" w:lineRule="exact"/>
        <w:rPr>
          <w:rFonts w:ascii="Arial" w:cs="Arial" w:eastAsia="Arial" w:hAnsi="Arial"/>
          <w:sz w:val="18"/>
          <w:szCs w:val="18"/>
          <w:b w:val="1"/>
          <w:bCs w:val="1"/>
          <w:color w:val="auto"/>
        </w:rPr>
      </w:pPr>
    </w:p>
    <w:p>
      <w:pPr>
        <w:ind w:left="900" w:hanging="486"/>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19.4 </w:t>
      </w:r>
      <w:r>
        <w:rPr>
          <w:rFonts w:ascii="Arial" w:cs="Arial" w:eastAsia="Arial" w:hAnsi="Arial"/>
          <w:sz w:val="17"/>
          <w:szCs w:val="17"/>
          <w:color w:val="auto"/>
        </w:rPr>
        <w:t>The Company shall be entitled to cease sending dividend cheques and warrants by post or otherwise to a Member if those instruments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returned undelivered to, or left uncashed by, that Member on at least two consecutive occasions or, following one such occasion, reasonable enquiries have failed to establish the Member’s new address. The entitlement conferred on the Company by this Bye-law in respect of any Member shall cease if the Member claims a dividend or cashes a dividend cheque or warrant.</w:t>
      </w:r>
    </w:p>
    <w:p>
      <w:pPr>
        <w:sectPr>
          <w:pgSz w:w="11900" w:h="16838" w:orient="portrait"/>
          <w:cols w:equalWidth="0" w:num="1">
            <w:col w:w="11160"/>
          </w:cols>
          <w:pgMar w:left="340" w:top="144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60"/>
          </w:cols>
          <w:pgMar w:left="340" w:top="1440" w:right="399" w:bottom="0" w:gutter="0" w:footer="0" w:header="0"/>
          <w:type w:val="continuous"/>
        </w:sectPr>
      </w:pPr>
    </w:p>
    <w:bookmarkStart w:id="192" w:name="page193"/>
    <w:bookmarkEnd w:id="192"/>
    <w:p>
      <w:pPr>
        <w:spacing w:after="0" w:line="32" w:lineRule="exact"/>
        <w:rPr>
          <w:sz w:val="20"/>
          <w:szCs w:val="20"/>
          <w:color w:val="auto"/>
        </w:rPr>
      </w:pPr>
    </w:p>
    <w:p>
      <w:pPr>
        <w:ind w:left="420" w:hanging="414"/>
        <w:spacing w:after="0"/>
        <w:tabs>
          <w:tab w:leader="none" w:pos="4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279" w:lineRule="exact"/>
        <w:rPr>
          <w:rFonts w:ascii="Arial" w:cs="Arial" w:eastAsia="Arial" w:hAnsi="Arial"/>
          <w:sz w:val="18"/>
          <w:szCs w:val="18"/>
          <w:b w:val="1"/>
          <w:bCs w:val="1"/>
          <w:color w:val="auto"/>
        </w:rPr>
      </w:pPr>
    </w:p>
    <w:p>
      <w:pPr>
        <w:ind w:left="900" w:right="180" w:hanging="48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 </w:t>
      </w:r>
      <w:r>
        <w:rPr>
          <w:rFonts w:ascii="Arial" w:cs="Arial" w:eastAsia="Arial" w:hAnsi="Arial"/>
          <w:sz w:val="18"/>
          <w:szCs w:val="18"/>
          <w:color w:val="auto"/>
        </w:rPr>
        <w:t>The Board may capitalise any amount for the time being standing to the credit of any of the Company’s share premium or other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or to the credit of the profit and loss account or otherwise available for distribution by applying such amount in paying up unissued shares to be allotted as fully paid bonus shares pro rata (except in connection with the conversion of shares of one class to shares of another class) to the Members.</w:t>
      </w:r>
    </w:p>
    <w:p>
      <w:pPr>
        <w:spacing w:after="0" w:line="233" w:lineRule="exact"/>
        <w:rPr>
          <w:rFonts w:ascii="Arial" w:cs="Arial" w:eastAsia="Arial" w:hAnsi="Arial"/>
          <w:sz w:val="18"/>
          <w:szCs w:val="18"/>
          <w:b w:val="1"/>
          <w:bCs w:val="1"/>
          <w:color w:val="auto"/>
        </w:rPr>
      </w:pPr>
    </w:p>
    <w:p>
      <w:pPr>
        <w:ind w:left="900" w:right="48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20.2 </w:t>
      </w:r>
      <w:r>
        <w:rPr>
          <w:rFonts w:ascii="Arial" w:cs="Arial" w:eastAsia="Arial" w:hAnsi="Arial"/>
          <w:sz w:val="18"/>
          <w:szCs w:val="18"/>
          <w:color w:val="auto"/>
        </w:rPr>
        <w:t>The Board may capitalise any amount for the time being standing to the credit of a reserve account or amounts otherwise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or distribution by applying such amounts in paying up in full, partly or nil paid shares of those Members who would have been entitled to such amounts if they were distributed by way of dividend or distribution.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MEMBERS</w:t>
      </w:r>
    </w:p>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Annual General Meetings</w:t>
      </w:r>
    </w:p>
    <w:p>
      <w:pPr>
        <w:spacing w:after="0" w:line="28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Notwithstanding the provisions of the Act entitling the Members of the Company to elect to dispense with the holding of an annual general meeting, an annual general meeting shall be held in each year (other than the year of incorporation) at such time and place, which shall not be in the United States, as the Chairman (if any) or any two Directors or any Director and the Secretary or the Board shall appoint.</w:t>
      </w:r>
    </w:p>
    <w:p>
      <w:pPr>
        <w:spacing w:after="0" w:line="234" w:lineRule="exact"/>
        <w:rPr>
          <w:sz w:val="20"/>
          <w:szCs w:val="20"/>
          <w:color w:val="auto"/>
        </w:rPr>
      </w:pPr>
    </w:p>
    <w:p>
      <w:pPr>
        <w:ind w:left="420" w:hanging="414"/>
        <w:spacing w:after="0"/>
        <w:tabs>
          <w:tab w:leader="none" w:pos="4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Special General Meetings</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Chairman (if any) or any two Directors or any Director and the Secretary or the Board may convene a special general meeting which shall not be in the United States whenever in their judgment such a meeting is necessary.</w:t>
      </w:r>
    </w:p>
    <w:p>
      <w:pPr>
        <w:spacing w:after="0" w:line="220" w:lineRule="exact"/>
        <w:rPr>
          <w:sz w:val="20"/>
          <w:szCs w:val="20"/>
          <w:color w:val="auto"/>
        </w:rPr>
      </w:pPr>
    </w:p>
    <w:p>
      <w:pPr>
        <w:ind w:left="420" w:hanging="414"/>
        <w:spacing w:after="0"/>
        <w:tabs>
          <w:tab w:leader="none" w:pos="4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Requisitioned General Meetings</w:t>
      </w:r>
    </w:p>
    <w:p>
      <w:pPr>
        <w:spacing w:after="0" w:line="28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Board shall, on the requisition of Members holding at the date of the deposit of the requisition not less than one-tenth of the paid-up share capital of the Company as at the date of the deposit carries the right to vote at general meetings, forthwith proceed to convene a special general meeting and the provisions of the Act shall apply.</w:t>
      </w:r>
    </w:p>
    <w:p>
      <w:pPr>
        <w:spacing w:after="0" w:line="234" w:lineRule="exact"/>
        <w:rPr>
          <w:sz w:val="20"/>
          <w:szCs w:val="20"/>
          <w:color w:val="auto"/>
        </w:rPr>
      </w:pPr>
    </w:p>
    <w:p>
      <w:pPr>
        <w:ind w:left="420" w:hanging="414"/>
        <w:spacing w:after="0"/>
        <w:tabs>
          <w:tab w:leader="none" w:pos="4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79" w:lineRule="exact"/>
        <w:rPr>
          <w:rFonts w:ascii="Arial" w:cs="Arial" w:eastAsia="Arial" w:hAnsi="Arial"/>
          <w:sz w:val="18"/>
          <w:szCs w:val="18"/>
          <w:b w:val="1"/>
          <w:bCs w:val="1"/>
          <w:color w:val="auto"/>
        </w:rPr>
      </w:pPr>
    </w:p>
    <w:p>
      <w:pPr>
        <w:ind w:left="900" w:right="6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At least 15 days’ notice of an annual general meeting shall be given to each Member entitled to attend and vote thereat, stating the date, place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 which shall not be in the United States at which the meeting is to be held, that the election of Directors will take place thereat, and as far as practicable, the other business to be conducted at the meeting.</w:t>
      </w:r>
    </w:p>
    <w:p>
      <w:pPr>
        <w:spacing w:after="0" w:line="229" w:lineRule="exact"/>
        <w:rPr>
          <w:rFonts w:ascii="Arial" w:cs="Arial" w:eastAsia="Arial" w:hAnsi="Arial"/>
          <w:sz w:val="18"/>
          <w:szCs w:val="18"/>
          <w:b w:val="1"/>
          <w:bCs w:val="1"/>
          <w:color w:val="auto"/>
        </w:rPr>
      </w:pPr>
    </w:p>
    <w:p>
      <w:pPr>
        <w:ind w:left="900" w:right="180" w:hanging="486"/>
        <w:spacing w:after="0" w:line="31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24.2 </w:t>
      </w:r>
      <w:r>
        <w:rPr>
          <w:rFonts w:ascii="Arial" w:cs="Arial" w:eastAsia="Arial" w:hAnsi="Arial"/>
          <w:sz w:val="17"/>
          <w:szCs w:val="17"/>
          <w:color w:val="auto"/>
        </w:rPr>
        <w:t>At least 15 days’ notice of a special general meeting shall be given to each Member entitled to attend and vote thereat, stating the date, time,</w:t>
      </w:r>
      <w:r>
        <w:rPr>
          <w:rFonts w:ascii="Arial" w:cs="Arial" w:eastAsia="Arial" w:hAnsi="Arial"/>
          <w:sz w:val="17"/>
          <w:szCs w:val="17"/>
          <w:b w:val="1"/>
          <w:bCs w:val="1"/>
          <w:color w:val="auto"/>
        </w:rPr>
        <w:t xml:space="preserve"> </w:t>
      </w:r>
      <w:r>
        <w:rPr>
          <w:rFonts w:ascii="Arial" w:cs="Arial" w:eastAsia="Arial" w:hAnsi="Arial"/>
          <w:sz w:val="17"/>
          <w:szCs w:val="17"/>
          <w:color w:val="auto"/>
        </w:rPr>
        <w:t>place which shall not be in the United States and the general nature of the business to be considered at the meeting.</w:t>
      </w:r>
    </w:p>
    <w:p>
      <w:pPr>
        <w:spacing w:after="0" w:line="193"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24.3  </w:t>
      </w:r>
      <w:r>
        <w:rPr>
          <w:rFonts w:ascii="Arial" w:cs="Arial" w:eastAsia="Arial" w:hAnsi="Arial"/>
          <w:sz w:val="16"/>
          <w:szCs w:val="16"/>
          <w:color w:val="auto"/>
        </w:rPr>
        <w:t>The Board may fix any date as the record date for determining the Members entitled to receive notice of and to vote at any general meeting.</w:t>
      </w:r>
    </w:p>
    <w:p>
      <w:pPr>
        <w:spacing w:after="0" w:line="302" w:lineRule="exact"/>
        <w:rPr>
          <w:rFonts w:ascii="Arial" w:cs="Arial" w:eastAsia="Arial" w:hAnsi="Arial"/>
          <w:sz w:val="18"/>
          <w:szCs w:val="18"/>
          <w:b w:val="1"/>
          <w:bCs w:val="1"/>
          <w:color w:val="auto"/>
        </w:rPr>
      </w:pPr>
    </w:p>
    <w:p>
      <w:pPr>
        <w:ind w:left="900" w:hanging="486"/>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24.4 </w:t>
      </w:r>
      <w:r>
        <w:rPr>
          <w:rFonts w:ascii="Arial" w:cs="Arial" w:eastAsia="Arial" w:hAnsi="Arial"/>
          <w:sz w:val="17"/>
          <w:szCs w:val="17"/>
          <w:color w:val="auto"/>
        </w:rPr>
        <w:t>A general meeting shall, notwithstanding that it is called on shorter notice than that specified in these Bye-laws, be deemed to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properly called if it is so agreed by (i) all the Members entitled to attend and vote thereat in the case of an annual general meeting; and (ii) by a majority in number of the Members having the right to attend and vote at the meeting, being a majority together holding not less than 95% in nominal value of the shares giving a right to attend and vote thereat in the case of a special general meeting.</w:t>
      </w:r>
    </w:p>
    <w:p>
      <w:pPr>
        <w:spacing w:after="0" w:line="218" w:lineRule="exact"/>
        <w:rPr>
          <w:rFonts w:ascii="Arial" w:cs="Arial" w:eastAsia="Arial" w:hAnsi="Arial"/>
          <w:sz w:val="18"/>
          <w:szCs w:val="18"/>
          <w:b w:val="1"/>
          <w:bCs w:val="1"/>
          <w:color w:val="auto"/>
        </w:rPr>
      </w:pPr>
    </w:p>
    <w:p>
      <w:pPr>
        <w:ind w:left="900" w:right="26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24.5 </w:t>
      </w:r>
      <w:r>
        <w:rPr>
          <w:rFonts w:ascii="Arial" w:cs="Arial" w:eastAsia="Arial" w:hAnsi="Arial"/>
          <w:sz w:val="18"/>
          <w:szCs w:val="18"/>
          <w:color w:val="auto"/>
        </w:rPr>
        <w:t>The accidental omission to give notice of a general meeting to, or the non-receipt of a notice of a general meeting by, any person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notice shall not invalidate the proceedings at that meeting.</w:t>
      </w:r>
    </w:p>
    <w:p>
      <w:pPr>
        <w:spacing w:after="0" w:line="215" w:lineRule="exact"/>
        <w:rPr>
          <w:rFonts w:ascii="Arial" w:cs="Arial" w:eastAsia="Arial" w:hAnsi="Arial"/>
          <w:sz w:val="18"/>
          <w:szCs w:val="18"/>
          <w:b w:val="1"/>
          <w:bCs w:val="1"/>
          <w:color w:val="auto"/>
        </w:rPr>
      </w:pPr>
    </w:p>
    <w:p>
      <w:pPr>
        <w:ind w:left="420" w:hanging="414"/>
        <w:spacing w:after="0"/>
        <w:tabs>
          <w:tab w:leader="none" w:pos="4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Giving Notice and Access</w:t>
      </w:r>
    </w:p>
    <w:p>
      <w:pPr>
        <w:spacing w:after="0" w:line="27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A notice may be given by the Company to a Member:</w:t>
      </w:r>
    </w:p>
    <w:p>
      <w:pPr>
        <w:spacing w:after="0" w:line="283" w:lineRule="exact"/>
        <w:rPr>
          <w:rFonts w:ascii="Arial" w:cs="Arial" w:eastAsia="Arial" w:hAnsi="Arial"/>
          <w:sz w:val="18"/>
          <w:szCs w:val="18"/>
          <w:b w:val="1"/>
          <w:bCs w:val="1"/>
          <w:color w:val="auto"/>
        </w:rPr>
      </w:pPr>
    </w:p>
    <w:p>
      <w:pPr>
        <w:ind w:left="1200" w:hanging="384"/>
        <w:spacing w:after="0"/>
        <w:tabs>
          <w:tab w:leader="none" w:pos="12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by delivering it to such Member in person, in which case the notice shall be deemed to have been served upon such delivery; or</w:t>
      </w:r>
    </w:p>
    <w:p>
      <w:pPr>
        <w:spacing w:after="0" w:line="290" w:lineRule="exact"/>
        <w:rPr>
          <w:rFonts w:ascii="Arial" w:cs="Arial" w:eastAsia="Arial" w:hAnsi="Arial"/>
          <w:sz w:val="17"/>
          <w:szCs w:val="17"/>
          <w:color w:val="auto"/>
        </w:rPr>
      </w:pPr>
    </w:p>
    <w:p>
      <w:pPr>
        <w:ind w:left="1220" w:right="140" w:hanging="404"/>
        <w:spacing w:after="0" w:line="277" w:lineRule="auto"/>
        <w:tabs>
          <w:tab w:leader="none" w:pos="1205" w:val="left"/>
        </w:tabs>
        <w:numPr>
          <w:ilvl w:val="1"/>
          <w:numId w:val="86"/>
        </w:numPr>
        <w:rPr>
          <w:rFonts w:ascii="Arial" w:cs="Arial" w:eastAsia="Arial" w:hAnsi="Arial"/>
          <w:sz w:val="18"/>
          <w:szCs w:val="18"/>
          <w:color w:val="auto"/>
        </w:rPr>
      </w:pPr>
      <w:r>
        <w:rPr>
          <w:rFonts w:ascii="Arial" w:cs="Arial" w:eastAsia="Arial" w:hAnsi="Arial"/>
          <w:sz w:val="18"/>
          <w:szCs w:val="18"/>
          <w:color w:val="auto"/>
        </w:rPr>
        <w:t>by sending it by letter mail or courier to such Member’s address in the Register of Members, in which case the notice shall be deemed to have been served seven days after the date on which it is deposited, with postage prepaid, in the mail; or</w:t>
      </w:r>
    </w:p>
    <w:p>
      <w:pPr>
        <w:sectPr>
          <w:pgSz w:w="11900" w:h="16838" w:orient="portrait"/>
          <w:cols w:equalWidth="0" w:num="1">
            <w:col w:w="11180"/>
          </w:cols>
          <w:pgMar w:left="340" w:top="1440"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40" w:top="1440" w:right="379" w:bottom="0" w:gutter="0" w:footer="0" w:header="0"/>
          <w:type w:val="continuous"/>
        </w:sectPr>
      </w:pPr>
    </w:p>
    <w:bookmarkStart w:id="193" w:name="page194"/>
    <w:bookmarkEnd w:id="193"/>
    <w:p>
      <w:pPr>
        <w:spacing w:after="0" w:line="36" w:lineRule="exact"/>
        <w:rPr>
          <w:sz w:val="20"/>
          <w:szCs w:val="20"/>
          <w:color w:val="auto"/>
        </w:rPr>
      </w:pPr>
    </w:p>
    <w:p>
      <w:pPr>
        <w:ind w:left="1214" w:right="360" w:hanging="404"/>
        <w:spacing w:after="0" w:line="277" w:lineRule="auto"/>
        <w:tabs>
          <w:tab w:leader="none" w:pos="11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sending it by courier to such Member’s address in the Register of Members, in which case the notice shall be deemed to have been served two days after the date on which it is deposited, with courier fees paid, with the courier service; or</w:t>
      </w:r>
    </w:p>
    <w:p>
      <w:pPr>
        <w:spacing w:after="0" w:line="224" w:lineRule="exact"/>
        <w:rPr>
          <w:rFonts w:ascii="Arial" w:cs="Arial" w:eastAsia="Arial" w:hAnsi="Arial"/>
          <w:sz w:val="18"/>
          <w:szCs w:val="18"/>
          <w:color w:val="auto"/>
        </w:rPr>
      </w:pPr>
    </w:p>
    <w:p>
      <w:pPr>
        <w:ind w:left="1214" w:right="40" w:hanging="404"/>
        <w:spacing w:after="0" w:line="263" w:lineRule="auto"/>
        <w:tabs>
          <w:tab w:leader="none" w:pos="11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transmitting it by electronic means (including facsimile and electronic mail, but not telephone) in accordance with such directions as may be given by such Member to the Company for such purpose in which case the notice shall be deemed to have been served at the time that it would in the ordinary course be transmitted; or</w:t>
      </w:r>
    </w:p>
    <w:p>
      <w:pPr>
        <w:spacing w:after="0" w:line="237" w:lineRule="exact"/>
        <w:rPr>
          <w:rFonts w:ascii="Arial" w:cs="Arial" w:eastAsia="Arial" w:hAnsi="Arial"/>
          <w:sz w:val="18"/>
          <w:szCs w:val="18"/>
          <w:color w:val="auto"/>
        </w:rPr>
      </w:pPr>
    </w:p>
    <w:p>
      <w:pPr>
        <w:ind w:left="1214" w:right="280" w:hanging="404"/>
        <w:spacing w:after="0" w:line="342" w:lineRule="auto"/>
        <w:tabs>
          <w:tab w:leader="none" w:pos="1189" w:val="left"/>
        </w:tabs>
        <w:numPr>
          <w:ilvl w:val="0"/>
          <w:numId w:val="87"/>
        </w:numPr>
        <w:rPr>
          <w:rFonts w:ascii="Arial" w:cs="Arial" w:eastAsia="Arial" w:hAnsi="Arial"/>
          <w:sz w:val="16"/>
          <w:szCs w:val="16"/>
          <w:color w:val="auto"/>
        </w:rPr>
      </w:pPr>
      <w:r>
        <w:rPr>
          <w:rFonts w:ascii="Arial" w:cs="Arial" w:eastAsia="Arial" w:hAnsi="Arial"/>
          <w:sz w:val="16"/>
          <w:szCs w:val="16"/>
          <w:color w:val="auto"/>
        </w:rPr>
        <w:t>by delivering it in accordance with the provisions of the Act pertaining to delivery of electronic records by publication on a website, in which case the notice shall be deemed to have been served at the time when the requirements of the Act in that regard have been met.</w:t>
      </w:r>
    </w:p>
    <w:p>
      <w:pPr>
        <w:spacing w:after="0" w:line="174" w:lineRule="exact"/>
        <w:rPr>
          <w:sz w:val="20"/>
          <w:szCs w:val="20"/>
          <w:color w:val="auto"/>
        </w:rPr>
      </w:pPr>
    </w:p>
    <w:p>
      <w:pPr>
        <w:jc w:val="center"/>
        <w:ind w:left="540" w:right="220"/>
        <w:spacing w:after="0" w:line="347" w:lineRule="auto"/>
        <w:rPr>
          <w:sz w:val="20"/>
          <w:szCs w:val="20"/>
          <w:color w:val="auto"/>
        </w:rPr>
      </w:pPr>
      <w:r>
        <w:rPr>
          <w:rFonts w:ascii="Arial" w:cs="Arial" w:eastAsia="Arial" w:hAnsi="Arial"/>
          <w:sz w:val="16"/>
          <w:szCs w:val="16"/>
          <w:b w:val="1"/>
          <w:bCs w:val="1"/>
          <w:color w:val="auto"/>
        </w:rPr>
        <w:t xml:space="preserve">25.2  </w:t>
      </w:r>
      <w:r>
        <w:rPr>
          <w:rFonts w:ascii="Arial" w:cs="Arial" w:eastAsia="Arial" w:hAnsi="Arial"/>
          <w:sz w:val="16"/>
          <w:szCs w:val="16"/>
          <w:color w:val="auto"/>
        </w:rPr>
        <w:t>Any notice required to be given to a Member shall, with respect to any shares held jointly by two or more persons, be given to whichever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persons is named first in the Register of Members and notice so given shall be sufficient notice to all the holders of such shares.</w:t>
      </w:r>
    </w:p>
    <w:p>
      <w:pPr>
        <w:spacing w:after="0" w:line="170" w:lineRule="exact"/>
        <w:rPr>
          <w:sz w:val="20"/>
          <w:szCs w:val="20"/>
          <w:color w:val="auto"/>
        </w:rPr>
      </w:pPr>
    </w:p>
    <w:p>
      <w:pPr>
        <w:ind w:left="894" w:right="180" w:hanging="485"/>
        <w:spacing w:after="0" w:line="308" w:lineRule="auto"/>
        <w:tabs>
          <w:tab w:leader="none" w:pos="874"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7"/>
          <w:szCs w:val="17"/>
          <w:color w:val="auto"/>
        </w:rPr>
        <w:t>In proving service under paragraphs 25.1 (b), (c) and (d), it shall be sufficient to prove that the notice was properly addressed and prepaid, if posted or sent by courier, and the time when it was posted, deposited with the courier, or transmitted by electronic means.</w:t>
      </w:r>
    </w:p>
    <w:p>
      <w:pPr>
        <w:spacing w:after="0" w:line="200" w:lineRule="exact"/>
        <w:rPr>
          <w:sz w:val="20"/>
          <w:szCs w:val="20"/>
          <w:color w:val="auto"/>
        </w:rPr>
      </w:pPr>
    </w:p>
    <w:p>
      <w:pPr>
        <w:ind w:left="414" w:right="7320" w:hanging="414"/>
        <w:spacing w:after="0" w:line="565" w:lineRule="auto"/>
        <w:tabs>
          <w:tab w:leader="none" w:pos="41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Nominations and Member Business 26.1 </w:t>
      </w:r>
      <w:r>
        <w:rPr>
          <w:rFonts w:ascii="Arial" w:cs="Arial" w:eastAsia="Arial" w:hAnsi="Arial"/>
          <w:sz w:val="18"/>
          <w:szCs w:val="18"/>
          <w:color w:val="auto"/>
        </w:rPr>
        <w:t>Annual General Meetings</w:t>
      </w:r>
    </w:p>
    <w:p>
      <w:pPr>
        <w:spacing w:after="0" w:line="1" w:lineRule="exact"/>
        <w:rPr>
          <w:rFonts w:ascii="Arial" w:cs="Arial" w:eastAsia="Arial" w:hAnsi="Arial"/>
          <w:sz w:val="18"/>
          <w:szCs w:val="18"/>
          <w:b w:val="1"/>
          <w:bCs w:val="1"/>
          <w:color w:val="auto"/>
        </w:rPr>
      </w:pPr>
    </w:p>
    <w:p>
      <w:pPr>
        <w:ind w:left="1214" w:right="140" w:hanging="404"/>
        <w:spacing w:after="0" w:line="259" w:lineRule="auto"/>
        <w:tabs>
          <w:tab w:leader="none" w:pos="1189"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or the proposal of other business to be transacted by the Members may be made at an annual general meeting only (A) pursuant to the Company’s notice of meeting (or any supplement thereto), (B) by or at the direction of the Board or (C) subject to any applicable law, by Members of record at the time of giving of notice as provided for in this Bye-law 26.1 and who comply with the notice procedures set forth in this Bye-law 26.1;</w:t>
      </w:r>
    </w:p>
    <w:p>
      <w:pPr>
        <w:spacing w:after="0" w:line="240" w:lineRule="exact"/>
        <w:rPr>
          <w:rFonts w:ascii="Arial" w:cs="Arial" w:eastAsia="Arial" w:hAnsi="Arial"/>
          <w:sz w:val="18"/>
          <w:szCs w:val="18"/>
          <w:color w:val="auto"/>
        </w:rPr>
      </w:pPr>
    </w:p>
    <w:p>
      <w:pPr>
        <w:ind w:left="1214" w:hanging="404"/>
        <w:spacing w:after="0" w:line="286" w:lineRule="auto"/>
        <w:tabs>
          <w:tab w:leader="none" w:pos="1199"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general meeting by a Member pursuant to clause (C) of Bye-law 26.1(a), the Member must have given timely notice thereof in writing to the Secretary and any such proposed business must constitute a proper matter for Member action. To be timely, a Member’s notice shall be delivered to or mailed and received by the Secretary at the registered office of the Company not less than 90 days nor more than 120 days prior to the first anniversary of the preceding year’s annual general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date of the annual general meeting is advanced more than 25 days prior to such anniversary date or delayed more than 25 days after such anniversary date then to be timely such notice must be received by the Secretary at the registered office of the Company no earlier than 120 days prior to such annual general meeting and no later than the later of 70 days prior to the date of the general meeting or the close of business on the 10th day following the earlier of the date on which notice of the general meeting was posted to Members or the date on which public announcement of the date of the general meeting was first made by the Company. In no event shall the public announcement of an adjournment or postponement of an annual general meeting commence a new time period (or extend any time period) for the giving of a Member’s notice as described above. For purposes of Bye-laws 26.1(b) and 26.2, “public announcement” shall mean disclosure in a press release reported by the Dow Jones News Service, the Associated Press, PR Newswire, Businesswire, Bloomberg or any comparable news service in the United States or in a document publicly filed by the Company with the Securities and Exchange Commission pursuant to Section 13, 14 or 15(d)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74"/>
          </w:cols>
          <w:pgMar w:left="346" w:top="1440" w:right="379" w:bottom="1440" w:gutter="0" w:footer="0" w:header="0"/>
        </w:sectPr>
      </w:pPr>
    </w:p>
    <w:bookmarkStart w:id="194" w:name="page195"/>
    <w:bookmarkEnd w:id="194"/>
    <w:p>
      <w:pPr>
        <w:spacing w:after="0" w:line="36" w:lineRule="exact"/>
        <w:rPr>
          <w:sz w:val="20"/>
          <w:szCs w:val="20"/>
          <w:color w:val="auto"/>
        </w:rPr>
      </w:pPr>
    </w:p>
    <w:p>
      <w:pPr>
        <w:ind w:left="404" w:hanging="404"/>
        <w:spacing w:after="0" w:line="271" w:lineRule="auto"/>
        <w:tabs>
          <w:tab w:leader="none" w:pos="369"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Member’s notice to the Secretary shall set forth (A) as to each person whom the Member proposes to nominate for election or reelection as a Director all information relating to such person that is required to be disclosed in solicitations of proxies for election of directors, or is otherwise required, in each case pursuant to Section 14(a) of the Securities Exchange Act of 1934 (including such person’s written consent to being named in the proxy statement as a nominee and to serving as a Director if elected), (B) as to any other business that the Member proposes to bring before the general meeting, a brief description of the business desired to be brought before the general meeting, the text of the proposal or business, the reasons for conducting such business at the general meeting and any material interest in such business of such Member and the beneficial owner, if any, on whose behalf the proposal is made, and (C) as to the Member giving the notice and the beneficial owner, if any, on whose behalf the proposal is made:</w:t>
      </w:r>
    </w:p>
    <w:p>
      <w:pPr>
        <w:spacing w:after="0" w:line="232" w:lineRule="exact"/>
        <w:rPr>
          <w:rFonts w:ascii="Arial" w:cs="Arial" w:eastAsia="Arial" w:hAnsi="Arial"/>
          <w:sz w:val="17"/>
          <w:szCs w:val="17"/>
          <w:color w:val="auto"/>
        </w:rPr>
      </w:pPr>
    </w:p>
    <w:p>
      <w:pPr>
        <w:ind w:left="764" w:hanging="359"/>
        <w:spacing w:after="0"/>
        <w:tabs>
          <w:tab w:leader="none" w:pos="7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name and address of such Member (as they appear in the Register of Members) and any such beneficial owner;</w:t>
      </w:r>
    </w:p>
    <w:p>
      <w:pPr>
        <w:spacing w:after="0" w:line="279" w:lineRule="exact"/>
        <w:rPr>
          <w:rFonts w:ascii="Arial" w:cs="Arial" w:eastAsia="Arial" w:hAnsi="Arial"/>
          <w:sz w:val="18"/>
          <w:szCs w:val="18"/>
          <w:color w:val="auto"/>
        </w:rPr>
      </w:pPr>
    </w:p>
    <w:p>
      <w:pPr>
        <w:ind w:left="804" w:right="40" w:hanging="399"/>
        <w:spacing w:after="0" w:line="277" w:lineRule="auto"/>
        <w:tabs>
          <w:tab w:leader="none" w:pos="799"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Company which are held of record or are beneficially owned by such Member and by any such beneficial owner;</w:t>
      </w:r>
    </w:p>
    <w:p>
      <w:pPr>
        <w:spacing w:after="0" w:line="224" w:lineRule="exact"/>
        <w:rPr>
          <w:rFonts w:ascii="Arial" w:cs="Arial" w:eastAsia="Arial" w:hAnsi="Arial"/>
          <w:sz w:val="18"/>
          <w:szCs w:val="18"/>
          <w:color w:val="auto"/>
        </w:rPr>
      </w:pPr>
    </w:p>
    <w:p>
      <w:pPr>
        <w:jc w:val="both"/>
        <w:ind w:left="804" w:hanging="399"/>
        <w:spacing w:after="0" w:line="263" w:lineRule="auto"/>
        <w:tabs>
          <w:tab w:leader="none" w:pos="849"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or among such Member and any such beneficial owner, any of their respective affiliates or associates, and any other person or persons (including their names) in connection with the proposal of such nomination or other business;</w:t>
      </w:r>
    </w:p>
    <w:p>
      <w:pPr>
        <w:spacing w:after="0" w:line="237" w:lineRule="exact"/>
        <w:rPr>
          <w:rFonts w:ascii="Arial" w:cs="Arial" w:eastAsia="Arial" w:hAnsi="Arial"/>
          <w:sz w:val="18"/>
          <w:szCs w:val="18"/>
          <w:color w:val="auto"/>
        </w:rPr>
      </w:pPr>
    </w:p>
    <w:p>
      <w:pPr>
        <w:ind w:left="804" w:right="20" w:hanging="399"/>
        <w:spacing w:after="0" w:line="273" w:lineRule="auto"/>
        <w:tabs>
          <w:tab w:leader="none" w:pos="839" w:val="left"/>
        </w:tabs>
        <w:numPr>
          <w:ilvl w:val="1"/>
          <w:numId w:val="89"/>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regardless of the form of settlement, any derivative, long or short positions, profit interests, forwards, futures, swaps, options, warrants, convertible securities, share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Member or any such beneficial owner or any such nominee with respect to the Company’s securities (a “</w:t>
      </w:r>
      <w:r>
        <w:rPr>
          <w:rFonts w:ascii="Arial" w:cs="Arial" w:eastAsia="Arial" w:hAnsi="Arial"/>
          <w:sz w:val="17"/>
          <w:szCs w:val="17"/>
          <w:u w:val="single" w:color="auto"/>
          <w:color w:val="auto"/>
        </w:rPr>
        <w:t>Derivative Instrument</w:t>
      </w:r>
      <w:r>
        <w:rPr>
          <w:rFonts w:ascii="Arial" w:cs="Arial" w:eastAsia="Arial" w:hAnsi="Arial"/>
          <w:sz w:val="17"/>
          <w:szCs w:val="17"/>
          <w:color w:val="auto"/>
        </w:rPr>
        <w:t>”);</w:t>
      </w:r>
    </w:p>
    <w:p>
      <w:pPr>
        <w:spacing w:after="0" w:line="231" w:lineRule="exact"/>
        <w:rPr>
          <w:rFonts w:ascii="Arial" w:cs="Arial" w:eastAsia="Arial" w:hAnsi="Arial"/>
          <w:sz w:val="17"/>
          <w:szCs w:val="17"/>
          <w:color w:val="auto"/>
        </w:rPr>
      </w:pPr>
    </w:p>
    <w:p>
      <w:pPr>
        <w:ind w:left="804" w:right="80" w:hanging="399"/>
        <w:spacing w:after="0" w:line="301" w:lineRule="auto"/>
        <w:tabs>
          <w:tab w:leader="none" w:pos="789" w:val="left"/>
        </w:tabs>
        <w:numPr>
          <w:ilvl w:val="1"/>
          <w:numId w:val="89"/>
        </w:numPr>
        <w:rPr>
          <w:rFonts w:ascii="Arial" w:cs="Arial" w:eastAsia="Arial" w:hAnsi="Arial"/>
          <w:sz w:val="16"/>
          <w:szCs w:val="16"/>
          <w:color w:val="auto"/>
        </w:rPr>
      </w:pPr>
      <w:r>
        <w:rPr>
          <w:rFonts w:ascii="Arial" w:cs="Arial" w:eastAsia="Arial" w:hAnsi="Arial"/>
          <w:sz w:val="16"/>
          <w:szCs w:val="16"/>
          <w:color w:val="auto"/>
        </w:rPr>
        <w:t>to the extent not disclosed pursuant to clause (iv) above, the principal amount of any indebtedness of the Company or any of its subsidiaries beneficially owned by such Member or by any such beneficial owner, together with the title of the instrument under which such indebtedness was issued and a description of any Derivative Instrument entered into by or on behalf of such Member or such beneficial owner relating to the value or payment of any indebtedness of the Company or any such Subsidiary;</w:t>
      </w:r>
    </w:p>
    <w:p>
      <w:pPr>
        <w:spacing w:after="0" w:line="211" w:lineRule="exact"/>
        <w:rPr>
          <w:rFonts w:ascii="Arial" w:cs="Arial" w:eastAsia="Arial" w:hAnsi="Arial"/>
          <w:sz w:val="16"/>
          <w:szCs w:val="16"/>
          <w:color w:val="auto"/>
        </w:rPr>
      </w:pPr>
    </w:p>
    <w:p>
      <w:pPr>
        <w:ind w:left="804" w:right="20" w:hanging="399"/>
        <w:spacing w:after="0" w:line="342" w:lineRule="auto"/>
        <w:tabs>
          <w:tab w:leader="none" w:pos="839" w:val="left"/>
        </w:tabs>
        <w:numPr>
          <w:ilvl w:val="1"/>
          <w:numId w:val="89"/>
        </w:numPr>
        <w:rPr>
          <w:rFonts w:ascii="Arial" w:cs="Arial" w:eastAsia="Arial" w:hAnsi="Arial"/>
          <w:sz w:val="16"/>
          <w:szCs w:val="16"/>
          <w:color w:val="auto"/>
        </w:rPr>
      </w:pPr>
      <w:r>
        <w:rPr>
          <w:rFonts w:ascii="Arial" w:cs="Arial" w:eastAsia="Arial" w:hAnsi="Arial"/>
          <w:sz w:val="16"/>
          <w:szCs w:val="16"/>
          <w:color w:val="auto"/>
        </w:rPr>
        <w:t>a representation that the Member is a holder of record of shares of the Company entitled to vote at such general meeting and intends to appear in person or by proxy at the general meeting to bring such nomination or other business before the general meeting; and</w:t>
      </w:r>
    </w:p>
    <w:p>
      <w:pPr>
        <w:spacing w:after="0" w:line="177" w:lineRule="exact"/>
        <w:rPr>
          <w:rFonts w:ascii="Arial" w:cs="Arial" w:eastAsia="Arial" w:hAnsi="Arial"/>
          <w:sz w:val="16"/>
          <w:szCs w:val="16"/>
          <w:color w:val="auto"/>
        </w:rPr>
      </w:pPr>
    </w:p>
    <w:p>
      <w:pPr>
        <w:ind w:left="884" w:hanging="479"/>
        <w:spacing w:after="0" w:line="259" w:lineRule="auto"/>
        <w:tabs>
          <w:tab w:leader="none" w:pos="8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representation as to whether such Member or any such beneficial owner intends or is part of a group that intends to (i) deliver a proxy statement and/or form of proxy to holders of at least the percentage of the voting power of the Company’s outstanding shares required to approve or adopt the proposal or to elect each such nominee and/or (ii) otherwise to solicit proxies from Members in support of such proposal or nomination;</w:t>
      </w:r>
    </w:p>
    <w:p>
      <w:pPr>
        <w:spacing w:after="0" w:line="240" w:lineRule="exact"/>
        <w:rPr>
          <w:rFonts w:ascii="Arial" w:cs="Arial" w:eastAsia="Arial" w:hAnsi="Arial"/>
          <w:sz w:val="18"/>
          <w:szCs w:val="18"/>
          <w:color w:val="auto"/>
        </w:rPr>
      </w:pPr>
    </w:p>
    <w:p>
      <w:pPr>
        <w:ind w:left="404" w:right="80" w:hanging="404"/>
        <w:spacing w:after="0" w:line="279" w:lineRule="auto"/>
        <w:tabs>
          <w:tab w:leader="none" w:pos="389"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requested by the Company, the information required under clauses (ii), (iii), (iv) and (v) of Bye-law 26.1(c) shall be supplemented by such Member and any such beneficial owner not later than 10 days after the record date for notice of the general meeting to disclose such information as of such record date, and, if requested by the Company at the instruction of the Board, such Member and any such beneficial owner shall provide any other information as the Company may request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70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64"/>
          </w:cols>
          <w:pgMar w:left="1156" w:top="1440" w:right="379" w:bottom="1440" w:gutter="0" w:footer="0" w:header="0"/>
        </w:sectPr>
      </w:pPr>
    </w:p>
    <w:bookmarkStart w:id="195" w:name="page196"/>
    <w:bookmarkEnd w:id="195"/>
    <w:p>
      <w:pPr>
        <w:spacing w:after="0" w:line="36" w:lineRule="exact"/>
        <w:rPr>
          <w:sz w:val="20"/>
          <w:szCs w:val="20"/>
          <w:color w:val="auto"/>
        </w:rPr>
      </w:pPr>
    </w:p>
    <w:p>
      <w:pPr>
        <w:ind w:left="800" w:right="60" w:hanging="404"/>
        <w:spacing w:after="0" w:line="301" w:lineRule="auto"/>
        <w:tabs>
          <w:tab w:leader="none" w:pos="7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Notwithstanding anything to the contrary, the notice requirements set forth herein with respect to the proposal of any business pursuant to this Bye-law 26.1; other than a nomination; shall be deemed satisfied by a Member if such Member has submitted a proposal to the Company in compliance with Rule 14a-8 promulgated under the Securities Exchange Act of 1934, and such Member’s proposal has been included in a proxy statement that has been prepared by the Company to solicit proxies for the general meeting.</w:t>
      </w:r>
    </w:p>
    <w:p>
      <w:pPr>
        <w:spacing w:after="0" w:line="20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color w:val="auto"/>
        </w:rPr>
        <w:t>Special General Meetings</w:t>
      </w:r>
    </w:p>
    <w:p>
      <w:pPr>
        <w:spacing w:after="0" w:line="283" w:lineRule="exact"/>
        <w:rPr>
          <w:sz w:val="20"/>
          <w:szCs w:val="20"/>
          <w:color w:val="auto"/>
        </w:rPr>
      </w:pPr>
    </w:p>
    <w:p>
      <w:pPr>
        <w:ind w:left="800" w:right="200" w:hanging="404"/>
        <w:spacing w:after="0" w:line="277" w:lineRule="auto"/>
        <w:tabs>
          <w:tab w:leader="none" w:pos="7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general meeting as shall have been brought before the general meeting in accordance with the Company’s notice of meeting pursuant to Bye-laws 24 and 25.</w:t>
      </w:r>
    </w:p>
    <w:p>
      <w:pPr>
        <w:spacing w:after="0" w:line="224" w:lineRule="exact"/>
        <w:rPr>
          <w:rFonts w:ascii="Arial" w:cs="Arial" w:eastAsia="Arial" w:hAnsi="Arial"/>
          <w:sz w:val="18"/>
          <w:szCs w:val="18"/>
          <w:color w:val="auto"/>
        </w:rPr>
      </w:pPr>
    </w:p>
    <w:p>
      <w:pPr>
        <w:ind w:left="800" w:right="40" w:hanging="404"/>
        <w:spacing w:after="0" w:line="279" w:lineRule="auto"/>
        <w:tabs>
          <w:tab w:leader="none" w:pos="785"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Nominations of persons for election to the Board at a special general meeting may be made (i) by or at the direction of the Board or (ii) provided that the Board has determined that Members may nominate persons for election to the Board at such general meeting, by any Member of the Company who is a Member of record at the time of giving of notice provided for in Bye-law 26.2(c), who shall be entitled to vote at the general meeting and who complies with the notice procedures set forth in this Bye-law 26.</w:t>
      </w:r>
    </w:p>
    <w:p>
      <w:pPr>
        <w:spacing w:after="0" w:line="225" w:lineRule="exact"/>
        <w:rPr>
          <w:rFonts w:ascii="Arial" w:cs="Arial" w:eastAsia="Arial" w:hAnsi="Arial"/>
          <w:sz w:val="17"/>
          <w:szCs w:val="17"/>
          <w:color w:val="auto"/>
        </w:rPr>
      </w:pPr>
    </w:p>
    <w:p>
      <w:pPr>
        <w:ind w:left="800" w:right="80" w:hanging="404"/>
        <w:spacing w:after="0" w:line="257" w:lineRule="auto"/>
        <w:tabs>
          <w:tab w:leader="none" w:pos="7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nominations to be properly brought before a special general meeting by a Member pursuant to Bye-law 26.2(b)(ii), the Member must have given timely notice thereof in writing to the Secretary. To be timely, a Member’s notice shall be delivered to or mailed and received at the registered office of the Company (A) not earlier than 120 days prior to the date of the special general meeting nor (B) later than the later of 90 days prior to the date of the special general meeting or the 10th day following the day on which public announcement of the date of the special general meeting was first made.</w:t>
      </w:r>
    </w:p>
    <w:p>
      <w:pPr>
        <w:spacing w:after="0" w:line="241" w:lineRule="exact"/>
        <w:rPr>
          <w:rFonts w:ascii="Arial" w:cs="Arial" w:eastAsia="Arial" w:hAnsi="Arial"/>
          <w:sz w:val="18"/>
          <w:szCs w:val="18"/>
          <w:color w:val="auto"/>
        </w:rPr>
      </w:pPr>
    </w:p>
    <w:p>
      <w:pPr>
        <w:ind w:left="800" w:right="20" w:hanging="404"/>
        <w:spacing w:after="0" w:line="277" w:lineRule="auto"/>
        <w:tabs>
          <w:tab w:leader="none" w:pos="7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Member’s notice to the Secretary, including any notice of requisition pursuant to Bye-law 24, shall comply with the notice requirements of Bye-law 26.1(c) and (d).</w:t>
      </w:r>
    </w:p>
    <w:p>
      <w:pPr>
        <w:spacing w:after="0" w:line="22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color w:val="auto"/>
        </w:rPr>
        <w:t>General</w:t>
      </w:r>
    </w:p>
    <w:p>
      <w:pPr>
        <w:spacing w:after="0" w:line="283" w:lineRule="exact"/>
        <w:rPr>
          <w:sz w:val="20"/>
          <w:szCs w:val="20"/>
          <w:color w:val="auto"/>
        </w:rPr>
      </w:pPr>
    </w:p>
    <w:p>
      <w:pPr>
        <w:ind w:left="800" w:right="280" w:hanging="404"/>
        <w:spacing w:after="0" w:line="277" w:lineRule="auto"/>
        <w:tabs>
          <w:tab w:leader="none" w:pos="7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request of the Board, any person nominated by the Board for election as a Director shall furnish to the Secretary the information that is required to be set forth in a Member’s notice of nomination pursuant to Bye-law 26.1(c).</w:t>
      </w:r>
    </w:p>
    <w:p>
      <w:pPr>
        <w:spacing w:after="0" w:line="224" w:lineRule="exact"/>
        <w:rPr>
          <w:rFonts w:ascii="Arial" w:cs="Arial" w:eastAsia="Arial" w:hAnsi="Arial"/>
          <w:sz w:val="18"/>
          <w:szCs w:val="18"/>
          <w:color w:val="auto"/>
        </w:rPr>
      </w:pPr>
    </w:p>
    <w:p>
      <w:pPr>
        <w:ind w:left="800" w:right="100" w:hanging="404"/>
        <w:spacing w:after="0" w:line="277" w:lineRule="auto"/>
        <w:tabs>
          <w:tab w:leader="none" w:pos="7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person shall be eligible to be nominated by a Member to serve as a Director of the Company unless nominated in accordance with the procedures set forth in this Bye-law 26.</w:t>
      </w:r>
    </w:p>
    <w:p>
      <w:pPr>
        <w:spacing w:after="0" w:line="224" w:lineRule="exact"/>
        <w:rPr>
          <w:rFonts w:ascii="Arial" w:cs="Arial" w:eastAsia="Arial" w:hAnsi="Arial"/>
          <w:sz w:val="18"/>
          <w:szCs w:val="18"/>
          <w:color w:val="auto"/>
        </w:rPr>
      </w:pPr>
    </w:p>
    <w:p>
      <w:pPr>
        <w:ind w:left="800" w:right="20" w:hanging="404"/>
        <w:spacing w:after="0" w:line="259" w:lineRule="auto"/>
        <w:tabs>
          <w:tab w:leader="none" w:pos="7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chairman of the general meeting shall, if the facts warrant, determine and declare to the general meeting that a nomination was not made in accordance with the procedures prescribed by these Bye-laws or that business was not properly brought before the general meeting, and if he should so determine and declare, the defective nomination shall be disregarded or such business shall not be transacted, as the case may be.</w:t>
      </w:r>
    </w:p>
    <w:p>
      <w:pPr>
        <w:spacing w:after="0" w:line="240" w:lineRule="exact"/>
        <w:rPr>
          <w:rFonts w:ascii="Arial" w:cs="Arial" w:eastAsia="Arial" w:hAnsi="Arial"/>
          <w:sz w:val="18"/>
          <w:szCs w:val="18"/>
          <w:color w:val="auto"/>
        </w:rPr>
      </w:pPr>
    </w:p>
    <w:p>
      <w:pPr>
        <w:ind w:left="800" w:hanging="404"/>
        <w:spacing w:after="0" w:line="271" w:lineRule="auto"/>
        <w:tabs>
          <w:tab w:leader="none" w:pos="785" w:val="left"/>
        </w:tabs>
        <w:numPr>
          <w:ilvl w:val="0"/>
          <w:numId w:val="92"/>
        </w:numPr>
        <w:rPr>
          <w:rFonts w:ascii="Arial" w:cs="Arial" w:eastAsia="Arial" w:hAnsi="Arial"/>
          <w:sz w:val="17"/>
          <w:szCs w:val="17"/>
          <w:color w:val="auto"/>
        </w:rPr>
      </w:pPr>
      <w:r>
        <w:rPr>
          <w:rFonts w:ascii="Arial" w:cs="Arial" w:eastAsia="Arial" w:hAnsi="Arial"/>
          <w:sz w:val="17"/>
          <w:szCs w:val="17"/>
          <w:color w:val="auto"/>
        </w:rPr>
        <w:t>Notwithstanding the foregoing provisions of this Bye-law 26, unless otherwise required by the Act, if the Member (or a qualified representative of the Member) does not appear at the annual or special general meeting to present a nomination or other proposed business, such nomination shall be disregarded or such proposed business shall not be transacted, as the case may be, notwithstanding that proxies in respect of such vote may have been received by the Company. For purposes of this Bye-law 26.3, to be considered a qualified representative of the Member, a person must be a duly authorised officer, manager or partner of such Member or must be authorised by a writing executed by such Member or an electronic transmission delivered by such Member to act for such Member as proxy at the general meeting and such person must produce such writing or electronic transmission, or a reliable reproduction of the writing or electronic transmission, at the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760" w:top="1440" w:right="379" w:bottom="1440" w:gutter="0" w:footer="0" w:header="0"/>
        </w:sectPr>
      </w:pPr>
    </w:p>
    <w:bookmarkStart w:id="196" w:name="page197"/>
    <w:bookmarkEnd w:id="196"/>
    <w:p>
      <w:pPr>
        <w:spacing w:after="0" w:line="32" w:lineRule="exact"/>
        <w:rPr>
          <w:sz w:val="20"/>
          <w:szCs w:val="20"/>
          <w:color w:val="auto"/>
        </w:rPr>
      </w:pPr>
    </w:p>
    <w:p>
      <w:pPr>
        <w:ind w:left="900" w:right="40" w:hanging="485"/>
        <w:spacing w:after="0" w:line="255" w:lineRule="auto"/>
        <w:tabs>
          <w:tab w:leader="none" w:pos="88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8"/>
          <w:szCs w:val="18"/>
          <w:color w:val="auto"/>
        </w:rPr>
        <w:t xml:space="preserve">Without limiting the foregoing provisions of this Bye-law 26, a Member shall also comply with all applicable requirements of the Securities Exchange Act of 1934, and the rules and regulations thereunder with respect to the matters set forth in this Bye-law 26;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references in these Bye-laws to the Securities Exchange Act of 1934, or the rules and regulations promulgated thereunder are not intended to and shall not limit any requirements applicable to nominations or proposals as to any other business to be considered pursuant to this Bye-law, and compliance with Bye-law 26.1 or 26.2 shall be the exclusive means for a Member to make nominations or submit other business (other than as provided in Bye-law 26.1(e)).</w:t>
      </w:r>
    </w:p>
    <w:p>
      <w:pPr>
        <w:spacing w:after="0" w:line="246" w:lineRule="exact"/>
        <w:rPr>
          <w:sz w:val="20"/>
          <w:szCs w:val="20"/>
          <w:color w:val="auto"/>
        </w:rPr>
      </w:pPr>
    </w:p>
    <w:p>
      <w:pPr>
        <w:ind w:left="420" w:hanging="414"/>
        <w:spacing w:after="0"/>
        <w:tabs>
          <w:tab w:leader="none" w:pos="4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Postponement or Cancellation of General Meeting</w:t>
      </w:r>
    </w:p>
    <w:p>
      <w:pPr>
        <w:spacing w:after="0" w:line="2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Secretary may, and on instruction of the Chairman or president the Secretary shall, postpone or cancel any general meeting called in accordance with these Bye-laws (other than a meeting requisitioned under these Bye-laws);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of postponement or cancellation is given to the Members before the time for such meeting. Fresh notice of the date, time and place for the postponed or cancelled meeting shall be given to each Member in accordance with these Bye-laws.</w:t>
      </w:r>
    </w:p>
    <w:p>
      <w:pPr>
        <w:spacing w:after="0" w:line="237" w:lineRule="exact"/>
        <w:rPr>
          <w:sz w:val="20"/>
          <w:szCs w:val="20"/>
          <w:color w:val="auto"/>
        </w:rPr>
      </w:pPr>
    </w:p>
    <w:p>
      <w:pPr>
        <w:ind w:left="420" w:hanging="414"/>
        <w:spacing w:after="0"/>
        <w:tabs>
          <w:tab w:leader="none" w:pos="4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Participation and Security in Meetings</w:t>
      </w:r>
    </w:p>
    <w:p>
      <w:pPr>
        <w:spacing w:after="0" w:line="279" w:lineRule="exact"/>
        <w:rPr>
          <w:rFonts w:ascii="Arial" w:cs="Arial" w:eastAsia="Arial" w:hAnsi="Arial"/>
          <w:sz w:val="18"/>
          <w:szCs w:val="18"/>
          <w:b w:val="1"/>
          <w:bCs w:val="1"/>
          <w:color w:val="auto"/>
        </w:rPr>
      </w:pPr>
    </w:p>
    <w:p>
      <w:pPr>
        <w:jc w:val="both"/>
        <w:ind w:left="900" w:right="120" w:hanging="486"/>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28.1 </w:t>
      </w:r>
      <w:r>
        <w:rPr>
          <w:rFonts w:ascii="Arial" w:cs="Arial" w:eastAsia="Arial" w:hAnsi="Arial"/>
          <w:sz w:val="17"/>
          <w:szCs w:val="17"/>
          <w:color w:val="auto"/>
        </w:rPr>
        <w:t>Members may participate in any general meeting by such telephonic, electronic or other communication facilities or means as permit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persons participating in the meeting to communicate with each other simultaneously and instantaneously, and participation in such a meeting shall constitute presence in person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Member may participate in any general meeting during which time that Member (or, if any Member is an entity, its representative) is physically present in the United States.</w:t>
      </w:r>
    </w:p>
    <w:p>
      <w:pPr>
        <w:spacing w:after="0" w:line="218" w:lineRule="exact"/>
        <w:rPr>
          <w:rFonts w:ascii="Arial" w:cs="Arial" w:eastAsia="Arial" w:hAnsi="Arial"/>
          <w:sz w:val="18"/>
          <w:szCs w:val="18"/>
          <w:b w:val="1"/>
          <w:bCs w:val="1"/>
          <w:color w:val="auto"/>
        </w:rPr>
      </w:pPr>
    </w:p>
    <w:p>
      <w:pPr>
        <w:ind w:left="900" w:right="40" w:hanging="486"/>
        <w:spacing w:after="0" w:line="277"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28.2 </w:t>
      </w:r>
      <w:r>
        <w:rPr>
          <w:rFonts w:ascii="Arial" w:cs="Arial" w:eastAsia="Arial" w:hAnsi="Arial"/>
          <w:sz w:val="17"/>
          <w:szCs w:val="17"/>
          <w:color w:val="auto"/>
        </w:rPr>
        <w:t>The Board may, and at any general meeting, the Chairman of such meeting may, make any arrangement and impose any requirement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it or he considers appropriate to ensure the security of the general meeting including, without limitation, requirements for evidence of identity to be produced by those attending the meeting, the searching of their personal property and the restriction of items that may be taken into the meeting place. The Board and, at any general meeting, the chairman of such meeting are entitled to refuse entry to a person who refuses to comply with any such arrangements, requirements or restrictions.</w:t>
      </w:r>
    </w:p>
    <w:p>
      <w:pPr>
        <w:spacing w:after="0" w:line="221" w:lineRule="exact"/>
        <w:rPr>
          <w:rFonts w:ascii="Arial" w:cs="Arial" w:eastAsia="Arial" w:hAnsi="Arial"/>
          <w:sz w:val="18"/>
          <w:szCs w:val="18"/>
          <w:b w:val="1"/>
          <w:bCs w:val="1"/>
          <w:color w:val="auto"/>
        </w:rPr>
      </w:pPr>
    </w:p>
    <w:p>
      <w:pPr>
        <w:ind w:left="420" w:hanging="414"/>
        <w:spacing w:after="0"/>
        <w:tabs>
          <w:tab w:leader="none" w:pos="4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Quorum at General Meetings</w:t>
      </w:r>
    </w:p>
    <w:p>
      <w:pPr>
        <w:spacing w:after="0" w:line="279" w:lineRule="exact"/>
        <w:rPr>
          <w:rFonts w:ascii="Arial" w:cs="Arial" w:eastAsia="Arial" w:hAnsi="Arial"/>
          <w:sz w:val="18"/>
          <w:szCs w:val="18"/>
          <w:b w:val="1"/>
          <w:bCs w:val="1"/>
          <w:color w:val="auto"/>
        </w:rPr>
      </w:pPr>
    </w:p>
    <w:p>
      <w:pPr>
        <w:ind w:left="900" w:right="100" w:hanging="48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29.1 </w:t>
      </w:r>
      <w:r>
        <w:rPr>
          <w:rFonts w:ascii="Arial" w:cs="Arial" w:eastAsia="Arial" w:hAnsi="Arial"/>
          <w:sz w:val="18"/>
          <w:szCs w:val="18"/>
          <w:color w:val="auto"/>
        </w:rPr>
        <w:t>At any general meeting, two or more persons present in person throughout the meeting and representing in person or by proxy voting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having in excess of 50% of the total voting rights of all issued and outstanding voting shares in the Company throughout the meeting shall form a quorum for the transaction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Member may participate in any general meeting during which time that Member (or, if any Member is an entity, its representative) is physically present in the United States;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shall be only one Member, one Member present in person or by proxy shall form a quorum for the transaction of business at any general meeting held during such time.</w:t>
      </w:r>
    </w:p>
    <w:p>
      <w:pPr>
        <w:spacing w:after="0" w:line="241" w:lineRule="exact"/>
        <w:rPr>
          <w:rFonts w:ascii="Arial" w:cs="Arial" w:eastAsia="Arial" w:hAnsi="Arial"/>
          <w:sz w:val="18"/>
          <w:szCs w:val="18"/>
          <w:b w:val="1"/>
          <w:bCs w:val="1"/>
          <w:color w:val="auto"/>
        </w:rPr>
      </w:pPr>
    </w:p>
    <w:p>
      <w:pPr>
        <w:ind w:left="900" w:hanging="48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29.2 </w:t>
      </w:r>
      <w:r>
        <w:rPr>
          <w:rFonts w:ascii="Arial" w:cs="Arial" w:eastAsia="Arial" w:hAnsi="Arial"/>
          <w:sz w:val="18"/>
          <w:szCs w:val="18"/>
          <w:color w:val="auto"/>
        </w:rPr>
        <w:t>If within half an hour from the time appointed for the meeting a quorum is not present, then, in the case of a meeting convened on a</w:t>
      </w:r>
      <w:r>
        <w:rPr>
          <w:rFonts w:ascii="Arial" w:cs="Arial" w:eastAsia="Arial" w:hAnsi="Arial"/>
          <w:sz w:val="18"/>
          <w:szCs w:val="18"/>
          <w:b w:val="1"/>
          <w:bCs w:val="1"/>
          <w:color w:val="auto"/>
        </w:rPr>
        <w:t xml:space="preserve"> </w:t>
      </w:r>
      <w:r>
        <w:rPr>
          <w:rFonts w:ascii="Arial" w:cs="Arial" w:eastAsia="Arial" w:hAnsi="Arial"/>
          <w:sz w:val="18"/>
          <w:szCs w:val="18"/>
          <w:color w:val="auto"/>
        </w:rPr>
        <w:t>requisition, the meeting shall be deemed cancelled and, in any other case, the meeting shall stand adjourned to the same day one week later, at the same time and place (which shall not be in the United States) or to such other day, time or place (which shall not be in the United States) as the Secretary may determine. Unless the meeting is adjourned to a specific date, time and place (which shall not be in the United States) announced at the meeting being adjourned, fresh notice of the resumption of the meeting shall be given to each Member entitled to attend and vote thereat in accordance with these Bye-laws.</w:t>
      </w:r>
    </w:p>
    <w:p>
      <w:pPr>
        <w:spacing w:after="0" w:line="241" w:lineRule="exact"/>
        <w:rPr>
          <w:rFonts w:ascii="Arial" w:cs="Arial" w:eastAsia="Arial" w:hAnsi="Arial"/>
          <w:sz w:val="18"/>
          <w:szCs w:val="18"/>
          <w:b w:val="1"/>
          <w:bCs w:val="1"/>
          <w:color w:val="auto"/>
        </w:rPr>
      </w:pPr>
    </w:p>
    <w:p>
      <w:pPr>
        <w:ind w:left="420" w:hanging="414"/>
        <w:spacing w:after="0"/>
        <w:tabs>
          <w:tab w:leader="none" w:pos="4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Chairman to Preside at General Meetings</w:t>
      </w:r>
    </w:p>
    <w:p>
      <w:pPr>
        <w:spacing w:after="0" w:line="2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Unless otherwise agreed by a majority of those attending and entitled to vote thereat or approved by the Board in advance of the meeting, the Chairman if present, and if not the Chief Executive Officer of the Company if present, shall act as chairman of the meeting at all general meetings. In their absence, a chairman of the meeting may be appointed by the Board or, if not so appointed by the Board, shall be appointed or elected by those present at the meeting and entitled to vote.</w:t>
      </w:r>
    </w:p>
    <w:p>
      <w:pPr>
        <w:sectPr>
          <w:pgSz w:w="11900" w:h="16838" w:orient="portrait"/>
          <w:cols w:equalWidth="0" w:num="1">
            <w:col w:w="11180"/>
          </w:cols>
          <w:pgMar w:left="34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80"/>
          </w:cols>
          <w:pgMar w:left="340" w:top="1440" w:right="379" w:bottom="1440" w:gutter="0" w:footer="0" w:header="0"/>
          <w:type w:val="continuous"/>
        </w:sectPr>
      </w:pPr>
    </w:p>
    <w:bookmarkStart w:id="197" w:name="page198"/>
    <w:bookmarkEnd w:id="197"/>
    <w:p>
      <w:pPr>
        <w:spacing w:after="0" w:line="32" w:lineRule="exact"/>
        <w:rPr>
          <w:sz w:val="20"/>
          <w:szCs w:val="20"/>
          <w:color w:val="auto"/>
        </w:rPr>
      </w:pPr>
    </w:p>
    <w:p>
      <w:pPr>
        <w:ind w:left="394" w:hanging="394"/>
        <w:spacing w:after="0"/>
        <w:tabs>
          <w:tab w:leader="none" w:pos="39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Voting on Resolutions</w:t>
      </w:r>
    </w:p>
    <w:p>
      <w:pPr>
        <w:spacing w:after="0" w:line="279" w:lineRule="exact"/>
        <w:rPr>
          <w:rFonts w:ascii="Arial" w:cs="Arial" w:eastAsia="Arial" w:hAnsi="Arial"/>
          <w:sz w:val="18"/>
          <w:szCs w:val="18"/>
          <w:b w:val="1"/>
          <w:bCs w:val="1"/>
          <w:color w:val="auto"/>
        </w:rPr>
      </w:pPr>
    </w:p>
    <w:p>
      <w:pPr>
        <w:ind w:left="894"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Subject to the Act and these Bye-laws, any question proposed for the consideration of the Members at any general meeting shall be decided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affirmative votes of a majority of the votes cast in accordance with these Bye-laws and in the case of an equality of votes the resolution shall fail.</w:t>
      </w:r>
    </w:p>
    <w:p>
      <w:pPr>
        <w:spacing w:after="0" w:line="229" w:lineRule="exact"/>
        <w:rPr>
          <w:rFonts w:ascii="Arial" w:cs="Arial" w:eastAsia="Arial" w:hAnsi="Arial"/>
          <w:sz w:val="18"/>
          <w:szCs w:val="18"/>
          <w:b w:val="1"/>
          <w:bCs w:val="1"/>
          <w:color w:val="auto"/>
        </w:rPr>
      </w:pPr>
    </w:p>
    <w:p>
      <w:pPr>
        <w:ind w:left="414"/>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31.2  </w:t>
      </w:r>
      <w:r>
        <w:rPr>
          <w:rFonts w:ascii="Arial" w:cs="Arial" w:eastAsia="Arial" w:hAnsi="Arial"/>
          <w:sz w:val="17"/>
          <w:szCs w:val="17"/>
          <w:color w:val="auto"/>
        </w:rPr>
        <w:t>No Member shall be entitled to vote at a general meeting unless such Member has paid all the calls on all shares held by such Member.</w:t>
      </w:r>
    </w:p>
    <w:p>
      <w:pPr>
        <w:spacing w:after="0" w:line="290" w:lineRule="exact"/>
        <w:rPr>
          <w:rFonts w:ascii="Arial" w:cs="Arial" w:eastAsia="Arial" w:hAnsi="Arial"/>
          <w:sz w:val="18"/>
          <w:szCs w:val="18"/>
          <w:b w:val="1"/>
          <w:bCs w:val="1"/>
          <w:color w:val="auto"/>
        </w:rPr>
      </w:pPr>
    </w:p>
    <w:p>
      <w:pPr>
        <w:ind w:left="894" w:right="60" w:hanging="486"/>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31.3 </w:t>
      </w:r>
      <w:r>
        <w:rPr>
          <w:rFonts w:ascii="Arial" w:cs="Arial" w:eastAsia="Arial" w:hAnsi="Arial"/>
          <w:sz w:val="16"/>
          <w:szCs w:val="16"/>
          <w:color w:val="auto"/>
        </w:rPr>
        <w:t>At any general meeting a resolution put to the vote of the meeting shall, in the first instance, be voted upon by a show of hands and,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rights or restrictions for the time being lawfully attached to any class of shares and subject to these Bye-laws, every Member present in person and every person holding a valid proxy at such meeting shall be entitled to one vote and shall cast such vote by raising his hand.</w:t>
      </w:r>
    </w:p>
    <w:p>
      <w:pPr>
        <w:spacing w:after="0" w:line="195" w:lineRule="exact"/>
        <w:rPr>
          <w:rFonts w:ascii="Arial" w:cs="Arial" w:eastAsia="Arial" w:hAnsi="Arial"/>
          <w:sz w:val="18"/>
          <w:szCs w:val="18"/>
          <w:b w:val="1"/>
          <w:bCs w:val="1"/>
          <w:color w:val="auto"/>
        </w:rPr>
      </w:pPr>
    </w:p>
    <w:p>
      <w:pPr>
        <w:ind w:left="894" w:right="2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31.4 </w:t>
      </w:r>
      <w:r>
        <w:rPr>
          <w:rFonts w:ascii="Arial" w:cs="Arial" w:eastAsia="Arial" w:hAnsi="Arial"/>
          <w:sz w:val="18"/>
          <w:szCs w:val="18"/>
          <w:color w:val="auto"/>
        </w:rPr>
        <w:t>In the event that a Member participates in a general meeting by telephone, electronic or other communication facilities or means, the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meeting shall direct the manner in which such Member may cast his vote on a show of hands.</w:t>
      </w:r>
    </w:p>
    <w:p>
      <w:pPr>
        <w:spacing w:after="0" w:line="215" w:lineRule="exact"/>
        <w:rPr>
          <w:rFonts w:ascii="Arial" w:cs="Arial" w:eastAsia="Arial" w:hAnsi="Arial"/>
          <w:sz w:val="18"/>
          <w:szCs w:val="18"/>
          <w:b w:val="1"/>
          <w:bCs w:val="1"/>
          <w:color w:val="auto"/>
        </w:rPr>
      </w:pPr>
    </w:p>
    <w:p>
      <w:pPr>
        <w:ind w:left="894" w:right="14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31.5 </w:t>
      </w:r>
      <w:r>
        <w:rPr>
          <w:rFonts w:ascii="Arial" w:cs="Arial" w:eastAsia="Arial" w:hAnsi="Arial"/>
          <w:sz w:val="18"/>
          <w:szCs w:val="18"/>
          <w:color w:val="auto"/>
        </w:rPr>
        <w:t>At any general meeting if an amendment is proposed to any resolution under consideration and the chairman of the meeting rules on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the proposed amendment is out of order, the proceedings on the substantive resolution shall not be invalidated by any error in such ruling.</w:t>
      </w:r>
    </w:p>
    <w:p>
      <w:pPr>
        <w:spacing w:after="0" w:line="229" w:lineRule="exact"/>
        <w:rPr>
          <w:rFonts w:ascii="Arial" w:cs="Arial" w:eastAsia="Arial" w:hAnsi="Arial"/>
          <w:sz w:val="18"/>
          <w:szCs w:val="18"/>
          <w:b w:val="1"/>
          <w:bCs w:val="1"/>
          <w:color w:val="auto"/>
        </w:rPr>
      </w:pPr>
    </w:p>
    <w:p>
      <w:pPr>
        <w:ind w:left="894" w:right="8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31.6 </w:t>
      </w:r>
      <w:r>
        <w:rPr>
          <w:rFonts w:ascii="Arial" w:cs="Arial" w:eastAsia="Arial" w:hAnsi="Arial"/>
          <w:sz w:val="18"/>
          <w:szCs w:val="18"/>
          <w:color w:val="auto"/>
        </w:rPr>
        <w:t>At any general meeting a declaration by the chairman of the meeting that a question proposed for consideration has, on a show of hands, been</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or carried unanimously, or by a particular majority, or lost, and an entry to that effect in a book containing the minutes of the proceedings of the Company shall, subject to these Bye-laws, be conclusive evidence of that fact.</w:t>
      </w:r>
    </w:p>
    <w:p>
      <w:pPr>
        <w:spacing w:after="0" w:line="229" w:lineRule="exact"/>
        <w:rPr>
          <w:rFonts w:ascii="Arial" w:cs="Arial" w:eastAsia="Arial" w:hAnsi="Arial"/>
          <w:sz w:val="18"/>
          <w:szCs w:val="18"/>
          <w:b w:val="1"/>
          <w:bCs w:val="1"/>
          <w:color w:val="auto"/>
        </w:rPr>
      </w:pPr>
    </w:p>
    <w:p>
      <w:pPr>
        <w:ind w:left="414" w:hanging="414"/>
        <w:spacing w:after="0"/>
        <w:tabs>
          <w:tab w:leader="none" w:pos="41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Demand a Vote on a Poll</w:t>
      </w:r>
    </w:p>
    <w:p>
      <w:pPr>
        <w:spacing w:after="0" w:line="279" w:lineRule="exact"/>
        <w:rPr>
          <w:rFonts w:ascii="Arial" w:cs="Arial" w:eastAsia="Arial" w:hAnsi="Arial"/>
          <w:sz w:val="18"/>
          <w:szCs w:val="18"/>
          <w:b w:val="1"/>
          <w:bCs w:val="1"/>
          <w:color w:val="auto"/>
        </w:rPr>
      </w:pPr>
    </w:p>
    <w:p>
      <w:pPr>
        <w:ind w:left="41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32.1  </w:t>
      </w:r>
      <w:r>
        <w:rPr>
          <w:rFonts w:ascii="Arial" w:cs="Arial" w:eastAsia="Arial" w:hAnsi="Arial"/>
          <w:sz w:val="18"/>
          <w:szCs w:val="18"/>
          <w:color w:val="auto"/>
        </w:rPr>
        <w:t>Notwithstanding the foregoing, a poll may be demanded by any of the following persons:</w:t>
      </w:r>
    </w:p>
    <w:p>
      <w:pPr>
        <w:spacing w:after="0" w:line="283" w:lineRule="exact"/>
        <w:rPr>
          <w:rFonts w:ascii="Arial" w:cs="Arial" w:eastAsia="Arial" w:hAnsi="Arial"/>
          <w:sz w:val="18"/>
          <w:szCs w:val="18"/>
          <w:b w:val="1"/>
          <w:bCs w:val="1"/>
          <w:color w:val="auto"/>
        </w:rPr>
      </w:pPr>
    </w:p>
    <w:p>
      <w:pPr>
        <w:ind w:left="1194" w:hanging="384"/>
        <w:spacing w:after="0"/>
        <w:tabs>
          <w:tab w:leader="none" w:pos="119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chairman of such meeting; or</w:t>
      </w:r>
    </w:p>
    <w:p>
      <w:pPr>
        <w:spacing w:after="0" w:line="279" w:lineRule="exact"/>
        <w:rPr>
          <w:rFonts w:ascii="Arial" w:cs="Arial" w:eastAsia="Arial" w:hAnsi="Arial"/>
          <w:sz w:val="18"/>
          <w:szCs w:val="18"/>
          <w:color w:val="auto"/>
        </w:rPr>
      </w:pPr>
    </w:p>
    <w:p>
      <w:pPr>
        <w:ind w:left="1194" w:hanging="384"/>
        <w:spacing w:after="0"/>
        <w:tabs>
          <w:tab w:leader="none" w:pos="119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least three Members present in person or represented by proxy; or</w:t>
      </w:r>
    </w:p>
    <w:p>
      <w:pPr>
        <w:spacing w:after="0" w:line="279" w:lineRule="exact"/>
        <w:rPr>
          <w:rFonts w:ascii="Arial" w:cs="Arial" w:eastAsia="Arial" w:hAnsi="Arial"/>
          <w:sz w:val="18"/>
          <w:szCs w:val="18"/>
          <w:color w:val="auto"/>
        </w:rPr>
      </w:pPr>
    </w:p>
    <w:p>
      <w:pPr>
        <w:ind w:left="1214" w:right="180" w:hanging="404"/>
        <w:spacing w:after="0" w:line="277" w:lineRule="auto"/>
        <w:tabs>
          <w:tab w:leader="none" w:pos="1189"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Member or Members present in person or represented by proxy and holding between them not less than one-tenth of the total voting rights of all the Members having the right to vote at such meeting; or</w:t>
      </w:r>
    </w:p>
    <w:p>
      <w:pPr>
        <w:spacing w:after="0" w:line="224" w:lineRule="exact"/>
        <w:rPr>
          <w:rFonts w:ascii="Arial" w:cs="Arial" w:eastAsia="Arial" w:hAnsi="Arial"/>
          <w:sz w:val="18"/>
          <w:szCs w:val="18"/>
          <w:color w:val="auto"/>
        </w:rPr>
      </w:pPr>
    </w:p>
    <w:p>
      <w:pPr>
        <w:ind w:left="1214" w:right="40" w:hanging="404"/>
        <w:spacing w:after="0" w:line="263" w:lineRule="auto"/>
        <w:tabs>
          <w:tab w:leader="none" w:pos="1199"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Member or Members present in person or represented by proxy holding shares in the Company conferring the right to vote at such meeting, being shares on which an aggregate sum has been paid up equal to not less than one-tenth of the total amount paid up on all such shares conferring such right.</w:t>
      </w:r>
    </w:p>
    <w:p>
      <w:pPr>
        <w:spacing w:after="0" w:line="234" w:lineRule="exact"/>
        <w:rPr>
          <w:sz w:val="20"/>
          <w:szCs w:val="20"/>
          <w:color w:val="auto"/>
        </w:rPr>
      </w:pPr>
    </w:p>
    <w:p>
      <w:pPr>
        <w:ind w:left="894" w:hanging="485"/>
        <w:spacing w:after="0" w:line="254" w:lineRule="auto"/>
        <w:tabs>
          <w:tab w:leader="none" w:pos="874"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8"/>
          <w:szCs w:val="18"/>
          <w:color w:val="auto"/>
        </w:rPr>
        <w:t>Where a poll is demanded, subject to any rights or restrictions for the time being lawfully attached to any class of shares, every person present at such meeting shall have one vote for each share of which such person is the holder or for which such person holds a proxy and such vote shall be counted by ballot as described herein, or in the case of a general meeting at which one or more Members are present by telephone, electronic or other communication facilities or means, in such manner as the chairman of the meeting may direct and the result of such poll shall be deemed to be the resolution of the meeting at which the poll was demanded and shall replace any previous resolution upon the same matter which has been the subject of a show of hands. A person entitled to more than one vote need not use all his votes or cast all the votes he uses in the same way.</w:t>
      </w:r>
    </w:p>
    <w:p>
      <w:pPr>
        <w:spacing w:after="0" w:line="249" w:lineRule="exact"/>
        <w:rPr>
          <w:sz w:val="20"/>
          <w:szCs w:val="20"/>
          <w:color w:val="auto"/>
        </w:rPr>
      </w:pPr>
    </w:p>
    <w:p>
      <w:pPr>
        <w:ind w:left="894" w:right="120" w:hanging="485"/>
        <w:spacing w:after="0" w:line="311" w:lineRule="auto"/>
        <w:tabs>
          <w:tab w:leader="none" w:pos="874"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6"/>
          <w:szCs w:val="16"/>
          <w:color w:val="auto"/>
        </w:rPr>
        <w:t>A poll demanded for the purpose of electing a chairman of the meeting or on a question of adjournment shall be taken forthwith. A poll demanded on any other question shall be taken at such time and in such manner during such meeting as the chairman (or acting chairman) of the meeting may direct. Any business other than that upon which a poll has been demanded may be conducted pending the taking of the poll.</w:t>
      </w:r>
    </w:p>
    <w:p>
      <w:pPr>
        <w:sectPr>
          <w:pgSz w:w="11900" w:h="16838" w:orient="portrait"/>
          <w:cols w:equalWidth="0" w:num="1">
            <w:col w:w="11174"/>
          </w:cols>
          <w:pgMar w:left="346"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74"/>
          </w:cols>
          <w:pgMar w:left="346" w:top="1440" w:right="379" w:bottom="1440" w:gutter="0" w:footer="0" w:header="0"/>
          <w:type w:val="continuous"/>
        </w:sectPr>
      </w:pPr>
    </w:p>
    <w:bookmarkStart w:id="198" w:name="page199"/>
    <w:bookmarkEnd w:id="198"/>
    <w:p>
      <w:pPr>
        <w:spacing w:after="0" w:line="32" w:lineRule="exact"/>
        <w:rPr>
          <w:sz w:val="20"/>
          <w:szCs w:val="20"/>
          <w:color w:val="auto"/>
        </w:rPr>
      </w:pPr>
    </w:p>
    <w:p>
      <w:pPr>
        <w:ind w:left="900" w:hanging="485"/>
        <w:spacing w:after="0" w:line="271" w:lineRule="auto"/>
        <w:tabs>
          <w:tab w:leader="none" w:pos="88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7"/>
          <w:szCs w:val="17"/>
          <w:color w:val="auto"/>
        </w:rPr>
        <w:t>Where a vote is taken by poll, each person physically present and entitled to vote shall be furnished with a ballot paper on which such person shall record his vote in such manner as shall be determined at the meeting having regard to the nature of the question on which the vote is taken, and each ballot paper shall be signed or initialed or otherwise marked so as to identify the voter and the registered holder in the case of a proxy. Each person present by telephone, electronic or other communication facilities or means shall cast his vote in such manner as the chairman of the meeting shall direct. At the conclusion of the poll, the ballot papers and votes cast in accordance with such directions shall be examined and counted by one or more scrutineers appointed by the Board or, in the absence of such appointment, by a committee of not less than two Members or proxy holders appointed by the chairman of the meeting for the purpose and the result of the poll shall be declared by the chairman of the meeting.</w:t>
      </w:r>
    </w:p>
    <w:p>
      <w:pPr>
        <w:spacing w:after="0" w:line="2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Voting by Joint Holders of Shares</w:t>
      </w:r>
    </w:p>
    <w:p>
      <w:pPr>
        <w:spacing w:after="0" w:line="28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174" w:lineRule="exact"/>
        <w:rPr>
          <w:sz w:val="20"/>
          <w:szCs w:val="20"/>
          <w:color w:val="auto"/>
        </w:rPr>
      </w:pPr>
    </w:p>
    <w:p>
      <w:pPr>
        <w:ind w:left="420" w:hanging="414"/>
        <w:spacing w:after="0"/>
        <w:tabs>
          <w:tab w:leader="none" w:pos="4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Instrument of Proxy</w:t>
      </w:r>
    </w:p>
    <w:p>
      <w:pPr>
        <w:spacing w:after="0" w:line="279" w:lineRule="exact"/>
        <w:rPr>
          <w:sz w:val="20"/>
          <w:szCs w:val="20"/>
          <w:color w:val="auto"/>
        </w:rPr>
      </w:pPr>
    </w:p>
    <w:p>
      <w:pPr>
        <w:ind w:left="900" w:right="340" w:hanging="485"/>
        <w:spacing w:after="0" w:line="277" w:lineRule="auto"/>
        <w:tabs>
          <w:tab w:leader="none" w:pos="88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color w:val="auto"/>
        </w:rPr>
        <w:t>An instrument appointing a proxy shall be in writing in substantially the following form or such other form as the chairman of the meeting shall accept: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River Group Holdings, Ltd.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I/We, [insert names here], being a Member of the Company with [number] shares, HEREBY APPOINT [name] of [address] or failing him, [name] of [address] to be my/our proxy to vote for me/us at the meeting of the Members to be held on the [date] and at any adjournment thereof. [Any restrictions on voting to be inserted here.]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Signed this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Member(s)</w:t>
      </w:r>
    </w:p>
    <w:p>
      <w:pPr>
        <w:spacing w:after="0" w:line="275" w:lineRule="exact"/>
        <w:rPr>
          <w:sz w:val="20"/>
          <w:szCs w:val="20"/>
          <w:color w:val="auto"/>
        </w:rPr>
      </w:pPr>
    </w:p>
    <w:p>
      <w:pPr>
        <w:ind w:left="900" w:hanging="485"/>
        <w:spacing w:after="0" w:line="259" w:lineRule="auto"/>
        <w:tabs>
          <w:tab w:leader="none" w:pos="88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8"/>
          <w:szCs w:val="18"/>
          <w:color w:val="auto"/>
        </w:rPr>
        <w:t>The instrument appointing a proxy must be received by the Company at the registered office or at such other place or in such manner as is specified in the notice convening the meeting or in any instrument of proxy sent out by the Company in relation to the meeting at which the person named in the instrument appointing a proxy proposes to vote, and an instrument appointing a proxy which is not received in the manner so prescribed shall be invalid.</w:t>
      </w:r>
    </w:p>
    <w:p>
      <w:pPr>
        <w:spacing w:after="0" w:line="241" w:lineRule="exact"/>
        <w:rPr>
          <w:sz w:val="20"/>
          <w:szCs w:val="20"/>
          <w:color w:val="auto"/>
        </w:rPr>
      </w:pPr>
    </w:p>
    <w:p>
      <w:pPr>
        <w:ind w:left="900" w:right="360" w:hanging="485"/>
        <w:spacing w:after="0" w:line="277" w:lineRule="auto"/>
        <w:tabs>
          <w:tab w:leader="none" w:pos="88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8"/>
          <w:szCs w:val="18"/>
          <w:color w:val="auto"/>
        </w:rPr>
        <w:t>A Member who is the holder of two or more shares may appoint more than one proxy to represent him and vote on his behalf in respect of different shares.</w:t>
      </w:r>
    </w:p>
    <w:p>
      <w:pPr>
        <w:spacing w:after="0" w:line="224"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6"/>
          <w:szCs w:val="16"/>
          <w:color w:val="auto"/>
        </w:rPr>
        <w:t>Subject to Bye-law 34.5, the decision of the chairman of any general meeting as to the validity of any appointment of a proxy shall be final.</w:t>
      </w:r>
    </w:p>
    <w:p>
      <w:pPr>
        <w:spacing w:after="0" w:line="279" w:lineRule="exact"/>
        <w:rPr>
          <w:sz w:val="20"/>
          <w:szCs w:val="20"/>
          <w:color w:val="auto"/>
        </w:rPr>
      </w:pPr>
    </w:p>
    <w:p>
      <w:pPr>
        <w:ind w:left="900" w:right="20" w:hanging="485"/>
        <w:spacing w:after="0" w:line="255" w:lineRule="auto"/>
        <w:tabs>
          <w:tab w:leader="none" w:pos="88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8"/>
          <w:szCs w:val="18"/>
          <w:color w:val="auto"/>
        </w:rPr>
        <w:t>Any Member may irrevocably appoint a proxy and in such case: (i) such appointment shall be irrevocable in accordance with the terms of the instrument of appointment; (ii) the Company shall be given notice of the appointment, such notice to include the name, address, telephone number and electronic mail address of the proxy, and the Company shall give to such proxy notice of all meetings of shareholders of the Company; (iii) such proxy shall be the only person entitled to vote the relevant shares at any meeting at which such proxy is present; and (iv) the Company shall be obliged to recognise the proxy until such time as such proxy shall notify the Company in writing that the appointment of such proxy is no longer in force.</w:t>
      </w:r>
    </w:p>
    <w:p>
      <w:pPr>
        <w:spacing w:after="0" w:line="246" w:lineRule="exact"/>
        <w:rPr>
          <w:sz w:val="20"/>
          <w:szCs w:val="20"/>
          <w:color w:val="auto"/>
        </w:rPr>
      </w:pPr>
    </w:p>
    <w:p>
      <w:pPr>
        <w:ind w:left="420" w:hanging="414"/>
        <w:spacing w:after="0"/>
        <w:tabs>
          <w:tab w:leader="none" w:pos="4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Corporate Member</w:t>
      </w:r>
    </w:p>
    <w:p>
      <w:pPr>
        <w:spacing w:after="0" w:line="279" w:lineRule="exact"/>
        <w:rPr>
          <w:rFonts w:ascii="Arial" w:cs="Arial" w:eastAsia="Arial" w:hAnsi="Arial"/>
          <w:sz w:val="18"/>
          <w:szCs w:val="18"/>
          <w:b w:val="1"/>
          <w:bCs w:val="1"/>
          <w:color w:val="auto"/>
        </w:rPr>
      </w:pPr>
    </w:p>
    <w:p>
      <w:pPr>
        <w:ind w:left="900" w:right="40" w:hanging="48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35.1 </w:t>
      </w:r>
      <w:r>
        <w:rPr>
          <w:rFonts w:ascii="Arial" w:cs="Arial" w:eastAsia="Arial" w:hAnsi="Arial"/>
          <w:sz w:val="18"/>
          <w:szCs w:val="18"/>
          <w:color w:val="auto"/>
        </w:rPr>
        <w:t>A corporation which is a Member may, by written instrument, authorise such person or persons as it thinks fit to act as its representative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and any person so authorised shall be entitled to exercise the same powers on behalf of the corporation which such person represents as that corporation could exercise if it were an individual Member, and that Member shall be deemed to be present in person at any such meeting attended by its authorised representative or representatives.</w:t>
      </w:r>
    </w:p>
    <w:p>
      <w:pPr>
        <w:spacing w:after="0" w:line="233" w:lineRule="exact"/>
        <w:rPr>
          <w:rFonts w:ascii="Arial" w:cs="Arial" w:eastAsia="Arial" w:hAnsi="Arial"/>
          <w:sz w:val="18"/>
          <w:szCs w:val="18"/>
          <w:b w:val="1"/>
          <w:bCs w:val="1"/>
          <w:color w:val="auto"/>
        </w:rPr>
      </w:pPr>
    </w:p>
    <w:p>
      <w:pPr>
        <w:ind w:left="900" w:right="10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35.2 </w:t>
      </w:r>
      <w:r>
        <w:rPr>
          <w:rFonts w:ascii="Arial" w:cs="Arial" w:eastAsia="Arial" w:hAnsi="Arial"/>
          <w:sz w:val="18"/>
          <w:szCs w:val="18"/>
          <w:color w:val="auto"/>
        </w:rPr>
        <w:t>Notwithstanding the foregoing, the chairman of the meeting may accept such assurances as he thinks fit as to the right of any person to attend</w:t>
      </w:r>
      <w:r>
        <w:rPr>
          <w:rFonts w:ascii="Arial" w:cs="Arial" w:eastAsia="Arial" w:hAnsi="Arial"/>
          <w:sz w:val="18"/>
          <w:szCs w:val="18"/>
          <w:b w:val="1"/>
          <w:bCs w:val="1"/>
          <w:color w:val="auto"/>
        </w:rPr>
        <w:t xml:space="preserve"> </w:t>
      </w:r>
      <w:r>
        <w:rPr>
          <w:rFonts w:ascii="Arial" w:cs="Arial" w:eastAsia="Arial" w:hAnsi="Arial"/>
          <w:sz w:val="18"/>
          <w:szCs w:val="18"/>
          <w:color w:val="auto"/>
        </w:rPr>
        <w:t>and vote at general meetings on behalf of a corporation which is a Member.</w:t>
      </w:r>
    </w:p>
    <w:p>
      <w:pPr>
        <w:sectPr>
          <w:pgSz w:w="11900" w:h="16838" w:orient="portrait"/>
          <w:cols w:equalWidth="0" w:num="1">
            <w:col w:w="11200"/>
          </w:cols>
          <w:pgMar w:left="340" w:top="1440" w:right="359" w:bottom="2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00"/>
          </w:cols>
          <w:pgMar w:left="340" w:top="1440" w:right="359" w:bottom="291" w:gutter="0" w:footer="0" w:header="0"/>
          <w:type w:val="continuous"/>
        </w:sectPr>
      </w:pPr>
    </w:p>
    <w:bookmarkStart w:id="199" w:name="page200"/>
    <w:bookmarkEnd w:id="199"/>
    <w:p>
      <w:pPr>
        <w:spacing w:after="0" w:line="52" w:lineRule="exact"/>
        <w:rPr>
          <w:sz w:val="20"/>
          <w:szCs w:val="20"/>
          <w:color w:val="auto"/>
        </w:rPr>
      </w:pPr>
    </w:p>
    <w:p>
      <w:pPr>
        <w:ind w:left="400" w:hanging="394"/>
        <w:spacing w:after="0"/>
        <w:tabs>
          <w:tab w:leader="none" w:pos="4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 of General Meeting</w:t>
      </w:r>
    </w:p>
    <w:p>
      <w:pPr>
        <w:spacing w:after="0" w:line="279" w:lineRule="exact"/>
        <w:rPr>
          <w:rFonts w:ascii="Arial" w:cs="Arial" w:eastAsia="Arial" w:hAnsi="Arial"/>
          <w:sz w:val="18"/>
          <w:szCs w:val="18"/>
          <w:b w:val="1"/>
          <w:bCs w:val="1"/>
          <w:color w:val="auto"/>
        </w:rPr>
      </w:pPr>
    </w:p>
    <w:p>
      <w:pPr>
        <w:ind w:left="90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36.1 </w:t>
      </w:r>
      <w:r>
        <w:rPr>
          <w:rFonts w:ascii="Arial" w:cs="Arial" w:eastAsia="Arial" w:hAnsi="Arial"/>
          <w:sz w:val="18"/>
          <w:szCs w:val="18"/>
          <w:color w:val="auto"/>
        </w:rPr>
        <w:t>The chairman of a general meeting at which quorum is present may, with the consent of the Members holding a majority of the voting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those Members present in person or by proxy (and shall if so directed by Members holding a majority of the voting rights of those Members present in person or by proxy) adjourn the meeting.</w:t>
      </w:r>
    </w:p>
    <w:p>
      <w:pPr>
        <w:spacing w:after="0" w:line="229" w:lineRule="exact"/>
        <w:rPr>
          <w:rFonts w:ascii="Arial" w:cs="Arial" w:eastAsia="Arial" w:hAnsi="Arial"/>
          <w:sz w:val="18"/>
          <w:szCs w:val="18"/>
          <w:b w:val="1"/>
          <w:bCs w:val="1"/>
          <w:color w:val="auto"/>
        </w:rPr>
      </w:pPr>
    </w:p>
    <w:p>
      <w:pPr>
        <w:ind w:left="900" w:right="40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36.2 </w:t>
      </w:r>
      <w:r>
        <w:rPr>
          <w:rFonts w:ascii="Arial" w:cs="Arial" w:eastAsia="Arial" w:hAnsi="Arial"/>
          <w:sz w:val="18"/>
          <w:szCs w:val="18"/>
          <w:color w:val="auto"/>
        </w:rPr>
        <w:t>The chairman of a general meeting may adjourn a meeting to another time and place without the consent or direction of the Members if it</w:t>
      </w:r>
      <w:r>
        <w:rPr>
          <w:rFonts w:ascii="Arial" w:cs="Arial" w:eastAsia="Arial" w:hAnsi="Arial"/>
          <w:sz w:val="18"/>
          <w:szCs w:val="18"/>
          <w:b w:val="1"/>
          <w:bCs w:val="1"/>
          <w:color w:val="auto"/>
        </w:rPr>
        <w:t xml:space="preserve"> </w:t>
      </w:r>
      <w:r>
        <w:rPr>
          <w:rFonts w:ascii="Arial" w:cs="Arial" w:eastAsia="Arial" w:hAnsi="Arial"/>
          <w:sz w:val="18"/>
          <w:szCs w:val="18"/>
          <w:color w:val="auto"/>
        </w:rPr>
        <w:t>appears to him that:</w:t>
      </w:r>
    </w:p>
    <w:p>
      <w:pPr>
        <w:spacing w:after="0" w:line="219" w:lineRule="exact"/>
        <w:rPr>
          <w:rFonts w:ascii="Arial" w:cs="Arial" w:eastAsia="Arial" w:hAnsi="Arial"/>
          <w:sz w:val="18"/>
          <w:szCs w:val="18"/>
          <w:b w:val="1"/>
          <w:bCs w:val="1"/>
          <w:color w:val="auto"/>
        </w:rPr>
      </w:pPr>
    </w:p>
    <w:p>
      <w:pPr>
        <w:ind w:left="1200" w:hanging="384"/>
        <w:spacing w:after="0"/>
        <w:tabs>
          <w:tab w:leader="none" w:pos="12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it is likely to be impractical to hold or continue that meeting because of the number of Members wishing to attend who are not present; or</w:t>
      </w:r>
    </w:p>
    <w:p>
      <w:pPr>
        <w:spacing w:after="0" w:line="302" w:lineRule="exact"/>
        <w:rPr>
          <w:rFonts w:ascii="Arial" w:cs="Arial" w:eastAsia="Arial" w:hAnsi="Arial"/>
          <w:sz w:val="16"/>
          <w:szCs w:val="16"/>
          <w:color w:val="auto"/>
        </w:rPr>
      </w:pPr>
    </w:p>
    <w:p>
      <w:pPr>
        <w:ind w:left="1220" w:right="520" w:hanging="404"/>
        <w:spacing w:after="0" w:line="277" w:lineRule="auto"/>
        <w:tabs>
          <w:tab w:leader="none" w:pos="1201"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unruly conduct of persons attending the meeting prevents, or is likely to prevent, the orderly continuation of the business of the meeting; or</w:t>
      </w:r>
    </w:p>
    <w:p>
      <w:pPr>
        <w:spacing w:after="0" w:line="224" w:lineRule="exact"/>
        <w:rPr>
          <w:rFonts w:ascii="Arial" w:cs="Arial" w:eastAsia="Arial" w:hAnsi="Arial"/>
          <w:sz w:val="18"/>
          <w:szCs w:val="18"/>
          <w:color w:val="auto"/>
        </w:rPr>
      </w:pPr>
    </w:p>
    <w:p>
      <w:pPr>
        <w:ind w:left="1180" w:hanging="364"/>
        <w:spacing w:after="0"/>
        <w:tabs>
          <w:tab w:leader="none" w:pos="11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 adjournment is otherwise necessary so that the business of the meeting may be properly conducted.</w:t>
      </w:r>
    </w:p>
    <w:p>
      <w:pPr>
        <w:spacing w:after="0" w:line="275" w:lineRule="exact"/>
        <w:rPr>
          <w:sz w:val="20"/>
          <w:szCs w:val="20"/>
          <w:color w:val="auto"/>
        </w:rPr>
      </w:pPr>
    </w:p>
    <w:p>
      <w:pPr>
        <w:jc w:val="both"/>
        <w:ind w:left="900" w:right="280" w:hanging="485"/>
        <w:spacing w:after="0" w:line="263" w:lineRule="auto"/>
        <w:tabs>
          <w:tab w:leader="none" w:pos="88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8"/>
          <w:szCs w:val="18"/>
          <w:color w:val="auto"/>
        </w:rPr>
        <w:t>Unless the meeting is adjourned to a specific date, place and time announced at the meeting being adjourned, fresh notice of the date, place and time for the resumption of the adjourned meeting shall be given to each Member entitled to attend and vote thereat in accordance with these Bye-laws.</w:t>
      </w:r>
    </w:p>
    <w:p>
      <w:pPr>
        <w:spacing w:after="0" w:line="2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Written Resolutions</w:t>
      </w:r>
    </w:p>
    <w:p>
      <w:pPr>
        <w:spacing w:after="0" w:line="2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Members may not take any action by written consent in lieu of a meeting, except that holders of shares of any class or series of Preferred Shares may vote by written consent in lieu of a meeting on any matter subject to a class vote to the extent provided in the designation of terms of such class or series of Preferred Shares.</w:t>
      </w:r>
    </w:p>
    <w:p>
      <w:pPr>
        <w:spacing w:after="0" w:line="234" w:lineRule="exact"/>
        <w:rPr>
          <w:sz w:val="20"/>
          <w:szCs w:val="20"/>
          <w:color w:val="auto"/>
        </w:rPr>
      </w:pPr>
    </w:p>
    <w:p>
      <w:pPr>
        <w:ind w:left="420" w:hanging="414"/>
        <w:spacing w:after="0"/>
        <w:tabs>
          <w:tab w:leader="none" w:pos="4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Attendance at General Meetings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Directors shall be entitled to receive notice of, attend and be heard at any general meeting.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279" w:lineRule="exact"/>
        <w:rPr>
          <w:sz w:val="20"/>
          <w:szCs w:val="20"/>
          <w:color w:val="auto"/>
        </w:rPr>
      </w:pPr>
    </w:p>
    <w:p>
      <w:pPr>
        <w:ind w:left="420" w:hanging="414"/>
        <w:spacing w:after="0"/>
        <w:tabs>
          <w:tab w:leader="none" w:pos="4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27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39.1  </w:t>
      </w:r>
      <w:r>
        <w:rPr>
          <w:rFonts w:ascii="Arial" w:cs="Arial" w:eastAsia="Arial" w:hAnsi="Arial"/>
          <w:sz w:val="18"/>
          <w:szCs w:val="18"/>
          <w:color w:val="auto"/>
        </w:rPr>
        <w:t>Only persons who are proposed or nominated in accordance with Bye-law 26 shall be eligible for election as Directors.</w:t>
      </w:r>
    </w:p>
    <w:p>
      <w:pPr>
        <w:spacing w:after="0" w:line="279" w:lineRule="exact"/>
        <w:rPr>
          <w:rFonts w:ascii="Arial" w:cs="Arial" w:eastAsia="Arial" w:hAnsi="Arial"/>
          <w:sz w:val="18"/>
          <w:szCs w:val="18"/>
          <w:b w:val="1"/>
          <w:bCs w:val="1"/>
          <w:color w:val="auto"/>
        </w:rPr>
      </w:pPr>
    </w:p>
    <w:p>
      <w:pPr>
        <w:ind w:left="900" w:right="80" w:hanging="486"/>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39.2 </w:t>
      </w:r>
      <w:r>
        <w:rPr>
          <w:rFonts w:ascii="Arial" w:cs="Arial" w:eastAsia="Arial" w:hAnsi="Arial"/>
          <w:sz w:val="17"/>
          <w:szCs w:val="17"/>
          <w:color w:val="auto"/>
        </w:rPr>
        <w:t>Where persons are validly proposed for re-election or election as a Director, each person receiving a majority of the votes cast shall be elected</w:t>
      </w:r>
      <w:r>
        <w:rPr>
          <w:rFonts w:ascii="Arial" w:cs="Arial" w:eastAsia="Arial" w:hAnsi="Arial"/>
          <w:sz w:val="17"/>
          <w:szCs w:val="17"/>
          <w:b w:val="1"/>
          <w:bCs w:val="1"/>
          <w:color w:val="auto"/>
        </w:rPr>
        <w:t xml:space="preserve"> </w:t>
      </w:r>
      <w:r>
        <w:rPr>
          <w:rFonts w:ascii="Arial" w:cs="Arial" w:eastAsia="Arial" w:hAnsi="Arial"/>
          <w:sz w:val="17"/>
          <w:szCs w:val="17"/>
          <w:color w:val="auto"/>
        </w:rPr>
        <w:t>as a Director, except that if the number of persons validly proposed for re-election or election as a Director exceeds the number of positions available for the election of Directors, then the persons receiving the most votes (up to the number of Directors to be elected) shall be elected as Directors, and an absolute majority of the votes cast shall not be a prerequisite to the election of such Directors. For the purposes of this Bye-law 39.2, (i) a “majority of the votes cast” means that the number of votes “for” a Director must exceed the number of votes “against” that Director and (ii) “votes cast” shall include only votes cast by shares represented in person or by proxy at the meeting and entitled to vote on the election of Directors, and shall exclude abstentions.</w:t>
      </w:r>
    </w:p>
    <w:p>
      <w:pPr>
        <w:spacing w:after="0" w:line="22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39.3  </w:t>
      </w:r>
      <w:r>
        <w:rPr>
          <w:rFonts w:ascii="Arial" w:cs="Arial" w:eastAsia="Arial" w:hAnsi="Arial"/>
          <w:sz w:val="17"/>
          <w:szCs w:val="17"/>
          <w:color w:val="auto"/>
        </w:rPr>
        <w:t>At any general meeting, the Members may authorise the Board to fill any vacancy in their number left unfilled at a general meeting.</w:t>
      </w:r>
    </w:p>
    <w:p>
      <w:pPr>
        <w:spacing w:after="0" w:line="290" w:lineRule="exact"/>
        <w:rPr>
          <w:rFonts w:ascii="Arial" w:cs="Arial" w:eastAsia="Arial" w:hAnsi="Arial"/>
          <w:sz w:val="18"/>
          <w:szCs w:val="18"/>
          <w:b w:val="1"/>
          <w:bCs w:val="1"/>
          <w:color w:val="auto"/>
        </w:rPr>
      </w:pPr>
    </w:p>
    <w:p>
      <w:pPr>
        <w:ind w:left="900" w:right="8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39.4 </w:t>
      </w:r>
      <w:r>
        <w:rPr>
          <w:rFonts w:ascii="Arial" w:cs="Arial" w:eastAsia="Arial" w:hAnsi="Arial"/>
          <w:sz w:val="18"/>
          <w:szCs w:val="18"/>
          <w:color w:val="auto"/>
        </w:rPr>
        <w:t>The chairman of any general meeting may, if the facts warrant, determine and declare to the general meeting that a nomination was not made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procedures prescribed by these Bye-laws, and if the chairman should so determine, the chairman shall so declare to the general meeting, and the defective nomination shall be disregarded.</w:t>
      </w:r>
    </w:p>
    <w:p>
      <w:pPr>
        <w:spacing w:after="0" w:line="229" w:lineRule="exact"/>
        <w:rPr>
          <w:rFonts w:ascii="Arial" w:cs="Arial" w:eastAsia="Arial" w:hAnsi="Arial"/>
          <w:sz w:val="18"/>
          <w:szCs w:val="18"/>
          <w:b w:val="1"/>
          <w:bCs w:val="1"/>
          <w:color w:val="auto"/>
        </w:rPr>
      </w:pPr>
    </w:p>
    <w:p>
      <w:pPr>
        <w:ind w:left="420" w:hanging="414"/>
        <w:spacing w:after="0"/>
        <w:tabs>
          <w:tab w:leader="none" w:pos="4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2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Board shall consist of such number of Directors being not less than five (5) Directors and not more than fifteen (15) Directors as the Board may from time to time determine. A majority of the Directors then in office may appoint any person as a Director to fill a vacancy on the Board occurring as a result of the newly-created directorship under this Bye-law 40. No reduction in the size of the Board shall shorten the term in office of any director in office at the time of such reduction.</w:t>
      </w:r>
    </w:p>
    <w:p>
      <w:pPr>
        <w:sectPr>
          <w:pgSz w:w="11900" w:h="16858" w:orient="portrait"/>
          <w:cols w:equalWidth="0" w:num="1">
            <w:col w:w="11200"/>
          </w:cols>
          <w:pgMar w:left="340" w:top="1440"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58" w:orient="portrait"/>
          <w:cols w:equalWidth="0" w:num="1">
            <w:col w:w="11200"/>
          </w:cols>
          <w:pgMar w:left="340" w:top="1440" w:right="359" w:bottom="0" w:gutter="0" w:footer="0" w:header="0"/>
          <w:type w:val="continuous"/>
        </w:sectPr>
      </w:pPr>
    </w:p>
    <w:bookmarkStart w:id="200" w:name="page201"/>
    <w:bookmarkEnd w:id="20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1" w:name="page202"/>
    <w:bookmarkEnd w:id="201"/>
    <w:p>
      <w:pPr>
        <w:spacing w:after="0" w:line="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Term of Office of Directors</w:t>
      </w:r>
    </w:p>
    <w:p>
      <w:pPr>
        <w:spacing w:after="0" w:line="28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Commencing at the first annual general meeting that is held after the date of adoption of this Bye-law 41 and each succeeding annual general meeting, Directors shall be elected annually for a one-year term expiring at the next annual general meeting; except that each Director serving as a Class I Director shall hold office until the annual general meeting held in 2024, each Director serving as a Class II Director shall hold office until the annual general meeting held in 2022 and each Director serving as a Class III Director shall hold office until the annual general meeting held in 2023; and in each case until their successors are elected or appointed and have qualified and subject to his office being vacated pursuant to Bye-law 44. The Directors shall no longer be divided into Classes after the annual general meeting held in 2024. A Director elected or appointed to fill a vacancy pursuant to Bye-law 42.2 or Bye-law 44.2 shall hold office until the next annual general meeting held after the date of such appointment and until their successors are elected or appointed and have qualified.</w:t>
      </w:r>
    </w:p>
    <w:p>
      <w:pPr>
        <w:spacing w:after="0" w:line="242" w:lineRule="exact"/>
        <w:rPr>
          <w:sz w:val="20"/>
          <w:szCs w:val="20"/>
          <w:color w:val="auto"/>
        </w:rPr>
      </w:pPr>
    </w:p>
    <w:p>
      <w:pPr>
        <w:ind w:left="420" w:hanging="414"/>
        <w:spacing w:after="0"/>
        <w:tabs>
          <w:tab w:leader="none" w:pos="4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279" w:lineRule="exact"/>
        <w:rPr>
          <w:rFonts w:ascii="Arial" w:cs="Arial" w:eastAsia="Arial" w:hAnsi="Arial"/>
          <w:sz w:val="18"/>
          <w:szCs w:val="18"/>
          <w:b w:val="1"/>
          <w:bCs w:val="1"/>
          <w:color w:val="auto"/>
        </w:rPr>
      </w:pPr>
    </w:p>
    <w:p>
      <w:pPr>
        <w:ind w:left="900" w:right="120" w:hanging="486"/>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42.1 </w:t>
      </w:r>
      <w:r>
        <w:rPr>
          <w:rFonts w:ascii="Arial" w:cs="Arial" w:eastAsia="Arial" w:hAnsi="Arial"/>
          <w:sz w:val="16"/>
          <w:szCs w:val="16"/>
          <w:color w:val="auto"/>
        </w:rPr>
        <w:t>Subject to any provision to the contrary in these Bye-laws, the Members holding voting shares entitled to cast a majority of the votes of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issued and outstanding voting shares of the Company may, at any special general meeting convened and held in accordance with these Bye-laws, by the affirmative vote of all such Members, remove a Director only for cause;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notice of any such meeting convened for the purpose of removing a Director shall contain a statement of the intention so to do and be served on such Director not less than 14 days before the meeting and at such meeting the Director shall be entitled to be heard on the motion for such Director’s removal.</w:t>
      </w:r>
    </w:p>
    <w:p>
      <w:pPr>
        <w:spacing w:after="0" w:line="207" w:lineRule="exact"/>
        <w:rPr>
          <w:rFonts w:ascii="Arial" w:cs="Arial" w:eastAsia="Arial" w:hAnsi="Arial"/>
          <w:sz w:val="18"/>
          <w:szCs w:val="18"/>
          <w:b w:val="1"/>
          <w:bCs w:val="1"/>
          <w:color w:val="auto"/>
        </w:rPr>
      </w:pPr>
    </w:p>
    <w:p>
      <w:pPr>
        <w:ind w:left="900" w:right="4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42.2 </w:t>
      </w:r>
      <w:r>
        <w:rPr>
          <w:rFonts w:ascii="Arial" w:cs="Arial" w:eastAsia="Arial" w:hAnsi="Arial"/>
          <w:sz w:val="18"/>
          <w:szCs w:val="18"/>
          <w:color w:val="auto"/>
        </w:rPr>
        <w:t>If a Director is removed from the Board under this Bye-law 42, a majority of the remaining Directors then in office may appoint any person as</w:t>
      </w:r>
      <w:r>
        <w:rPr>
          <w:rFonts w:ascii="Arial" w:cs="Arial" w:eastAsia="Arial" w:hAnsi="Arial"/>
          <w:sz w:val="18"/>
          <w:szCs w:val="18"/>
          <w:b w:val="1"/>
          <w:bCs w:val="1"/>
          <w:color w:val="auto"/>
        </w:rPr>
        <w:t xml:space="preserve"> </w:t>
      </w:r>
      <w:r>
        <w:rPr>
          <w:rFonts w:ascii="Arial" w:cs="Arial" w:eastAsia="Arial" w:hAnsi="Arial"/>
          <w:sz w:val="18"/>
          <w:szCs w:val="18"/>
          <w:color w:val="auto"/>
        </w:rPr>
        <w:t>a Director to fill a vacancy on the Board.</w:t>
      </w:r>
    </w:p>
    <w:p>
      <w:pPr>
        <w:spacing w:after="0" w:line="215" w:lineRule="exact"/>
        <w:rPr>
          <w:rFonts w:ascii="Arial" w:cs="Arial" w:eastAsia="Arial" w:hAnsi="Arial"/>
          <w:sz w:val="18"/>
          <w:szCs w:val="18"/>
          <w:b w:val="1"/>
          <w:bCs w:val="1"/>
          <w:color w:val="auto"/>
        </w:rPr>
      </w:pPr>
    </w:p>
    <w:p>
      <w:pPr>
        <w:ind w:left="900" w:right="220" w:hanging="486"/>
        <w:spacing w:after="0" w:line="31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42.3 </w:t>
      </w:r>
      <w:r>
        <w:rPr>
          <w:rFonts w:ascii="Arial" w:cs="Arial" w:eastAsia="Arial" w:hAnsi="Arial"/>
          <w:sz w:val="17"/>
          <w:szCs w:val="17"/>
          <w:color w:val="auto"/>
        </w:rPr>
        <w:t>For the purposes of this Bye-law, “cause” shall mean a conviction for a criminal offence involving dishonesty or engaging in conduct which</w:t>
      </w:r>
      <w:r>
        <w:rPr>
          <w:rFonts w:ascii="Arial" w:cs="Arial" w:eastAsia="Arial" w:hAnsi="Arial"/>
          <w:sz w:val="17"/>
          <w:szCs w:val="17"/>
          <w:b w:val="1"/>
          <w:bCs w:val="1"/>
          <w:color w:val="auto"/>
        </w:rPr>
        <w:t xml:space="preserve"> </w:t>
      </w:r>
      <w:r>
        <w:rPr>
          <w:rFonts w:ascii="Arial" w:cs="Arial" w:eastAsia="Arial" w:hAnsi="Arial"/>
          <w:sz w:val="17"/>
          <w:szCs w:val="17"/>
          <w:color w:val="auto"/>
        </w:rPr>
        <w:t>brings the Director or the Company into disrepute and which results in material financial detriment to the Company.</w:t>
      </w:r>
    </w:p>
    <w:p>
      <w:pPr>
        <w:spacing w:after="0" w:line="193" w:lineRule="exact"/>
        <w:rPr>
          <w:rFonts w:ascii="Arial" w:cs="Arial" w:eastAsia="Arial" w:hAnsi="Arial"/>
          <w:sz w:val="18"/>
          <w:szCs w:val="18"/>
          <w:b w:val="1"/>
          <w:bCs w:val="1"/>
          <w:color w:val="auto"/>
        </w:rPr>
      </w:pPr>
    </w:p>
    <w:p>
      <w:pPr>
        <w:ind w:left="420" w:hanging="414"/>
        <w:spacing w:after="0"/>
        <w:tabs>
          <w:tab w:leader="none" w:pos="4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Committees</w:t>
      </w:r>
    </w:p>
    <w:p>
      <w:pPr>
        <w:spacing w:after="0" w:line="28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shall have a compensation committee, an audit committee (the “</w:t>
      </w:r>
      <w:r>
        <w:rPr>
          <w:rFonts w:ascii="Arial" w:cs="Arial" w:eastAsia="Arial" w:hAnsi="Arial"/>
          <w:sz w:val="16"/>
          <w:szCs w:val="16"/>
          <w:u w:val="single" w:color="auto"/>
          <w:color w:val="auto"/>
        </w:rPr>
        <w:t>Audit Committee</w:t>
      </w:r>
      <w:r>
        <w:rPr>
          <w:rFonts w:ascii="Arial" w:cs="Arial" w:eastAsia="Arial" w:hAnsi="Arial"/>
          <w:sz w:val="16"/>
          <w:szCs w:val="16"/>
          <w:color w:val="auto"/>
        </w:rPr>
        <w:t>”), a nominating and governance committee, an investment committee, and such other committees as the Board may determine (each, a “</w:t>
      </w:r>
      <w:r>
        <w:rPr>
          <w:rFonts w:ascii="Arial" w:cs="Arial" w:eastAsia="Arial" w:hAnsi="Arial"/>
          <w:sz w:val="16"/>
          <w:szCs w:val="16"/>
          <w:u w:val="single" w:color="auto"/>
          <w:color w:val="auto"/>
        </w:rPr>
        <w:t>Committee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Each Committee shall have such powers and responsibilities as the Board may from time to time determine, subject to these Bye-laws and to any approvals required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meetings and proceedings of each Committee shall be governed by the provisions of these Bye-laws regulating the meetings and proceedings of the Board, so far as the same are applicable and are not superseded by these Bye-laws, or directions imposed by the Board in accordance therewith.</w:t>
      </w:r>
    </w:p>
    <w:p>
      <w:pPr>
        <w:spacing w:after="0" w:line="211" w:lineRule="exact"/>
        <w:rPr>
          <w:sz w:val="20"/>
          <w:szCs w:val="20"/>
          <w:color w:val="auto"/>
        </w:rPr>
      </w:pPr>
    </w:p>
    <w:p>
      <w:pPr>
        <w:ind w:left="400" w:hanging="394"/>
        <w:spacing w:after="0"/>
        <w:tabs>
          <w:tab w:leader="none" w:pos="4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Vacancy in the Office of Director</w:t>
      </w:r>
    </w:p>
    <w:p>
      <w:pPr>
        <w:spacing w:after="0" w:line="27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44.1  </w:t>
      </w:r>
      <w:r>
        <w:rPr>
          <w:rFonts w:ascii="Arial" w:cs="Arial" w:eastAsia="Arial" w:hAnsi="Arial"/>
          <w:sz w:val="18"/>
          <w:szCs w:val="18"/>
          <w:color w:val="auto"/>
        </w:rPr>
        <w:t>The office of Director shall be vacated if the Director:</w:t>
      </w:r>
    </w:p>
    <w:p>
      <w:pPr>
        <w:spacing w:after="0" w:line="283" w:lineRule="exact"/>
        <w:rPr>
          <w:rFonts w:ascii="Arial" w:cs="Arial" w:eastAsia="Arial" w:hAnsi="Arial"/>
          <w:sz w:val="18"/>
          <w:szCs w:val="18"/>
          <w:b w:val="1"/>
          <w:bCs w:val="1"/>
          <w:color w:val="auto"/>
        </w:rPr>
      </w:pPr>
    </w:p>
    <w:p>
      <w:pPr>
        <w:ind w:left="1200" w:hanging="384"/>
        <w:spacing w:after="0"/>
        <w:tabs>
          <w:tab w:leader="none" w:pos="12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is removed from office pursuant to these Bye-laws or is prohibited from being a Director by law;</w:t>
      </w:r>
    </w:p>
    <w:p>
      <w:pPr>
        <w:spacing w:after="0" w:line="279" w:lineRule="exact"/>
        <w:rPr>
          <w:rFonts w:ascii="Arial" w:cs="Arial" w:eastAsia="Arial" w:hAnsi="Arial"/>
          <w:sz w:val="18"/>
          <w:szCs w:val="18"/>
          <w:color w:val="auto"/>
        </w:rPr>
      </w:pPr>
    </w:p>
    <w:p>
      <w:pPr>
        <w:ind w:left="1200" w:hanging="384"/>
        <w:spacing w:after="0"/>
        <w:tabs>
          <w:tab w:leader="none" w:pos="12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is or becomes bankrupt, or makes any arrangement or composition with his creditors generally;</w:t>
      </w:r>
    </w:p>
    <w:p>
      <w:pPr>
        <w:spacing w:after="0" w:line="279" w:lineRule="exact"/>
        <w:rPr>
          <w:rFonts w:ascii="Arial" w:cs="Arial" w:eastAsia="Arial" w:hAnsi="Arial"/>
          <w:sz w:val="18"/>
          <w:szCs w:val="18"/>
          <w:color w:val="auto"/>
        </w:rPr>
      </w:pPr>
    </w:p>
    <w:p>
      <w:pPr>
        <w:ind w:left="1200" w:hanging="384"/>
        <w:spacing w:after="0"/>
        <w:tabs>
          <w:tab w:leader="none" w:pos="12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is or becomes of unsound mind or dies; or</w:t>
      </w:r>
    </w:p>
    <w:p>
      <w:pPr>
        <w:spacing w:after="0" w:line="279" w:lineRule="exact"/>
        <w:rPr>
          <w:rFonts w:ascii="Arial" w:cs="Arial" w:eastAsia="Arial" w:hAnsi="Arial"/>
          <w:sz w:val="18"/>
          <w:szCs w:val="18"/>
          <w:color w:val="auto"/>
        </w:rPr>
      </w:pPr>
    </w:p>
    <w:p>
      <w:pPr>
        <w:ind w:left="1200" w:hanging="384"/>
        <w:spacing w:after="0"/>
        <w:tabs>
          <w:tab w:leader="none" w:pos="12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resigns his office, by notice to the Company.</w:t>
      </w:r>
    </w:p>
    <w:p>
      <w:pPr>
        <w:spacing w:after="0" w:line="275" w:lineRule="exact"/>
        <w:rPr>
          <w:sz w:val="20"/>
          <w:szCs w:val="20"/>
          <w:color w:val="auto"/>
        </w:rPr>
      </w:pPr>
    </w:p>
    <w:p>
      <w:pPr>
        <w:ind w:left="900" w:right="40" w:hanging="485"/>
        <w:spacing w:after="0" w:line="263" w:lineRule="auto"/>
        <w:tabs>
          <w:tab w:leader="none" w:pos="880" w:val="left"/>
        </w:tabs>
        <w:rPr>
          <w:sz w:val="20"/>
          <w:szCs w:val="20"/>
          <w:color w:val="auto"/>
        </w:rPr>
      </w:pPr>
      <w:r>
        <w:rPr>
          <w:rFonts w:ascii="Arial" w:cs="Arial" w:eastAsia="Arial" w:hAnsi="Arial"/>
          <w:sz w:val="18"/>
          <w:szCs w:val="18"/>
          <w:b w:val="1"/>
          <w:bCs w:val="1"/>
          <w:color w:val="auto"/>
        </w:rPr>
        <w:t>44.2</w:t>
      </w:r>
      <w:r>
        <w:rPr>
          <w:sz w:val="20"/>
          <w:szCs w:val="20"/>
          <w:color w:val="auto"/>
        </w:rPr>
        <w:tab/>
      </w:r>
      <w:r>
        <w:rPr>
          <w:rFonts w:ascii="Arial" w:cs="Arial" w:eastAsia="Arial" w:hAnsi="Arial"/>
          <w:sz w:val="18"/>
          <w:szCs w:val="18"/>
          <w:color w:val="auto"/>
        </w:rPr>
        <w:t>A majority of the remaining Directors then in office may appoint any person as a Director to fill a vacancy on the Board occurring as a result of a vacancy described in Bye-law 44.1, including without limitation by reason of the death, disability, removal, disqualification or resignation of any Director, or as a result of an increase in the size of the Board under Bye-law 40.</w:t>
      </w:r>
    </w:p>
    <w:p>
      <w:pPr>
        <w:spacing w:after="0" w:line="238" w:lineRule="exact"/>
        <w:rPr>
          <w:sz w:val="20"/>
          <w:szCs w:val="20"/>
          <w:color w:val="auto"/>
        </w:rPr>
      </w:pPr>
    </w:p>
    <w:p>
      <w:pPr>
        <w:ind w:left="420" w:hanging="414"/>
        <w:spacing w:after="0"/>
        <w:tabs>
          <w:tab w:leader="none" w:pos="4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283"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remuneration (if any) of the Directors shall be determined by the Board of Directors or a committee thereof and shall be deemed to accrue from day to day. The Directors will also be paid all travel, hotel and other expenses properly incurred by them in attending and returning from the Board meetings, any committee appointed by the Board, general meetings, or in connection with the business of the Company or their duties as Directors generally.</w:t>
      </w:r>
    </w:p>
    <w:p>
      <w:pPr>
        <w:sectPr>
          <w:pgSz w:w="11900" w:h="16838" w:orient="portrait"/>
          <w:cols w:equalWidth="0" w:num="1">
            <w:col w:w="11200"/>
          </w:cols>
          <w:pgMar w:left="340" w:top="1440" w:right="359"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00"/>
          </w:cols>
          <w:pgMar w:left="340" w:top="1440" w:right="359" w:bottom="156" w:gutter="0" w:footer="0" w:header="0"/>
          <w:type w:val="continuous"/>
        </w:sectPr>
      </w:pPr>
    </w:p>
    <w:bookmarkStart w:id="202" w:name="page203"/>
    <w:bookmarkEnd w:id="202"/>
    <w:p>
      <w:pPr>
        <w:spacing w:after="0" w:line="32" w:lineRule="exact"/>
        <w:rPr>
          <w:sz w:val="20"/>
          <w:szCs w:val="20"/>
          <w:color w:val="auto"/>
        </w:rPr>
      </w:pPr>
    </w:p>
    <w:p>
      <w:pPr>
        <w:ind w:left="420" w:hanging="414"/>
        <w:spacing w:after="0"/>
        <w:tabs>
          <w:tab w:leader="none" w:pos="4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Defect in Appointment</w:t>
      </w:r>
    </w:p>
    <w:p>
      <w:pPr>
        <w:spacing w:after="0" w:line="2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All acts done in good faith by the Board, any Director, a member of a committee appointed by the Board, any person to whom the Board may have delegated any of its powers, or any person acting as a Director shall, notwithstanding that it be afterwards discovered that there was some defect in the appointment of any Director or person acting as aforesaid, or that he was, or any of them were, disqualified, be as valid as if every such person had been duly appointed and was qualified to be a Director or act in the relevant capacity.</w:t>
      </w:r>
    </w:p>
    <w:p>
      <w:pPr>
        <w:spacing w:after="0" w:line="237" w:lineRule="exact"/>
        <w:rPr>
          <w:sz w:val="20"/>
          <w:szCs w:val="20"/>
          <w:color w:val="auto"/>
        </w:rPr>
      </w:pPr>
    </w:p>
    <w:p>
      <w:pPr>
        <w:ind w:left="420" w:hanging="414"/>
        <w:spacing w:after="0"/>
        <w:tabs>
          <w:tab w:leader="none" w:pos="4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to Manage Business</w:t>
      </w:r>
    </w:p>
    <w:p>
      <w:pPr>
        <w:spacing w:after="0" w:line="28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business of the Company shall be managed and conducted by the Board. In managing the business of the Company, the Board may exercise all such powers of the Company as are not, by the Act or by these Bye-laws, required to be exercised by the Company in general meeting.</w:t>
      </w:r>
    </w:p>
    <w:p>
      <w:pPr>
        <w:spacing w:after="0" w:line="196" w:lineRule="exact"/>
        <w:rPr>
          <w:sz w:val="20"/>
          <w:szCs w:val="20"/>
          <w:color w:val="auto"/>
        </w:rPr>
      </w:pPr>
    </w:p>
    <w:p>
      <w:pPr>
        <w:ind w:left="420" w:hanging="414"/>
        <w:spacing w:after="0"/>
        <w:tabs>
          <w:tab w:leader="none" w:pos="4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the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may:</w:t>
      </w:r>
    </w:p>
    <w:p>
      <w:pPr>
        <w:spacing w:after="0" w:line="279" w:lineRule="exact"/>
        <w:rPr>
          <w:sz w:val="20"/>
          <w:szCs w:val="20"/>
          <w:color w:val="auto"/>
        </w:rPr>
      </w:pPr>
    </w:p>
    <w:p>
      <w:pPr>
        <w:ind w:left="1220" w:right="580" w:hanging="404"/>
        <w:spacing w:after="0" w:line="277" w:lineRule="auto"/>
        <w:tabs>
          <w:tab w:leader="none" w:pos="11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appoint, suspend, or remove any manager, secretary, clerk, agent or employee of the Company and may fix their remuneration and determine their duties;</w:t>
      </w:r>
    </w:p>
    <w:p>
      <w:pPr>
        <w:spacing w:after="0" w:line="224" w:lineRule="exact"/>
        <w:rPr>
          <w:rFonts w:ascii="Arial" w:cs="Arial" w:eastAsia="Arial" w:hAnsi="Arial"/>
          <w:sz w:val="18"/>
          <w:szCs w:val="18"/>
          <w:color w:val="auto"/>
        </w:rPr>
      </w:pPr>
    </w:p>
    <w:p>
      <w:pPr>
        <w:ind w:left="1220" w:right="240" w:hanging="404"/>
        <w:spacing w:after="0" w:line="263" w:lineRule="auto"/>
        <w:tabs>
          <w:tab w:leader="none" w:pos="12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exercise all the powers of the Company to borrow money and to mortgage or charge or otherwise grant a security interest in its undertaking, property and uncalled capital, or any part thereof, and may issue debentures, debenture stock and other securities whether outright or as security for any debt, liability or obligation of the Company or any third party;</w:t>
      </w:r>
    </w:p>
    <w:p>
      <w:pPr>
        <w:spacing w:after="0" w:line="237" w:lineRule="exact"/>
        <w:rPr>
          <w:rFonts w:ascii="Arial" w:cs="Arial" w:eastAsia="Arial" w:hAnsi="Arial"/>
          <w:sz w:val="18"/>
          <w:szCs w:val="18"/>
          <w:color w:val="auto"/>
        </w:rPr>
      </w:pPr>
    </w:p>
    <w:p>
      <w:pPr>
        <w:ind w:left="1220" w:right="400" w:hanging="404"/>
        <w:spacing w:after="0" w:line="277" w:lineRule="auto"/>
        <w:tabs>
          <w:tab w:leader="none" w:pos="11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appoint one or more Directors to the office of managing Director or chief executive officer of the Company, who shall, subject to the control of the Board, supervise and administer all of the general business and affairs of the Company;</w:t>
      </w:r>
    </w:p>
    <w:p>
      <w:pPr>
        <w:spacing w:after="0" w:line="224" w:lineRule="exact"/>
        <w:rPr>
          <w:rFonts w:ascii="Arial" w:cs="Arial" w:eastAsia="Arial" w:hAnsi="Arial"/>
          <w:sz w:val="18"/>
          <w:szCs w:val="18"/>
          <w:color w:val="auto"/>
        </w:rPr>
      </w:pPr>
    </w:p>
    <w:p>
      <w:pPr>
        <w:ind w:left="1220" w:right="100" w:hanging="404"/>
        <w:spacing w:after="0" w:line="277" w:lineRule="auto"/>
        <w:tabs>
          <w:tab w:leader="none" w:pos="12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appoint a person to act as manager of the Company’s day-to-day business and may entrust to and confer upon such manager such powers and duties as it deems appropriate for the transaction or conduct of such business;</w:t>
      </w:r>
    </w:p>
    <w:p>
      <w:pPr>
        <w:spacing w:after="0" w:line="224" w:lineRule="exact"/>
        <w:rPr>
          <w:rFonts w:ascii="Arial" w:cs="Arial" w:eastAsia="Arial" w:hAnsi="Arial"/>
          <w:sz w:val="18"/>
          <w:szCs w:val="18"/>
          <w:color w:val="auto"/>
        </w:rPr>
      </w:pPr>
    </w:p>
    <w:p>
      <w:pPr>
        <w:ind w:left="1220" w:right="60" w:hanging="404"/>
        <w:spacing w:after="0" w:line="296" w:lineRule="auto"/>
        <w:tabs>
          <w:tab w:leader="none" w:pos="119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by power of attorney, appoint any company, firm, person or body of persons, whether nominated directly or indirectly by the Board, to be an attorney of the Company for such purposes and with such powers, authorities and discretions (not exceeding those vested in or exercisable by the Board)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so vested in the attorney;</w:t>
      </w:r>
    </w:p>
    <w:p>
      <w:pPr>
        <w:spacing w:after="0" w:line="215" w:lineRule="exact"/>
        <w:rPr>
          <w:rFonts w:ascii="Arial" w:cs="Arial" w:eastAsia="Arial" w:hAnsi="Arial"/>
          <w:sz w:val="16"/>
          <w:szCs w:val="16"/>
          <w:color w:val="auto"/>
        </w:rPr>
      </w:pPr>
    </w:p>
    <w:p>
      <w:pPr>
        <w:ind w:left="1180" w:hanging="364"/>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procure that the Company pays all expenses incurred in promoting and incorporating the Company;</w:t>
      </w:r>
    </w:p>
    <w:p>
      <w:pPr>
        <w:spacing w:after="0" w:line="279" w:lineRule="exact"/>
        <w:rPr>
          <w:rFonts w:ascii="Arial" w:cs="Arial" w:eastAsia="Arial" w:hAnsi="Arial"/>
          <w:sz w:val="18"/>
          <w:szCs w:val="18"/>
          <w:color w:val="auto"/>
        </w:rPr>
      </w:pPr>
    </w:p>
    <w:p>
      <w:pPr>
        <w:ind w:left="1220" w:right="220" w:hanging="404"/>
        <w:spacing w:after="0" w:line="257" w:lineRule="auto"/>
        <w:tabs>
          <w:tab w:leader="none" w:pos="12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delegate any of its powers (including the power to sub-delegate) to a committee of one or more persons appointed by the Board which may consist partly or entirely of non-Directors;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every such committee shall conform to such directions as the Board shall impose on them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meetings and proceedings of any such committee shall be governed by the provisions of these Bye-laws regulating the meetings and proceedings of the Board, so far as the same are applicable and are not superseded by directions imposed by the Board;</w:t>
      </w:r>
    </w:p>
    <w:p>
      <w:pPr>
        <w:spacing w:after="0" w:line="241" w:lineRule="exact"/>
        <w:rPr>
          <w:rFonts w:ascii="Arial" w:cs="Arial" w:eastAsia="Arial" w:hAnsi="Arial"/>
          <w:sz w:val="18"/>
          <w:szCs w:val="18"/>
          <w:color w:val="auto"/>
        </w:rPr>
      </w:pPr>
    </w:p>
    <w:p>
      <w:pPr>
        <w:ind w:left="1200" w:hanging="384"/>
        <w:spacing w:after="0"/>
        <w:tabs>
          <w:tab w:leader="none" w:pos="12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delegate any of its powers (including the power to sub-delegate) to any person on such terms and in such manner as the Board may see fit;</w:t>
      </w:r>
    </w:p>
    <w:p>
      <w:pPr>
        <w:spacing w:after="0" w:line="302" w:lineRule="exact"/>
        <w:rPr>
          <w:rFonts w:ascii="Arial" w:cs="Arial" w:eastAsia="Arial" w:hAnsi="Arial"/>
          <w:sz w:val="16"/>
          <w:szCs w:val="16"/>
          <w:color w:val="auto"/>
        </w:rPr>
      </w:pPr>
    </w:p>
    <w:p>
      <w:pPr>
        <w:ind w:left="1160" w:hanging="344"/>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present any petition and make any application in connection with the liquidation or reorganisation of the Company;</w:t>
      </w:r>
    </w:p>
    <w:p>
      <w:pPr>
        <w:spacing w:after="0" w:line="279" w:lineRule="exact"/>
        <w:rPr>
          <w:rFonts w:ascii="Arial" w:cs="Arial" w:eastAsia="Arial" w:hAnsi="Arial"/>
          <w:sz w:val="18"/>
          <w:szCs w:val="18"/>
          <w:color w:val="auto"/>
        </w:rPr>
      </w:pPr>
    </w:p>
    <w:p>
      <w:pPr>
        <w:ind w:left="1160" w:hanging="344"/>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connection with the issue of any share, pay such commission and brokerage as may be permitted by law; and</w:t>
      </w:r>
    </w:p>
    <w:p>
      <w:pPr>
        <w:spacing w:after="0" w:line="279" w:lineRule="exact"/>
        <w:rPr>
          <w:rFonts w:ascii="Arial" w:cs="Arial" w:eastAsia="Arial" w:hAnsi="Arial"/>
          <w:sz w:val="18"/>
          <w:szCs w:val="18"/>
          <w:color w:val="auto"/>
        </w:rPr>
      </w:pPr>
    </w:p>
    <w:p>
      <w:pPr>
        <w:ind w:left="1220" w:right="480" w:hanging="404"/>
        <w:spacing w:after="0" w:line="277" w:lineRule="auto"/>
        <w:tabs>
          <w:tab w:leader="none" w:pos="12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authorise any company, firm, person or body of persons to act on behalf of the Company for any specific purpose and in connection therewith to execute any deed, agreement, document or instrument on behalf of the Company.</w:t>
      </w:r>
    </w:p>
    <w:p>
      <w:pPr>
        <w:sectPr>
          <w:pgSz w:w="11900" w:h="16838" w:orient="portrait"/>
          <w:cols w:equalWidth="0" w:num="1">
            <w:col w:w="11160"/>
          </w:cols>
          <w:pgMar w:left="340" w:top="1440" w:right="399"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60"/>
          </w:cols>
          <w:pgMar w:left="340" w:top="1440" w:right="399" w:bottom="804" w:gutter="0" w:footer="0" w:header="0"/>
          <w:type w:val="continuous"/>
        </w:sectPr>
      </w:pPr>
    </w:p>
    <w:bookmarkStart w:id="203" w:name="page204"/>
    <w:bookmarkEnd w:id="203"/>
    <w:p>
      <w:pPr>
        <w:spacing w:after="0" w:line="32" w:lineRule="exact"/>
        <w:rPr>
          <w:sz w:val="20"/>
          <w:szCs w:val="20"/>
          <w:color w:val="auto"/>
        </w:rPr>
      </w:pPr>
    </w:p>
    <w:p>
      <w:pPr>
        <w:ind w:left="420" w:hanging="414"/>
        <w:spacing w:after="0"/>
        <w:tabs>
          <w:tab w:leader="none" w:pos="4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Directors and Officers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Board shall cause to be kept in one or more books at the registered office of the Company a Register of Directors and Officers and shall enter therein the particulars required by the Act.</w:t>
      </w:r>
    </w:p>
    <w:p>
      <w:pPr>
        <w:spacing w:after="0" w:line="2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color w:val="auto"/>
        </w:rPr>
        <w:t>Appointment of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may appoint such Officers (who may or may not be Directors) as the Board may determine for such terms as the Board deems fit.</w:t>
      </w:r>
    </w:p>
    <w:p>
      <w:pPr>
        <w:spacing w:after="0" w:line="2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Appointment of Secretary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Secretary shall be appointed by the Board from time to time for such term as the Board deems fit.</w:t>
      </w:r>
    </w:p>
    <w:p>
      <w:pPr>
        <w:spacing w:after="0" w:line="275" w:lineRule="exact"/>
        <w:rPr>
          <w:sz w:val="20"/>
          <w:szCs w:val="20"/>
          <w:color w:val="auto"/>
        </w:rPr>
      </w:pPr>
    </w:p>
    <w:p>
      <w:pPr>
        <w:ind w:left="420" w:hanging="414"/>
        <w:spacing w:after="0"/>
        <w:tabs>
          <w:tab w:leader="none" w:pos="4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Officers</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Officers shall have such powers and perform such duties in the management, business and affairs of the Company as may be delegated to them by the Board from time to time.</w:t>
      </w:r>
    </w:p>
    <w:p>
      <w:pPr>
        <w:spacing w:after="0" w:line="220" w:lineRule="exact"/>
        <w:rPr>
          <w:sz w:val="20"/>
          <w:szCs w:val="20"/>
          <w:color w:val="auto"/>
        </w:rPr>
      </w:pPr>
    </w:p>
    <w:p>
      <w:pPr>
        <w:ind w:left="420" w:hanging="414"/>
        <w:spacing w:after="0"/>
        <w:tabs>
          <w:tab w:leader="none" w:pos="4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Officers shall receive such remuneration as the Board or a committee thereof may determine.</w:t>
      </w:r>
    </w:p>
    <w:p>
      <w:pPr>
        <w:spacing w:after="0" w:line="275" w:lineRule="exact"/>
        <w:rPr>
          <w:sz w:val="20"/>
          <w:szCs w:val="20"/>
          <w:color w:val="auto"/>
        </w:rPr>
      </w:pPr>
    </w:p>
    <w:p>
      <w:pPr>
        <w:ind w:left="420" w:hanging="414"/>
        <w:spacing w:after="0"/>
        <w:tabs>
          <w:tab w:leader="none" w:pos="4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79" w:lineRule="exact"/>
        <w:rPr>
          <w:rFonts w:ascii="Arial" w:cs="Arial" w:eastAsia="Arial" w:hAnsi="Arial"/>
          <w:sz w:val="18"/>
          <w:szCs w:val="18"/>
          <w:b w:val="1"/>
          <w:bCs w:val="1"/>
          <w:color w:val="auto"/>
        </w:rPr>
      </w:pPr>
    </w:p>
    <w:p>
      <w:pPr>
        <w:ind w:left="900" w:right="80" w:hanging="486"/>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54.1 </w:t>
      </w:r>
      <w:r>
        <w:rPr>
          <w:rFonts w:ascii="Arial" w:cs="Arial" w:eastAsia="Arial" w:hAnsi="Arial"/>
          <w:sz w:val="17"/>
          <w:szCs w:val="17"/>
          <w:color w:val="auto"/>
        </w:rPr>
        <w:t>Any Director, or any Director’s firm, partner or any company with whom any Director is associated, may act in any capacity for, be employed</w:t>
      </w:r>
      <w:r>
        <w:rPr>
          <w:rFonts w:ascii="Arial" w:cs="Arial" w:eastAsia="Arial" w:hAnsi="Arial"/>
          <w:sz w:val="17"/>
          <w:szCs w:val="17"/>
          <w:b w:val="1"/>
          <w:bCs w:val="1"/>
          <w:color w:val="auto"/>
        </w:rPr>
        <w:t xml:space="preserve"> </w:t>
      </w:r>
      <w:r>
        <w:rPr>
          <w:rFonts w:ascii="Arial" w:cs="Arial" w:eastAsia="Arial" w:hAnsi="Arial"/>
          <w:sz w:val="17"/>
          <w:szCs w:val="17"/>
          <w:color w:val="auto"/>
        </w:rPr>
        <w:t>by or render services to the Company on such terms, including with respect to remuneration, as may be agreed between the parties. Nothing herein contained shall authorise a Director or Director’s firm, partner or company to act as Auditor to the Company.</w:t>
      </w:r>
    </w:p>
    <w:p>
      <w:pPr>
        <w:spacing w:after="0" w:line="211" w:lineRule="exact"/>
        <w:rPr>
          <w:rFonts w:ascii="Arial" w:cs="Arial" w:eastAsia="Arial" w:hAnsi="Arial"/>
          <w:sz w:val="18"/>
          <w:szCs w:val="18"/>
          <w:b w:val="1"/>
          <w:bCs w:val="1"/>
          <w:color w:val="auto"/>
        </w:rPr>
      </w:pPr>
    </w:p>
    <w:p>
      <w:pPr>
        <w:ind w:left="900" w:right="6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54.2 </w:t>
      </w:r>
      <w:r>
        <w:rPr>
          <w:rFonts w:ascii="Arial" w:cs="Arial" w:eastAsia="Arial" w:hAnsi="Arial"/>
          <w:sz w:val="18"/>
          <w:szCs w:val="18"/>
          <w:color w:val="auto"/>
        </w:rPr>
        <w:t>A Director who is directly or indirectly interested in a contract or proposed contract or arrangement with the Company shall declare the nature</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interest as required by the Act and such Director shall be required to recuse himself from any board meeting at which such contract or arrangement is to be considered.</w:t>
      </w:r>
    </w:p>
    <w:p>
      <w:pPr>
        <w:spacing w:after="0" w:line="229" w:lineRule="exact"/>
        <w:rPr>
          <w:rFonts w:ascii="Arial" w:cs="Arial" w:eastAsia="Arial" w:hAnsi="Arial"/>
          <w:sz w:val="18"/>
          <w:szCs w:val="18"/>
          <w:b w:val="1"/>
          <w:bCs w:val="1"/>
          <w:color w:val="auto"/>
        </w:rPr>
      </w:pPr>
    </w:p>
    <w:p>
      <w:pPr>
        <w:jc w:val="both"/>
        <w:ind w:left="900" w:right="140" w:hanging="486"/>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54.3 </w:t>
      </w:r>
      <w:r>
        <w:rPr>
          <w:rFonts w:ascii="Arial" w:cs="Arial" w:eastAsia="Arial" w:hAnsi="Arial"/>
          <w:sz w:val="17"/>
          <w:szCs w:val="17"/>
          <w:color w:val="auto"/>
        </w:rPr>
        <w:t>Following a declaration being made pursuant to this Bye-law, a Director shall not vote in respect of any contract or proposed contract or</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in which such Director is interested, shall not be counted in the quorum for such meeting and shall be required to recuse himself or herself from any discussion. For the avoidance of doubt, for purposes of these Bye-laws, no Director shall be considered “interested” with respect to any transactions in which all the Members participate or are offered to participate.</w:t>
      </w:r>
    </w:p>
    <w:p>
      <w:pPr>
        <w:spacing w:after="0" w:line="218" w:lineRule="exact"/>
        <w:rPr>
          <w:rFonts w:ascii="Arial" w:cs="Arial" w:eastAsia="Arial" w:hAnsi="Arial"/>
          <w:sz w:val="18"/>
          <w:szCs w:val="18"/>
          <w:b w:val="1"/>
          <w:bCs w:val="1"/>
          <w:color w:val="auto"/>
        </w:rPr>
      </w:pPr>
    </w:p>
    <w:p>
      <w:pPr>
        <w:ind w:left="420" w:hanging="414"/>
        <w:spacing w:after="0"/>
        <w:tabs>
          <w:tab w:leader="none" w:pos="4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Exculpation of Directors and Officers</w:t>
      </w:r>
    </w:p>
    <w:p>
      <w:pPr>
        <w:spacing w:after="0" w:line="279" w:lineRule="exact"/>
        <w:rPr>
          <w:rFonts w:ascii="Arial" w:cs="Arial" w:eastAsia="Arial" w:hAnsi="Arial"/>
          <w:sz w:val="18"/>
          <w:szCs w:val="18"/>
          <w:b w:val="1"/>
          <w:bCs w:val="1"/>
          <w:color w:val="auto"/>
        </w:rPr>
      </w:pPr>
    </w:p>
    <w:p>
      <w:pPr>
        <w:ind w:left="900" w:hanging="486"/>
        <w:spacing w:after="0" w:line="268"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55.1 </w:t>
      </w:r>
      <w:r>
        <w:rPr>
          <w:rFonts w:ascii="Arial" w:cs="Arial" w:eastAsia="Arial" w:hAnsi="Arial"/>
          <w:sz w:val="17"/>
          <w:szCs w:val="17"/>
          <w:color w:val="auto"/>
        </w:rPr>
        <w:t>The Directors, Resident Representative, Secretary and other Officers (such term to include any person appointed to any committee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for the time being acting in relation to any of the affairs of the Company or any Subsidiary thereof and the liquidator or trustees (if any) for the time being acting in relation to any of the affairs of the Company or any Subsidiary thereof and every one of them, and their heirs, executors and administrators, shall be indemnified and secured harmless out of the assets of the Company from and against all actions, costs, charges, losses, damages and expenses which they or any of them, their heirs, executors or administrators, shall or may incur or sustain by or by reason of any act done, concurred in or omitted in or about the execution of their duty, or supposed duty, or in their respective offices or trusts, and none of them shall be answerable for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indemnity shall not extend to any matter in respect of any fraud or wilful misconduct which may attach to any of the said persons. Each Member agrees to waive any claim or right of action such Member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or any Subsidiary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waiver shall not extend to any matter in respect of any fraud or wilful misconduct which may attach to such Director or Officer.</w:t>
      </w:r>
    </w:p>
    <w:p>
      <w:pPr>
        <w:sectPr>
          <w:pgSz w:w="11900" w:h="16838" w:orient="portrait"/>
          <w:cols w:equalWidth="0" w:num="1">
            <w:col w:w="11200"/>
          </w:cols>
          <w:pgMar w:left="340" w:top="1440" w:right="359" w:bottom="5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340" w:top="1440" w:right="359" w:bottom="507" w:gutter="0" w:footer="0" w:header="0"/>
          <w:type w:val="continuous"/>
        </w:sectPr>
      </w:pPr>
    </w:p>
    <w:bookmarkStart w:id="204" w:name="page205"/>
    <w:bookmarkEnd w:id="204"/>
    <w:p>
      <w:pPr>
        <w:spacing w:after="0" w:line="32" w:lineRule="exact"/>
        <w:rPr>
          <w:sz w:val="20"/>
          <w:szCs w:val="20"/>
          <w:color w:val="auto"/>
        </w:rPr>
      </w:pPr>
    </w:p>
    <w:p>
      <w:pPr>
        <w:ind w:left="900" w:right="40" w:hanging="485"/>
        <w:spacing w:after="0" w:line="259" w:lineRule="auto"/>
        <w:tabs>
          <w:tab w:leader="none" w:pos="880" w:val="left"/>
        </w:tabs>
        <w:rPr>
          <w:sz w:val="20"/>
          <w:szCs w:val="20"/>
          <w:color w:val="auto"/>
        </w:rPr>
      </w:pPr>
      <w:r>
        <w:rPr>
          <w:rFonts w:ascii="Arial" w:cs="Arial" w:eastAsia="Arial" w:hAnsi="Arial"/>
          <w:sz w:val="18"/>
          <w:szCs w:val="18"/>
          <w:b w:val="1"/>
          <w:bCs w:val="1"/>
          <w:color w:val="auto"/>
        </w:rPr>
        <w:t>55.2</w:t>
      </w:r>
      <w:r>
        <w:rPr>
          <w:sz w:val="20"/>
          <w:szCs w:val="20"/>
          <w:color w:val="auto"/>
        </w:rPr>
        <w:tab/>
      </w:r>
      <w:r>
        <w:rPr>
          <w:rFonts w:ascii="Arial" w:cs="Arial" w:eastAsia="Arial" w:hAnsi="Arial"/>
          <w:sz w:val="18"/>
          <w:szCs w:val="18"/>
          <w:color w:val="auto"/>
        </w:rPr>
        <w:t>The Company may purchase and maintain insurance for the benefit of any Director or Officer against any liability incurred by him under the Act in his capacity as a Director or Officer or indemnifying such Director or Officer in respect of any loss arising or liability attaching to him by virtue of any rule of law in respect of any negligence, default, breach of duty or breach of trust of which the Director or Officer may be guilty in relation to the Company or any Subsidiary thereof.</w:t>
      </w:r>
    </w:p>
    <w:p>
      <w:pPr>
        <w:spacing w:after="0" w:line="241" w:lineRule="exact"/>
        <w:rPr>
          <w:sz w:val="20"/>
          <w:szCs w:val="20"/>
          <w:color w:val="auto"/>
        </w:rPr>
      </w:pPr>
    </w:p>
    <w:p>
      <w:pPr>
        <w:ind w:left="900" w:right="60" w:hanging="485"/>
        <w:spacing w:after="0" w:line="263" w:lineRule="auto"/>
        <w:tabs>
          <w:tab w:leader="none" w:pos="880" w:val="left"/>
        </w:tabs>
        <w:rPr>
          <w:sz w:val="20"/>
          <w:szCs w:val="20"/>
          <w:color w:val="auto"/>
        </w:rPr>
      </w:pPr>
      <w:r>
        <w:rPr>
          <w:rFonts w:ascii="Arial" w:cs="Arial" w:eastAsia="Arial" w:hAnsi="Arial"/>
          <w:sz w:val="18"/>
          <w:szCs w:val="18"/>
          <w:b w:val="1"/>
          <w:bCs w:val="1"/>
          <w:color w:val="auto"/>
        </w:rPr>
        <w:t>55.3</w:t>
      </w:r>
      <w:r>
        <w:rPr>
          <w:sz w:val="20"/>
          <w:szCs w:val="20"/>
          <w:color w:val="auto"/>
        </w:rPr>
        <w:tab/>
      </w:r>
      <w:r>
        <w:rPr>
          <w:rFonts w:ascii="Arial" w:cs="Arial" w:eastAsia="Arial" w:hAnsi="Arial"/>
          <w:sz w:val="18"/>
          <w:szCs w:val="18"/>
          <w:color w:val="auto"/>
        </w:rPr>
        <w:t>The Company may advance moneys to a Director or Officer for the costs, charges and expenses incurred by the Director or Officer in defending any civil or criminal proceedings against him, on condition that the Director or Officer shall repay the advance if any allegation of fraud or dishonesty is proved against him.</w:t>
      </w:r>
    </w:p>
    <w:p>
      <w:pPr>
        <w:spacing w:after="0" w:line="238" w:lineRule="exact"/>
        <w:rPr>
          <w:sz w:val="20"/>
          <w:szCs w:val="20"/>
          <w:color w:val="auto"/>
        </w:rPr>
      </w:pPr>
    </w:p>
    <w:p>
      <w:pPr>
        <w:ind w:left="900" w:right="140" w:hanging="485"/>
        <w:spacing w:after="0" w:line="259" w:lineRule="auto"/>
        <w:tabs>
          <w:tab w:leader="none" w:pos="880" w:val="left"/>
        </w:tabs>
        <w:rPr>
          <w:sz w:val="20"/>
          <w:szCs w:val="20"/>
          <w:color w:val="auto"/>
        </w:rPr>
      </w:pPr>
      <w:r>
        <w:rPr>
          <w:rFonts w:ascii="Arial" w:cs="Arial" w:eastAsia="Arial" w:hAnsi="Arial"/>
          <w:sz w:val="18"/>
          <w:szCs w:val="18"/>
          <w:b w:val="1"/>
          <w:bCs w:val="1"/>
          <w:color w:val="auto"/>
        </w:rPr>
        <w:t>55.4</w:t>
      </w:r>
      <w:r>
        <w:rPr>
          <w:sz w:val="20"/>
          <w:szCs w:val="20"/>
          <w:color w:val="auto"/>
        </w:rPr>
        <w:tab/>
      </w:r>
      <w:r>
        <w:rPr>
          <w:rFonts w:ascii="Arial" w:cs="Arial" w:eastAsia="Arial" w:hAnsi="Arial"/>
          <w:sz w:val="18"/>
          <w:szCs w:val="18"/>
          <w:color w:val="auto"/>
        </w:rPr>
        <w:t>The rights to indemnification and advancement of costs, charges, and expenses provided by this Bye-law 55 shall continue with respect to a person who has subsequently ceased to be a Director or Officer and shall not be deemed exclusive of any other rights to which a present or former Director or Officer of the Company seeking indemnification or advancement of expenses may be entitled under any agreement or otherwise.</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MEETINGS OF THE BOARD OF DIRECTORS</w:t>
      </w:r>
    </w:p>
    <w:p>
      <w:pPr>
        <w:spacing w:after="0" w:line="279" w:lineRule="exact"/>
        <w:rPr>
          <w:sz w:val="20"/>
          <w:szCs w:val="20"/>
          <w:color w:val="auto"/>
        </w:rPr>
      </w:pPr>
    </w:p>
    <w:p>
      <w:pPr>
        <w:ind w:left="420" w:hanging="414"/>
        <w:spacing w:after="0"/>
        <w:tabs>
          <w:tab w:leader="none" w:pos="4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Board Meetings</w:t>
      </w:r>
    </w:p>
    <w:p>
      <w:pPr>
        <w:spacing w:after="0" w:line="2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The Board may meet for the transaction of business, adjourn and otherwise regulate its meetings as it sees fit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Director may participate in any meeting of the Board or committee thereof while physically present in the United States. A resolution put to the vote at a Board meeting shall be carried by the affirmative votes of a majority of the votes cast and in the case of an equality of votes the resolution shall fail.</w:t>
      </w:r>
    </w:p>
    <w:p>
      <w:pPr>
        <w:spacing w:after="0" w:line="215" w:lineRule="exact"/>
        <w:rPr>
          <w:sz w:val="20"/>
          <w:szCs w:val="20"/>
          <w:color w:val="auto"/>
        </w:rPr>
      </w:pPr>
    </w:p>
    <w:p>
      <w:pPr>
        <w:ind w:left="420" w:hanging="414"/>
        <w:spacing w:after="0"/>
        <w:tabs>
          <w:tab w:leader="none" w:pos="4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Board Meetings</w:t>
      </w:r>
    </w:p>
    <w:p>
      <w:pPr>
        <w:spacing w:after="0" w:line="283"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A Director may, and the Secretary on the requisition of a Director shall, at any time summon a Board meeting or a meeting of a committee of the Board. Notice of a Board meeting shall be deemed to be duly given to a Director if it is given to such Director verbally (including in person or by telephone) or otherwise communicated or sent to such Director by post, electronic means or other mode of representing words in a visible form at such Director’s last known address or in accordance with any other instructions given by such Director to the Company for this purpose at least 48 hours prior to such Board meeting, unless each Director attends or gives his prior written consent to the meeting being held on such shorter notice.</w:t>
      </w:r>
    </w:p>
    <w:p>
      <w:pPr>
        <w:spacing w:after="0" w:line="211" w:lineRule="exact"/>
        <w:rPr>
          <w:sz w:val="20"/>
          <w:szCs w:val="20"/>
          <w:color w:val="auto"/>
        </w:rPr>
      </w:pPr>
    </w:p>
    <w:p>
      <w:pPr>
        <w:ind w:left="420" w:hanging="414"/>
        <w:spacing w:after="0"/>
        <w:tabs>
          <w:tab w:leader="none" w:pos="4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Participation in Meetings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Directors may participate in any meeting by such telephonic, electronic or other communication facilities or means as permit all persons participating in the meeting to communicate with each other simultaneously and instantaneously, and participation in such a meeting shall constitute presence in person at such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Director may participate in any meeting of the Board or a committee thereof while physically present in the United States.</w:t>
      </w:r>
    </w:p>
    <w:p>
      <w:pPr>
        <w:spacing w:after="0" w:line="237" w:lineRule="exact"/>
        <w:rPr>
          <w:sz w:val="20"/>
          <w:szCs w:val="20"/>
          <w:color w:val="auto"/>
        </w:rPr>
      </w:pPr>
    </w:p>
    <w:p>
      <w:pPr>
        <w:ind w:left="420" w:hanging="414"/>
        <w:spacing w:after="0"/>
        <w:tabs>
          <w:tab w:leader="none" w:pos="4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Quorum at Board Meetings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quorum necessary for the transaction of business at a Board meeting shall be a majority of the Directors then in office.</w:t>
      </w:r>
    </w:p>
    <w:p>
      <w:pPr>
        <w:spacing w:after="0" w:line="275" w:lineRule="exact"/>
        <w:rPr>
          <w:sz w:val="20"/>
          <w:szCs w:val="20"/>
          <w:color w:val="auto"/>
        </w:rPr>
      </w:pPr>
    </w:p>
    <w:p>
      <w:pPr>
        <w:ind w:left="420" w:hanging="414"/>
        <w:spacing w:after="0"/>
        <w:tabs>
          <w:tab w:leader="none" w:pos="4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Board to Continue in the Event of Vacancy</w:t>
      </w:r>
    </w:p>
    <w:p>
      <w:pPr>
        <w:spacing w:after="0" w:line="28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Board may act notwithstanding any vacancy in its number but, if and so long as its number is reduced below the number fixed by these Bye-laws as the quorum necessary for the transaction of business at Board meetings, the continuing Directors or Director may act for the purpose of (i) summoning a general meeting; or (ii) preserving the assets of the Company.</w:t>
      </w:r>
    </w:p>
    <w:p>
      <w:pPr>
        <w:spacing w:after="0" w:line="234" w:lineRule="exact"/>
        <w:rPr>
          <w:sz w:val="20"/>
          <w:szCs w:val="20"/>
          <w:color w:val="auto"/>
        </w:rPr>
      </w:pPr>
    </w:p>
    <w:p>
      <w:pPr>
        <w:ind w:left="420" w:hanging="414"/>
        <w:spacing w:after="0"/>
        <w:tabs>
          <w:tab w:leader="none" w:pos="4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Chairman to Preside</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otherwise agreed by a majority of the Directors attending, the Chairman, if there be one, shall act as chairman at all Board meetings at which such person is present. In his absence a chairman shall be appointed or elected by the Directors present at the meeting.</w:t>
      </w:r>
    </w:p>
    <w:p>
      <w:pPr>
        <w:sectPr>
          <w:pgSz w:w="11900" w:h="16838" w:orient="portrait"/>
          <w:cols w:equalWidth="0" w:num="1">
            <w:col w:w="11100"/>
          </w:cols>
          <w:pgMar w:left="340" w:top="1440" w:right="459" w:bottom="3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00"/>
          </w:cols>
          <w:pgMar w:left="340" w:top="1440" w:right="459" w:bottom="345" w:gutter="0" w:footer="0" w:header="0"/>
          <w:type w:val="continuous"/>
        </w:sectPr>
      </w:pPr>
    </w:p>
    <w:bookmarkStart w:id="205" w:name="page206"/>
    <w:bookmarkEnd w:id="2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spacing w:after="0"/>
        <w:tabs>
          <w:tab w:leader="none" w:pos="3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Written Resolutions</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 resolution signed by all the Directors, which may be in counterparts, shall be as valid as if it had been passed at a Board meeting or the applicable committee thereof, duly called and constituted, such resolution to be effective on the date on which the last Director signs the resolution;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resolution shall be valid unless the last signature of a Director is affixed outside the United States (but, notwithstanding Bye-laws 56 and 58 hereof, a Director who is not the last Director to sign may sign a resolution in writing even though he is in the United States). Such resolution shall be deemed to be adopted as an act of the Board or the applicable committee thereof, at the place where, and at the time when, the last signature of a Director is affixed thereto.</w:t>
      </w:r>
    </w:p>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Validity of Prior Acts of the Board</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regulation or alteration to these Bye-laws made by the Company in general meeting shall invalidate any prior act of the Board which would have been valid if that regulation or alteration had not been made.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RECORDS</w:t>
      </w:r>
    </w:p>
    <w:p>
      <w:pPr>
        <w:spacing w:after="0" w:line="279" w:lineRule="exact"/>
        <w:rPr>
          <w:sz w:val="20"/>
          <w:szCs w:val="20"/>
          <w:color w:val="auto"/>
        </w:rPr>
      </w:pPr>
    </w:p>
    <w:p>
      <w:pPr>
        <w:ind w:left="420" w:hanging="414"/>
        <w:spacing w:after="0"/>
        <w:tabs>
          <w:tab w:leader="none" w:pos="4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shall cause minutes to be duly entered in books provided for the purpose:</w:t>
      </w:r>
    </w:p>
    <w:p>
      <w:pPr>
        <w:spacing w:after="0" w:line="279" w:lineRule="exact"/>
        <w:rPr>
          <w:sz w:val="20"/>
          <w:szCs w:val="20"/>
          <w:color w:val="auto"/>
        </w:rPr>
      </w:pPr>
    </w:p>
    <w:p>
      <w:pPr>
        <w:ind w:left="1200" w:hanging="384"/>
        <w:spacing w:after="0"/>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of all elections and appointments of Officers;</w:t>
      </w:r>
    </w:p>
    <w:p>
      <w:pPr>
        <w:spacing w:after="0" w:line="279" w:lineRule="exact"/>
        <w:rPr>
          <w:rFonts w:ascii="Arial" w:cs="Arial" w:eastAsia="Arial" w:hAnsi="Arial"/>
          <w:sz w:val="18"/>
          <w:szCs w:val="18"/>
          <w:color w:val="auto"/>
        </w:rPr>
      </w:pPr>
    </w:p>
    <w:p>
      <w:pPr>
        <w:ind w:left="1200" w:hanging="384"/>
        <w:spacing w:after="0"/>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of the names of the Directors present at each Board meeting and of any committee appointed by the Board; and</w:t>
      </w:r>
    </w:p>
    <w:p>
      <w:pPr>
        <w:spacing w:after="0" w:line="279" w:lineRule="exact"/>
        <w:rPr>
          <w:rFonts w:ascii="Arial" w:cs="Arial" w:eastAsia="Arial" w:hAnsi="Arial"/>
          <w:sz w:val="18"/>
          <w:szCs w:val="18"/>
          <w:color w:val="auto"/>
        </w:rPr>
      </w:pPr>
    </w:p>
    <w:p>
      <w:pPr>
        <w:ind w:left="1220" w:right="760" w:hanging="404"/>
        <w:spacing w:after="0" w:line="277" w:lineRule="auto"/>
        <w:tabs>
          <w:tab w:leader="none" w:pos="11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of all resolutions and proceedings of general meetings of the Members, Board meetings, meetings of managers and meetings of committees appointed by the Board.</w:t>
      </w:r>
    </w:p>
    <w:p>
      <w:pPr>
        <w:spacing w:after="0" w:line="220" w:lineRule="exact"/>
        <w:rPr>
          <w:sz w:val="20"/>
          <w:szCs w:val="20"/>
          <w:color w:val="auto"/>
        </w:rPr>
      </w:pPr>
    </w:p>
    <w:p>
      <w:pPr>
        <w:ind w:left="420" w:hanging="414"/>
        <w:spacing w:after="0"/>
        <w:tabs>
          <w:tab w:leader="none" w:pos="4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Place Where Corporate Records Kept</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Minutes prepared in accordance with the Act and these Bye-laws, and the corporate books and records of the Company, shall be kept by the Secretary at the registered office of the Company in Bermuda.</w:t>
      </w:r>
    </w:p>
    <w:p>
      <w:pPr>
        <w:spacing w:after="0" w:line="220" w:lineRule="exact"/>
        <w:rPr>
          <w:sz w:val="20"/>
          <w:szCs w:val="20"/>
          <w:color w:val="auto"/>
        </w:rPr>
      </w:pPr>
    </w:p>
    <w:p>
      <w:pPr>
        <w:ind w:left="420" w:hanging="414"/>
        <w:spacing w:after="0"/>
        <w:tabs>
          <w:tab w:leader="none" w:pos="4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Form and Use of Seal</w:t>
      </w:r>
    </w:p>
    <w:p>
      <w:pPr>
        <w:spacing w:after="0" w:line="279" w:lineRule="exact"/>
        <w:rPr>
          <w:rFonts w:ascii="Arial" w:cs="Arial" w:eastAsia="Arial" w:hAnsi="Arial"/>
          <w:sz w:val="18"/>
          <w:szCs w:val="18"/>
          <w:b w:val="1"/>
          <w:bCs w:val="1"/>
          <w:color w:val="auto"/>
        </w:rPr>
      </w:pPr>
    </w:p>
    <w:p>
      <w:pPr>
        <w:ind w:left="900" w:right="34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66.1 </w:t>
      </w:r>
      <w:r>
        <w:rPr>
          <w:rFonts w:ascii="Arial" w:cs="Arial" w:eastAsia="Arial" w:hAnsi="Arial"/>
          <w:sz w:val="18"/>
          <w:szCs w:val="18"/>
          <w:color w:val="auto"/>
        </w:rPr>
        <w:t>The Company may adopt a seal in such form as the Board may determine. The Board may adopt one or more duplicate seals for use in or</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Bermuda.</w:t>
      </w:r>
    </w:p>
    <w:p>
      <w:pPr>
        <w:spacing w:after="0" w:line="216" w:lineRule="exact"/>
        <w:rPr>
          <w:sz w:val="20"/>
          <w:szCs w:val="20"/>
          <w:color w:val="auto"/>
        </w:rPr>
      </w:pPr>
    </w:p>
    <w:p>
      <w:pPr>
        <w:ind w:left="900" w:right="320" w:hanging="485"/>
        <w:spacing w:after="0" w:line="342" w:lineRule="auto"/>
        <w:tabs>
          <w:tab w:leader="none" w:pos="880" w:val="left"/>
        </w:tabs>
        <w:rPr>
          <w:sz w:val="20"/>
          <w:szCs w:val="20"/>
          <w:color w:val="auto"/>
        </w:rPr>
      </w:pPr>
      <w:r>
        <w:rPr>
          <w:rFonts w:ascii="Arial" w:cs="Arial" w:eastAsia="Arial" w:hAnsi="Arial"/>
          <w:sz w:val="18"/>
          <w:szCs w:val="18"/>
          <w:b w:val="1"/>
          <w:bCs w:val="1"/>
          <w:color w:val="auto"/>
        </w:rPr>
        <w:t>66.2</w:t>
      </w:r>
      <w:r>
        <w:rPr>
          <w:sz w:val="20"/>
          <w:szCs w:val="20"/>
          <w:color w:val="auto"/>
        </w:rPr>
        <w:tab/>
      </w:r>
      <w:r>
        <w:rPr>
          <w:rFonts w:ascii="Arial" w:cs="Arial" w:eastAsia="Arial" w:hAnsi="Arial"/>
          <w:sz w:val="16"/>
          <w:szCs w:val="16"/>
          <w:color w:val="auto"/>
        </w:rPr>
        <w:t>A seal may, but need not, be affixed to any deed, instrument or document, and if the seal is to be affixed thereto, it shall be attested by the signature of (i) any Director, or (ii) any Officer, or (iii) the Secretary, or (iv) any person authorised by the Board for that purpose.</w:t>
      </w:r>
    </w:p>
    <w:p>
      <w:pPr>
        <w:spacing w:after="0" w:line="178"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8"/>
          <w:szCs w:val="18"/>
          <w:b w:val="1"/>
          <w:bCs w:val="1"/>
          <w:color w:val="auto"/>
        </w:rPr>
        <w:t>66.3</w:t>
      </w:r>
      <w:r>
        <w:rPr>
          <w:sz w:val="20"/>
          <w:szCs w:val="20"/>
          <w:color w:val="auto"/>
        </w:rPr>
        <w:tab/>
      </w:r>
      <w:r>
        <w:rPr>
          <w:rFonts w:ascii="Arial" w:cs="Arial" w:eastAsia="Arial" w:hAnsi="Arial"/>
          <w:sz w:val="16"/>
          <w:szCs w:val="16"/>
          <w:color w:val="auto"/>
        </w:rPr>
        <w:t>A Resident Representative may, but need not, affix the seal of the Company to certify the authenticity of any copies of documents.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ACCOUNTS</w:t>
      </w:r>
    </w:p>
    <w:p>
      <w:pPr>
        <w:spacing w:after="0" w:line="279" w:lineRule="exact"/>
        <w:rPr>
          <w:sz w:val="20"/>
          <w:szCs w:val="20"/>
          <w:color w:val="auto"/>
        </w:rPr>
      </w:pPr>
    </w:p>
    <w:p>
      <w:pPr>
        <w:ind w:left="420" w:hanging="414"/>
        <w:spacing w:after="0"/>
        <w:tabs>
          <w:tab w:leader="none" w:pos="4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Records of Account</w:t>
      </w:r>
    </w:p>
    <w:p>
      <w:pPr>
        <w:spacing w:after="0" w:line="27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67.1  </w:t>
      </w:r>
      <w:r>
        <w:rPr>
          <w:rFonts w:ascii="Arial" w:cs="Arial" w:eastAsia="Arial" w:hAnsi="Arial"/>
          <w:sz w:val="16"/>
          <w:szCs w:val="16"/>
          <w:color w:val="auto"/>
        </w:rPr>
        <w:t>The Board shall cause to be kept proper records of account with respect to all transactions of the Company and in particular with respect to:</w:t>
      </w:r>
    </w:p>
    <w:p>
      <w:pPr>
        <w:spacing w:after="0" w:line="306" w:lineRule="exact"/>
        <w:rPr>
          <w:rFonts w:ascii="Arial" w:cs="Arial" w:eastAsia="Arial" w:hAnsi="Arial"/>
          <w:sz w:val="18"/>
          <w:szCs w:val="18"/>
          <w:b w:val="1"/>
          <w:bCs w:val="1"/>
          <w:color w:val="auto"/>
        </w:rPr>
      </w:pPr>
    </w:p>
    <w:p>
      <w:pPr>
        <w:ind w:left="1200" w:hanging="384"/>
        <w:spacing w:after="0"/>
        <w:tabs>
          <w:tab w:leader="none" w:pos="12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amounts of money received and expended by the Company and the matters in respect of which the receipt and expenditure relates;</w:t>
      </w:r>
    </w:p>
    <w:p>
      <w:pPr>
        <w:spacing w:after="0" w:line="302" w:lineRule="exact"/>
        <w:rPr>
          <w:rFonts w:ascii="Arial" w:cs="Arial" w:eastAsia="Arial" w:hAnsi="Arial"/>
          <w:sz w:val="16"/>
          <w:szCs w:val="16"/>
          <w:color w:val="auto"/>
        </w:rPr>
      </w:pPr>
    </w:p>
    <w:p>
      <w:pPr>
        <w:ind w:left="1200" w:hanging="384"/>
        <w:spacing w:after="0"/>
        <w:tabs>
          <w:tab w:leader="none" w:pos="12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sales and purchases of goods by the Company; and</w:t>
      </w:r>
    </w:p>
    <w:p>
      <w:pPr>
        <w:spacing w:after="0" w:line="279" w:lineRule="exact"/>
        <w:rPr>
          <w:rFonts w:ascii="Arial" w:cs="Arial" w:eastAsia="Arial" w:hAnsi="Arial"/>
          <w:sz w:val="18"/>
          <w:szCs w:val="18"/>
          <w:color w:val="auto"/>
        </w:rPr>
      </w:pPr>
    </w:p>
    <w:p>
      <w:pPr>
        <w:ind w:left="1200" w:hanging="384"/>
        <w:spacing w:after="0"/>
        <w:tabs>
          <w:tab w:leader="none" w:pos="12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assets and liabilities of the Company.</w:t>
      </w:r>
    </w:p>
    <w:p>
      <w:pPr>
        <w:spacing w:after="0" w:line="275" w:lineRule="exact"/>
        <w:rPr>
          <w:sz w:val="20"/>
          <w:szCs w:val="20"/>
          <w:color w:val="auto"/>
        </w:rPr>
      </w:pPr>
    </w:p>
    <w:p>
      <w:pPr>
        <w:ind w:left="900" w:right="340" w:hanging="485"/>
        <w:spacing w:after="0" w:line="277" w:lineRule="auto"/>
        <w:tabs>
          <w:tab w:leader="none" w:pos="880" w:val="left"/>
        </w:tabs>
        <w:rPr>
          <w:sz w:val="20"/>
          <w:szCs w:val="20"/>
          <w:color w:val="auto"/>
        </w:rPr>
      </w:pPr>
      <w:r>
        <w:rPr>
          <w:rFonts w:ascii="Arial" w:cs="Arial" w:eastAsia="Arial" w:hAnsi="Arial"/>
          <w:sz w:val="18"/>
          <w:szCs w:val="18"/>
          <w:b w:val="1"/>
          <w:bCs w:val="1"/>
          <w:color w:val="auto"/>
        </w:rPr>
        <w:t>67.2</w:t>
      </w:r>
      <w:r>
        <w:rPr>
          <w:sz w:val="20"/>
          <w:szCs w:val="20"/>
          <w:color w:val="auto"/>
        </w:rPr>
        <w:tab/>
      </w:r>
      <w:r>
        <w:rPr>
          <w:rFonts w:ascii="Arial" w:cs="Arial" w:eastAsia="Arial" w:hAnsi="Arial"/>
          <w:sz w:val="18"/>
          <w:szCs w:val="18"/>
          <w:color w:val="auto"/>
        </w:rPr>
        <w:t>Such records of account shall be kept at the registered office of the Company, or subject to the Act, at such other place in Bermuda as the Board thinks fit and shall be available for inspection by the Directors during normal business hours.</w:t>
      </w:r>
    </w:p>
    <w:p>
      <w:pPr>
        <w:spacing w:after="0" w:line="224"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8"/>
          <w:szCs w:val="18"/>
          <w:b w:val="1"/>
          <w:bCs w:val="1"/>
          <w:color w:val="auto"/>
        </w:rPr>
        <w:t>67.3</w:t>
      </w:r>
      <w:r>
        <w:rPr>
          <w:sz w:val="20"/>
          <w:szCs w:val="20"/>
          <w:color w:val="auto"/>
        </w:rPr>
        <w:tab/>
      </w:r>
      <w:r>
        <w:rPr>
          <w:rFonts w:ascii="Arial" w:cs="Arial" w:eastAsia="Arial" w:hAnsi="Arial"/>
          <w:sz w:val="16"/>
          <w:szCs w:val="16"/>
          <w:color w:val="auto"/>
        </w:rPr>
        <w:t>Such records of account shall be retained for a minimum period of five years from the date on which they are prepared.</w:t>
      </w:r>
    </w:p>
    <w:p>
      <w:pPr>
        <w:spacing w:after="0" w:line="279" w:lineRule="exact"/>
        <w:rPr>
          <w:sz w:val="20"/>
          <w:szCs w:val="20"/>
          <w:color w:val="auto"/>
        </w:rPr>
      </w:pPr>
    </w:p>
    <w:p>
      <w:pPr>
        <w:ind w:left="420" w:hanging="414"/>
        <w:spacing w:after="0"/>
        <w:tabs>
          <w:tab w:leader="none" w:pos="4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 End</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financial year end of the Company may be determined by resolution of the Board and failing such resolution shall be 31st December in each year.</w:t>
      </w:r>
    </w:p>
    <w:p>
      <w:pPr>
        <w:sectPr>
          <w:pgSz w:w="11900" w:h="16838" w:orient="portrait"/>
          <w:cols w:equalWidth="0" w:num="1">
            <w:col w:w="11120"/>
          </w:cols>
          <w:pgMar w:left="340" w:top="175" w:right="439" w:bottom="871" w:gutter="0" w:footer="0" w:header="0"/>
        </w:sectPr>
      </w:pPr>
    </w:p>
    <w:bookmarkStart w:id="207" w:name="page208"/>
    <w:bookmarkEnd w:id="207"/>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274" w:right="1440" w:bottom="1440" w:gutter="0" w:footer="0" w:header="0"/>
        </w:sectPr>
      </w:pPr>
    </w:p>
    <w:bookmarkStart w:id="208" w:name="page209"/>
    <w:bookmarkEnd w:id="20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AUDITS</w:t>
      </w:r>
    </w:p>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Annual Audit</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Subject to any rights to waive laying of accounts or appointment of an Auditor pursuant to the Act, the accounts of the Company shall be audited at least once in every year.</w:t>
      </w:r>
    </w:p>
    <w:p>
      <w:pPr>
        <w:spacing w:after="0" w:line="220" w:lineRule="exact"/>
        <w:rPr>
          <w:sz w:val="20"/>
          <w:szCs w:val="20"/>
          <w:color w:val="auto"/>
        </w:rPr>
      </w:pPr>
    </w:p>
    <w:p>
      <w:pPr>
        <w:ind w:left="400" w:hanging="394"/>
        <w:spacing w:after="0"/>
        <w:tabs>
          <w:tab w:leader="none" w:pos="4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Auditor</w:t>
      </w:r>
    </w:p>
    <w:p>
      <w:pPr>
        <w:spacing w:after="0" w:line="279" w:lineRule="exact"/>
        <w:rPr>
          <w:rFonts w:ascii="Arial" w:cs="Arial" w:eastAsia="Arial" w:hAnsi="Arial"/>
          <w:sz w:val="18"/>
          <w:szCs w:val="18"/>
          <w:b w:val="1"/>
          <w:bCs w:val="1"/>
          <w:color w:val="auto"/>
        </w:rPr>
      </w:pPr>
    </w:p>
    <w:p>
      <w:pPr>
        <w:ind w:left="900" w:right="10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70.1 </w:t>
      </w:r>
      <w:r>
        <w:rPr>
          <w:rFonts w:ascii="Arial" w:cs="Arial" w:eastAsia="Arial" w:hAnsi="Arial"/>
          <w:sz w:val="18"/>
          <w:szCs w:val="18"/>
          <w:color w:val="auto"/>
        </w:rPr>
        <w:t>Subject to the Act, at the annual general meeting or at a subsequent special general meeting in each year, an independent representative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shall be appointed by them as Auditor of the accounts of the Company. Any accountants appointed as Auditor shall in the first instance be approved by the Audit Committee and the Board.</w:t>
      </w:r>
    </w:p>
    <w:p>
      <w:pPr>
        <w:spacing w:after="0" w:line="229" w:lineRule="exact"/>
        <w:rPr>
          <w:rFonts w:ascii="Arial" w:cs="Arial" w:eastAsia="Arial" w:hAnsi="Arial"/>
          <w:sz w:val="18"/>
          <w:szCs w:val="18"/>
          <w:b w:val="1"/>
          <w:bCs w:val="1"/>
          <w:color w:val="auto"/>
        </w:rPr>
      </w:pPr>
    </w:p>
    <w:p>
      <w:pPr>
        <w:ind w:left="900" w:right="14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70.2 </w:t>
      </w:r>
      <w:r>
        <w:rPr>
          <w:rFonts w:ascii="Arial" w:cs="Arial" w:eastAsia="Arial" w:hAnsi="Arial"/>
          <w:sz w:val="18"/>
          <w:szCs w:val="18"/>
          <w:color w:val="auto"/>
        </w:rPr>
        <w:t>The Auditor may be a Member but no Director, Officer or employee of the Company shall, during his continuance in office, be eligible to act</w:t>
      </w:r>
      <w:r>
        <w:rPr>
          <w:rFonts w:ascii="Arial" w:cs="Arial" w:eastAsia="Arial" w:hAnsi="Arial"/>
          <w:sz w:val="18"/>
          <w:szCs w:val="18"/>
          <w:b w:val="1"/>
          <w:bCs w:val="1"/>
          <w:color w:val="auto"/>
        </w:rPr>
        <w:t xml:space="preserve"> </w:t>
      </w:r>
      <w:r>
        <w:rPr>
          <w:rFonts w:ascii="Arial" w:cs="Arial" w:eastAsia="Arial" w:hAnsi="Arial"/>
          <w:sz w:val="18"/>
          <w:szCs w:val="18"/>
          <w:color w:val="auto"/>
        </w:rPr>
        <w:t>as an Auditor of the Company.</w:t>
      </w:r>
    </w:p>
    <w:p>
      <w:pPr>
        <w:spacing w:after="0" w:line="215" w:lineRule="exact"/>
        <w:rPr>
          <w:rFonts w:ascii="Arial" w:cs="Arial" w:eastAsia="Arial" w:hAnsi="Arial"/>
          <w:sz w:val="18"/>
          <w:szCs w:val="18"/>
          <w:b w:val="1"/>
          <w:bCs w:val="1"/>
          <w:color w:val="auto"/>
        </w:rPr>
      </w:pPr>
    </w:p>
    <w:p>
      <w:pPr>
        <w:ind w:left="420" w:hanging="414"/>
        <w:spacing w:after="0"/>
        <w:tabs>
          <w:tab w:leader="none" w:pos="4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Auditor</w:t>
      </w:r>
    </w:p>
    <w:p>
      <w:pPr>
        <w:spacing w:after="0" w:line="279" w:lineRule="exact"/>
        <w:rPr>
          <w:rFonts w:ascii="Arial" w:cs="Arial" w:eastAsia="Arial" w:hAnsi="Arial"/>
          <w:sz w:val="18"/>
          <w:szCs w:val="18"/>
          <w:b w:val="1"/>
          <w:bCs w:val="1"/>
          <w:color w:val="auto"/>
        </w:rPr>
      </w:pPr>
    </w:p>
    <w:p>
      <w:pPr>
        <w:ind w:left="900" w:right="60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71.1 </w:t>
      </w:r>
      <w:r>
        <w:rPr>
          <w:rFonts w:ascii="Arial" w:cs="Arial" w:eastAsia="Arial" w:hAnsi="Arial"/>
          <w:sz w:val="18"/>
          <w:szCs w:val="18"/>
          <w:color w:val="auto"/>
        </w:rPr>
        <w:t>The remuneration of an Auditor appointed by the Members shall be fixed by the Company in general meeting or in such manner as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may determine.</w:t>
      </w:r>
    </w:p>
    <w:p>
      <w:pPr>
        <w:spacing w:after="0" w:line="21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71.2  </w:t>
      </w:r>
      <w:r>
        <w:rPr>
          <w:rFonts w:ascii="Arial" w:cs="Arial" w:eastAsia="Arial" w:hAnsi="Arial"/>
          <w:sz w:val="16"/>
          <w:szCs w:val="16"/>
          <w:color w:val="auto"/>
        </w:rPr>
        <w:t>The remuneration of an Auditor appointed by the Board to fill a casual vacancy in accordance with these Bye-laws shall be fixed by the Board.</w:t>
      </w:r>
    </w:p>
    <w:p>
      <w:pPr>
        <w:spacing w:after="0" w:line="302" w:lineRule="exact"/>
        <w:rPr>
          <w:rFonts w:ascii="Arial" w:cs="Arial" w:eastAsia="Arial" w:hAnsi="Arial"/>
          <w:sz w:val="18"/>
          <w:szCs w:val="18"/>
          <w:b w:val="1"/>
          <w:bCs w:val="1"/>
          <w:color w:val="auto"/>
        </w:rPr>
      </w:pPr>
    </w:p>
    <w:p>
      <w:pPr>
        <w:ind w:left="420" w:hanging="414"/>
        <w:spacing w:after="0"/>
        <w:tabs>
          <w:tab w:leader="none" w:pos="4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Auditor</w:t>
      </w:r>
    </w:p>
    <w:p>
      <w:pPr>
        <w:spacing w:after="0" w:line="279" w:lineRule="exact"/>
        <w:rPr>
          <w:rFonts w:ascii="Arial" w:cs="Arial" w:eastAsia="Arial" w:hAnsi="Arial"/>
          <w:sz w:val="18"/>
          <w:szCs w:val="18"/>
          <w:b w:val="1"/>
          <w:bCs w:val="1"/>
          <w:color w:val="auto"/>
        </w:rPr>
      </w:pPr>
    </w:p>
    <w:p>
      <w:pPr>
        <w:ind w:left="900" w:right="540" w:hanging="486"/>
        <w:spacing w:after="0" w:line="31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72.1 </w:t>
      </w:r>
      <w:r>
        <w:rPr>
          <w:rFonts w:ascii="Arial" w:cs="Arial" w:eastAsia="Arial" w:hAnsi="Arial"/>
          <w:sz w:val="17"/>
          <w:szCs w:val="17"/>
          <w:color w:val="auto"/>
        </w:rPr>
        <w:t>The financial statements provided for by these Bye-laws shall be audited by the Auditor in accordance with generally accepted auditing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The Auditor shall make a written report thereon in accordance with generally accepted auditing standards.</w:t>
      </w:r>
    </w:p>
    <w:p>
      <w:pPr>
        <w:spacing w:after="0" w:line="193" w:lineRule="exact"/>
        <w:rPr>
          <w:rFonts w:ascii="Arial" w:cs="Arial" w:eastAsia="Arial" w:hAnsi="Arial"/>
          <w:sz w:val="18"/>
          <w:szCs w:val="18"/>
          <w:b w:val="1"/>
          <w:bCs w:val="1"/>
          <w:color w:val="auto"/>
        </w:rPr>
      </w:pPr>
    </w:p>
    <w:p>
      <w:pPr>
        <w:ind w:left="900" w:right="40" w:hanging="48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72.2 </w:t>
      </w:r>
      <w:r>
        <w:rPr>
          <w:rFonts w:ascii="Arial" w:cs="Arial" w:eastAsia="Arial" w:hAnsi="Arial"/>
          <w:sz w:val="18"/>
          <w:szCs w:val="18"/>
          <w:color w:val="auto"/>
        </w:rPr>
        <w:t>The generally accepted auditing standards referred to in this Bye-law may be those of a country or jurisdiction other than Bermuda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generally accepted auditing standards as may be provided for in the Act. If so, the financial statements and the report of the Auditor shall identify the generally accepted auditing standards used.</w:t>
      </w:r>
    </w:p>
    <w:p>
      <w:pPr>
        <w:spacing w:after="0" w:line="229" w:lineRule="exact"/>
        <w:rPr>
          <w:rFonts w:ascii="Arial" w:cs="Arial" w:eastAsia="Arial" w:hAnsi="Arial"/>
          <w:sz w:val="18"/>
          <w:szCs w:val="18"/>
          <w:b w:val="1"/>
          <w:bCs w:val="1"/>
          <w:color w:val="auto"/>
        </w:rPr>
      </w:pPr>
    </w:p>
    <w:p>
      <w:pPr>
        <w:ind w:left="400" w:hanging="394"/>
        <w:spacing w:after="0"/>
        <w:tabs>
          <w:tab w:leader="none" w:pos="4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Records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Auditor shall at all reasonable times have access to all books kept by the Company and to all accounts and vouchers relating thereto, and the Auditor may call on the Directors or Officers for any information in their possession relating to the books or affairs of the Company.</w:t>
      </w:r>
    </w:p>
    <w:p>
      <w:pPr>
        <w:spacing w:after="0" w:line="220" w:lineRule="exact"/>
        <w:rPr>
          <w:sz w:val="20"/>
          <w:szCs w:val="20"/>
          <w:color w:val="auto"/>
        </w:rPr>
      </w:pPr>
    </w:p>
    <w:p>
      <w:pPr>
        <w:ind w:left="420" w:hanging="414"/>
        <w:spacing w:after="0"/>
        <w:tabs>
          <w:tab w:leader="none" w:pos="4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79" w:lineRule="exact"/>
        <w:rPr>
          <w:rFonts w:ascii="Arial" w:cs="Arial" w:eastAsia="Arial" w:hAnsi="Arial"/>
          <w:sz w:val="18"/>
          <w:szCs w:val="18"/>
          <w:b w:val="1"/>
          <w:bCs w:val="1"/>
          <w:color w:val="auto"/>
        </w:rPr>
      </w:pPr>
    </w:p>
    <w:p>
      <w:pPr>
        <w:ind w:left="900" w:right="440" w:hanging="48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74.1 </w:t>
      </w:r>
      <w:r>
        <w:rPr>
          <w:rFonts w:ascii="Arial" w:cs="Arial" w:eastAsia="Arial" w:hAnsi="Arial"/>
          <w:sz w:val="18"/>
          <w:szCs w:val="18"/>
          <w:color w:val="auto"/>
        </w:rPr>
        <w:t>Subject to any rights to waive laying of accounts pursuant to the Act, financial statements, as required by the Act, shall be laid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in a general meeting annually.</w:t>
      </w:r>
    </w:p>
    <w:p>
      <w:pPr>
        <w:spacing w:after="0" w:line="215" w:lineRule="exact"/>
        <w:rPr>
          <w:rFonts w:ascii="Arial" w:cs="Arial" w:eastAsia="Arial" w:hAnsi="Arial"/>
          <w:sz w:val="18"/>
          <w:szCs w:val="18"/>
          <w:b w:val="1"/>
          <w:bCs w:val="1"/>
          <w:color w:val="auto"/>
        </w:rPr>
      </w:pPr>
    </w:p>
    <w:p>
      <w:pPr>
        <w:ind w:left="420" w:hanging="414"/>
        <w:spacing w:after="0"/>
        <w:tabs>
          <w:tab w:leader="none" w:pos="4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Auditor’s Report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report of the Auditor shall be submitted to the Members in general meeting.</w:t>
      </w:r>
    </w:p>
    <w:p>
      <w:pPr>
        <w:spacing w:after="0" w:line="2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Vacancy in the Office of Auditor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may fill any casual vacancy in the office of the auditor.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VOLUNTARY WINDING-UP AND DISSOLUTION</w:t>
      </w:r>
    </w:p>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Winding-Up</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the Company shall be wound up the liquidator may, with the sanction of a resolution of the Members, divide amongst the Members in specie or in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the trustees upon such trusts for the benefit of the Members as the liquidator shall think fit, but so that no Member shall be compelled to accept any shares or other securities or assets whereon there is any liability.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TO CONSTITUTION</w:t>
      </w:r>
    </w:p>
    <w:p>
      <w:pPr>
        <w:spacing w:after="0" w:line="279" w:lineRule="exact"/>
        <w:rPr>
          <w:sz w:val="20"/>
          <w:szCs w:val="20"/>
          <w:color w:val="auto"/>
        </w:rPr>
      </w:pPr>
    </w:p>
    <w:p>
      <w:pPr>
        <w:ind w:left="420" w:hanging="414"/>
        <w:spacing w:after="0"/>
        <w:tabs>
          <w:tab w:leader="none" w:pos="4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Bye-laws</w:t>
      </w:r>
    </w:p>
    <w:p>
      <w:pPr>
        <w:spacing w:after="0" w:line="2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 Bye-law may be rescinded, altered or amended and no new Bye-law may be made save in accordance with the Act and until the same has been approved by a resolution of the Board and a resolution of the Members at any annual or special general meeting.</w:t>
      </w:r>
    </w:p>
    <w:p>
      <w:pPr>
        <w:sectPr>
          <w:pgSz w:w="11900" w:h="16838" w:orient="portrait"/>
          <w:cols w:equalWidth="0" w:num="1">
            <w:col w:w="11200"/>
          </w:cols>
          <w:pgMar w:left="340" w:top="175" w:right="359" w:bottom="226" w:gutter="0" w:footer="0" w:header="0"/>
        </w:sectPr>
      </w:pPr>
    </w:p>
    <w:bookmarkStart w:id="210" w:name="page211"/>
    <w:bookmarkEnd w:id="210"/>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625" w:right="1440" w:bottom="1440" w:gutter="0" w:footer="0" w:header="0"/>
        </w:sectPr>
      </w:pPr>
    </w:p>
    <w:bookmarkStart w:id="211" w:name="page212"/>
    <w:bookmarkEnd w:id="211"/>
    <w:p>
      <w:pPr>
        <w:spacing w:after="0" w:line="32" w:lineRule="exact"/>
        <w:rPr>
          <w:sz w:val="20"/>
          <w:szCs w:val="20"/>
          <w:color w:val="auto"/>
        </w:rPr>
      </w:pPr>
    </w:p>
    <w:p>
      <w:pPr>
        <w:ind w:left="420" w:hanging="414"/>
        <w:spacing w:after="0"/>
        <w:tabs>
          <w:tab w:leader="none" w:pos="4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Memorandum of Association</w:t>
      </w:r>
    </w:p>
    <w:p>
      <w:pPr>
        <w:spacing w:after="0" w:line="2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 alteration or amendment to the Memorandum of Association may be made save in accordance with the Act and until same has been approved by a resolution of the Board and a resolution of the Members at any annual or special general meeting.</w:t>
      </w:r>
    </w:p>
    <w:p>
      <w:pPr>
        <w:spacing w:after="0" w:line="220" w:lineRule="exact"/>
        <w:rPr>
          <w:sz w:val="20"/>
          <w:szCs w:val="20"/>
          <w:color w:val="auto"/>
        </w:rPr>
      </w:pPr>
    </w:p>
    <w:p>
      <w:pPr>
        <w:ind w:left="420" w:hanging="414"/>
        <w:spacing w:after="0"/>
        <w:tabs>
          <w:tab w:leader="none" w:pos="4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Merger or Amalgamation</w:t>
      </w:r>
    </w:p>
    <w:p>
      <w:pPr>
        <w:spacing w:after="0" w:line="28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respect of any merger or amalgamation that the Act requires to be approved by the Members, the necessary general meeting quorum shall be as set out in Bye-law 29 and the necessary Members’ approval shall require the affirmative vote of a majority of the votes attaching to all issued and outstanding shares entitled to vote at the meeting.</w:t>
      </w:r>
    </w:p>
    <w:p>
      <w:pPr>
        <w:spacing w:after="0" w:line="234" w:lineRule="exact"/>
        <w:rPr>
          <w:sz w:val="20"/>
          <w:szCs w:val="20"/>
          <w:color w:val="auto"/>
        </w:rPr>
      </w:pPr>
    </w:p>
    <w:p>
      <w:pPr>
        <w:ind w:left="420" w:hanging="414"/>
        <w:spacing w:after="0"/>
        <w:tabs>
          <w:tab w:leader="none" w:pos="4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may exercise all the powers of the Company to discontinue the Company to a jurisdiction outside Bermuda pursuant to the Act.</w:t>
      </w:r>
    </w:p>
    <w:p>
      <w:pPr>
        <w:spacing w:after="0" w:line="275" w:lineRule="exact"/>
        <w:rPr>
          <w:sz w:val="20"/>
          <w:szCs w:val="20"/>
          <w:color w:val="auto"/>
        </w:rPr>
      </w:pPr>
    </w:p>
    <w:p>
      <w:pPr>
        <w:ind w:left="420" w:hanging="414"/>
        <w:spacing w:after="0"/>
        <w:tabs>
          <w:tab w:leader="none" w:pos="4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Opportunities.</w:t>
      </w:r>
    </w:p>
    <w:p>
      <w:pPr>
        <w:spacing w:after="0" w:line="28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applicable law (i) no Member, Affiliate of a Member (other than the Company and its Subsidiaries), or Director (other than a Director who is an Officer, manager or employee of the Company or any of its Subsidiaries), and none of their respective directors, officers, employees, agents, general or limited partners, managers, members or shareholders (or any director, officer, employee, agent, general or limited partner, manager, member or shareholder of any of the foregoing) (any of the foregoing Persons, an “</w:t>
      </w:r>
      <w:r>
        <w:rPr>
          <w:rFonts w:ascii="Arial" w:cs="Arial" w:eastAsia="Arial" w:hAnsi="Arial"/>
          <w:sz w:val="16"/>
          <w:szCs w:val="16"/>
          <w:u w:val="single" w:color="auto"/>
          <w:color w:val="auto"/>
        </w:rPr>
        <w:t>Excluded Person</w:t>
      </w:r>
      <w:r>
        <w:rPr>
          <w:rFonts w:ascii="Arial" w:cs="Arial" w:eastAsia="Arial" w:hAnsi="Arial"/>
          <w:sz w:val="16"/>
          <w:szCs w:val="16"/>
          <w:color w:val="auto"/>
        </w:rPr>
        <w:t>”), shall (A) have any duty to communicate or present to the Company or any of its Subsidiaries any investment or business opportunity or prospective transaction, agreement, arrangement or other economic advantage in which the Company or any of its Subsidiaries may, but for the provisions of this Bye-law 82, have any interest or expectancy (each, a “</w:t>
      </w:r>
      <w:r>
        <w:rPr>
          <w:rFonts w:ascii="Arial" w:cs="Arial" w:eastAsia="Arial" w:hAnsi="Arial"/>
          <w:sz w:val="16"/>
          <w:szCs w:val="16"/>
          <w:u w:val="single" w:color="auto"/>
          <w:color w:val="auto"/>
        </w:rPr>
        <w:t>Corporate Opportunity</w:t>
      </w:r>
      <w:r>
        <w:rPr>
          <w:rFonts w:ascii="Arial" w:cs="Arial" w:eastAsia="Arial" w:hAnsi="Arial"/>
          <w:sz w:val="16"/>
          <w:szCs w:val="16"/>
          <w:color w:val="auto"/>
        </w:rPr>
        <w:t>”), even if any such Corporate Opportunity is one that the Company or its Subsidiaries might reasonably be deemed to have pursued or had the ability or desire to pursue if granted the opportunity to do so, or (B) be deemed to have breached any fiduciary or other duty or obligation to the Company, or be liable to the Company to any extent, by reason of the fact that any such Excluded Person pursues, acquires or otherwise receives the benefit of a Corporate Opportunity for itself or its Affiliates or directs, sells, assigns, or transfers such Corporate Opportunity to another Person (including without limitation any other Excluded Person) or does not communicate or present to the Company or any of its Subsidiaries information regarding such Corporate Opportunity, and (ii) no Excluded Person shall have any other duty (as a majority or Controlling shareholder, Director or otherwise) to the other Members, the Company, or any of its Subsidiaries. The Company on behalf of itself and its Subsidiaries renounces any interest in any existing or future Corporate Opportunity and any expectancy that any such Corporate Opportunity will, would or should be offered to the Company. To the fullest extent permitted by applicable law, any Excluded Person (other than any Officer, manager or employee of the Company or one of its Subsidiaries) may engage in, invest in, or participate in, in each case, as a director, officer, employee, agent, general or limited partner, manager, member or shareholder, other businesses and/or non-business activities, whether or not in connection with the insurance industry and whether or not competing with any present or future activities of the Company, and any such Excluded Person may trade investments for its, his, or her own account and/or on behalf of one or more individuals or entities (whether existing or yet to be created). Notwithstanding the foregoing, for purposes of this Bye-law 82, the terms “Member” and “Excluded Person” shall exclude any Officer, manager, or employee of the Company or any of its Subsidiaries.</w:t>
      </w:r>
    </w:p>
    <w:p>
      <w:pPr>
        <w:spacing w:after="0" w:line="232" w:lineRule="exact"/>
        <w:rPr>
          <w:sz w:val="20"/>
          <w:szCs w:val="20"/>
          <w:color w:val="auto"/>
        </w:rPr>
      </w:pPr>
    </w:p>
    <w:p>
      <w:pPr>
        <w:ind w:left="420" w:hanging="414"/>
        <w:spacing w:after="0"/>
        <w:tabs>
          <w:tab w:leader="none" w:pos="4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Jurisdiction</w:t>
      </w:r>
    </w:p>
    <w:p>
      <w:pPr>
        <w:spacing w:after="0" w:line="2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event that any dispute arises concerning the Act or out of or in connection with these Bye-laws, including any question regarding the existence and scope of any Bye-law and/or whether there has been any breach of the Act or these Bye-laws by an Officer or Director (whether or not such a claim is brought in the name of a Member or in the name of the Company), any such dispute shall be subject to the exclusive jurisdiction of the Supreme Court of Bermuda.</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00"/>
          </w:cols>
          <w:pgMar w:left="340" w:top="1440" w:right="359" w:bottom="1440" w:gutter="0" w:footer="0" w:header="0"/>
          <w:type w:val="continuous"/>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31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James River Group Holdings, Ltd. (“we,” “our”, “us”, or the “Company”) has one class of securities registered under Section 12 of the Securities Exchange Act of 1934, as amended: our common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following summary descriptions of our share capital, memorandum of association and fourth amended and restated bye-laws (“bye-laws”) are intended as summaries only and are qualified in their entirety by reference to our memorandum of association and bye-laws, copies of which are filed as exhibits to our Annual Report on Form 10-K, and by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Capital</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authorized share capital consists of 200,000,000 common shares, par value $0.0002 per share, and 20,000,000 preferred shares, par value $0.00125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Bermuda law and our bye-laws,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Such rights, preferences, powers and limitations as may be established could have the effect of discouraging an attempt to obtain control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All shares sold pursuant to a registered offering are, when issued, fully paid and non-assessable.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The board may, subject to Bermuda law and our bye-laws, declare a dividend to be paid to our members as of a record date determined by the board, in proportion to the number of shares held by such holder, subject to any rights of holders of preferred shares. No unpaid dividend shall bear any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Shareholders have one vote for each common share held by them and are entitled to vote, on a non-cumulative basis, at all meetings of members.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Bye-laws Provisions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provisions of our bye-laws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of directors, which could result in an improvement of such persons’ terms.</w:t>
      </w:r>
    </w:p>
    <w:p>
      <w:pPr>
        <w:sectPr>
          <w:pgSz w:w="11900" w:h="16838" w:orient="portrait"/>
          <w:cols w:equalWidth="0" w:num="1">
            <w:col w:w="11240"/>
          </w:cols>
          <w:pgMar w:left="320" w:top="121"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bye-laws provide that the board shall consist of no less than five directors, and no more than 15 directors, as determined by the board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is divided into three classes, class I, class II and class III, with members of each class serving one-year terms expiring at the next annual general meeting and until their successors are elected or appointed; except that each director serving as a class I director shall hold office until the annual general meeting held in 2024. Our board shall no longer be divided into classes after our annual general meeting held in 2024. Our bye-laws further provide that a majority of the directors then in office may appoint any person as a director to fill a vacancy on the board occurring as a result of the newly-created directorship and have qualified and subject to his office being vacated.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directors may be removed only for cause by members holding voting shares entitled to cast a majority of the votes of all issued and outstanding voting shares at any special general meeting convened and held in accordance with our bye-laws, by the affirmative vote of all such members. Any vacancy on our board, including a vacancy resulting from an enlargement of our board, may be filled only by the vote of a majority of our directors then in office.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Our bye-laws provide that shareholders may not take any action by written consent in lieu of a meeting, except that holders of shares of any class or series of preferred shares may vote by written consent in lieu of a meeting on any matter subject to a class vote to the extent provided in the designation of terms of such class or series of preferred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Advance Notice Procedure</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bye-laws establish an advance notice procedure for shareholders to make nominations of candidates for election as directors or to bring other business before an annual meeting of our shareholders. The bye-laws provide that any shareholder wishing to nominate persons for election as directors at, or bring other business before, an annual meeting must deliver to our secretary a written notice of the shareholder’s intention to do so.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 be timely, the shareholder’s notice must be delivered to or mailed and received by us not less than 90 days nor more than 120 days before the anniversary date of the preceding annual meeting, except that if the annual meeting is set for a date that is not within 25 days before or after such anniversary date, we must receive the notice not earlier than 120 days prior to such annual general meeting and not later than the later of 70 days prior to the date of the general meeting or the close of business on the tenth day following the earlier of the date on which notice of the annual general meeting was posted to shareholders or the date on which public disclosure of the date of the annual general meeting was made. The notice must include the following information:</w:t>
      </w:r>
    </w:p>
    <w:p>
      <w:pPr>
        <w:spacing w:after="0" w:line="182" w:lineRule="exact"/>
        <w:rPr>
          <w:sz w:val="20"/>
          <w:szCs w:val="20"/>
          <w:color w:val="auto"/>
        </w:rPr>
      </w:pPr>
    </w:p>
    <w:p>
      <w:pPr>
        <w:ind w:left="660" w:right="1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name and address of the shareholder who intends to make the nomination and the name and address of the person or persons to be nominated or the nature of the business to be proposed;</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representation that the shareholder is a holder of record of our share capital entitled to vote at such meeting and intends to appear in person or by proxy at the meeting to nominate the person or persons or to introduce the business specified in the notice;</w:t>
      </w:r>
    </w:p>
    <w:p>
      <w:pPr>
        <w:sectPr>
          <w:pgSz w:w="11900" w:h="16838" w:orient="portrait"/>
          <w:cols w:equalWidth="0" w:num="1">
            <w:col w:w="11240"/>
          </w:cols>
          <w:pgMar w:left="320" w:top="1421" w:right="339" w:bottom="1440" w:gutter="0" w:footer="0" w:header="0"/>
        </w:sectPr>
      </w:pPr>
    </w:p>
    <w:bookmarkStart w:id="214" w:name="page215"/>
    <w:bookmarkEnd w:id="214"/>
    <w:p>
      <w:pPr>
        <w:ind w:left="660" w:right="38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applicable, a description of all arrangements or understandings between the shareholder and each nominee and any other person or persons, naming such person or persons, pursuant to which the nomination is to be made by the shareholder;</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such other information regarding each nominee to be proposed by such shareholder as would be required to be included in a proxy statement filed under the SEC’s proxy rules if the nominee has been nominated, or intended to be nominated, by the board of directors;</w:t>
      </w:r>
    </w:p>
    <w:p>
      <w:pPr>
        <w:spacing w:after="0" w:line="38" w:lineRule="exact"/>
        <w:rPr>
          <w:rFonts w:ascii="Arial" w:cs="Arial" w:eastAsia="Arial" w:hAnsi="Arial"/>
          <w:sz w:val="17"/>
          <w:szCs w:val="17"/>
          <w:color w:val="auto"/>
        </w:rPr>
      </w:pPr>
    </w:p>
    <w:p>
      <w:pPr>
        <w:ind w:left="660" w:right="820" w:hanging="328"/>
        <w:spacing w:after="0" w:line="308" w:lineRule="auto"/>
        <w:tabs>
          <w:tab w:leader="none" w:pos="6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brief description of any business desired to be brought before the general meeting, the text of the proposal or business, the reasons for conducting such business at the general meeting and any material interest in such business of such shareholder;</w:t>
      </w:r>
    </w:p>
    <w:p>
      <w:pPr>
        <w:spacing w:after="0" w:line="38"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applicable, the consent of each nominee to serve as a director if elected; and such other information that the board of directors may request in its discretion;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class and number of shares that are held of record or beneficially owned by the shareholder;</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 order to create or mitigate the loss to, manage risk or benefit of share price changes for, or increase or decrease the voting power of the shareholder;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principal amount of and description of indebtedness of the Company or any of its subsidiaries that is held by the shareholder;</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representation as to whether the shareholder intends or is part of a group that intends to deliver a proxy statement to shareholders or to otherwise solicit proxies from other shareholders;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other information that the board of directors may request in its discretion.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Repurchase Our Common Shares in the Event of Adverse Tax Consequences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Under our bye-laws and subject to Bermuda law, we have the option, but not the obligation, to purchase all or part of the shares of the Company held by a shareholder at fair market value (as determined by the average closing sales prices of the shares on certain exchanges, or if there is no sales price or quotation available, by an investment advisor selected by our board of directors and reasonably approved by the shareholder whose shares are being purchased) to the extent that the board of directors determines that such shareholder’s ownership of such common shares may result in an adverse tax consequence or materially adverse legal or regulatory treatment for the Company or any of its subsidiaries or any other person; provided that the board of directors will use reasonable efforts to exercise such discretion equally among similarly situated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Memorandum of Association and Bye-laws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Amendments to each of our memorandum of association and bye-laws require an affirmative vote of the majority of our board and a majority of votes cast at any annual or special meeting of shareholders.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These provisions make it more difficult for any person to remove or amend any provisions in our memorandum of association and bye-laws that may have an anti-takeover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annual general meeting will be held each year. A special general meeting will be held when, in the judgment of the Chairman, any two directors, any director and our secretary or the board, such a meeting is necessary. In addition, upon receiving a requisition from holders of at least 10% of our issued and outstanding share capital, the board shall convene a special general meeting. At least two or more persons representing more than 50% of our aggregate voting power must be present to constitute a quorum for the transaction of business at a general meeting, provided that if we shall at any time have only one member, one member present in person or by proxy shall form a quorum for the transaction of business at any general meeting held during such time. No shareholder may participate in any general meeting during which the</w:t>
      </w:r>
    </w:p>
    <w:p>
      <w:pPr>
        <w:sectPr>
          <w:pgSz w:w="11900" w:h="16838" w:orient="portrait"/>
          <w:cols w:equalWidth="0" w:num="1">
            <w:col w:w="11220"/>
          </w:cols>
          <w:pgMar w:left="320" w:top="1421" w:right="359" w:bottom="1440" w:gutter="0" w:footer="0" w:header="0"/>
        </w:sectPr>
      </w:pPr>
    </w:p>
    <w:bookmarkStart w:id="215" w:name="page216"/>
    <w:bookmarkEnd w:id="215"/>
    <w:p>
      <w:pPr>
        <w:ind w:right="260"/>
        <w:spacing w:after="0" w:line="263" w:lineRule="auto"/>
        <w:rPr>
          <w:sz w:val="20"/>
          <w:szCs w:val="20"/>
          <w:color w:val="auto"/>
        </w:rPr>
      </w:pPr>
      <w:r>
        <w:rPr>
          <w:rFonts w:ascii="Arial" w:cs="Arial" w:eastAsia="Arial" w:hAnsi="Arial"/>
          <w:sz w:val="18"/>
          <w:szCs w:val="18"/>
          <w:color w:val="auto"/>
        </w:rPr>
        <w:t>shareholder (or shareholder’s representative) is physically present in the United States. As determined according to certain adjustments of voting power specified in our bye-laws (See “- Common Shares - Voting Rights”), questions proposed for consideration by the shareholders will be decided by the affirmative vote of the majority of the votes cast.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Opportunities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bye-laws provide that, except for persons that are officers, managers or employees of the Company, and directors who are officers, managers or employees of the Company, no shareholder nor any of its affiliates, or any of its or their respective directors, officers, employees, agents, general or limited partners, managers, members, or shareholders, in any case whether or not one of our directors or officers, have any duty to communicate or present any investment or business opportunity or prospective transaction, agreement, arrangement, or other economic advantage to us. In addition, to the fullest extent permitted by law, such persons may engage in businesses competitive with ours. In our bye-laws we explicitly renounce any interest of the company in such opportunities and any expectation that such opportunities will be offered to us.</w:t>
      </w:r>
    </w:p>
    <w:p>
      <w:pPr>
        <w:sectPr>
          <w:pgSz w:w="11900" w:h="16838" w:orient="portrait"/>
          <w:cols w:equalWidth="0" w:num="1">
            <w:col w:w="11180"/>
          </w:cols>
          <w:pgMar w:left="320" w:top="1421" w:right="399" w:bottom="1440" w:gutter="0" w:footer="0" w:header="0"/>
        </w:sectPr>
      </w:pPr>
    </w:p>
    <w:bookmarkStart w:id="216" w:name="page217"/>
    <w:bookmarkEnd w:id="216"/>
    <w:p>
      <w:pPr>
        <w:ind w:left="10120"/>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SECOND AMENDED AND RESTATED CREDIT AGREEMENT</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SECOND AMENDMENT TO SECOND AMENDED AND RESTATED CREDIT AGREEMENT (this “Second</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Amendment”) is made and entered into as of the 27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January, 2023, by and among:</w:t>
      </w:r>
    </w:p>
    <w:p>
      <w:pPr>
        <w:spacing w:after="0" w:line="272" w:lineRule="exact"/>
        <w:rPr>
          <w:sz w:val="20"/>
          <w:szCs w:val="20"/>
          <w:color w:val="auto"/>
        </w:rPr>
      </w:pPr>
    </w:p>
    <w:p>
      <w:pPr>
        <w:jc w:val="both"/>
        <w:ind w:left="660" w:firstLine="644"/>
        <w:spacing w:after="0" w:line="259" w:lineRule="auto"/>
        <w:tabs>
          <w:tab w:leader="none" w:pos="182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JAMES RIVER GROUP HOLDINGS, LTD., a Bermuda company (“Parent”), and JRG REINSURANCE COMPANY LTD., a regulated insurance company domiciled in Bermuda (“JRG Reinsurance” and, together with Parent, each a “Borrower” and, collectively, the “Borrowers”);</w:t>
      </w:r>
    </w:p>
    <w:p>
      <w:pPr>
        <w:spacing w:after="0" w:line="180" w:lineRule="exact"/>
        <w:rPr>
          <w:rFonts w:ascii="Arial" w:cs="Arial" w:eastAsia="Arial" w:hAnsi="Arial"/>
          <w:sz w:val="22"/>
          <w:szCs w:val="22"/>
          <w:color w:val="auto"/>
        </w:rPr>
      </w:pPr>
    </w:p>
    <w:p>
      <w:pPr>
        <w:ind w:left="660" w:firstLine="644"/>
        <w:spacing w:after="0" w:line="263" w:lineRule="auto"/>
        <w:tabs>
          <w:tab w:leader="none" w:pos="181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FINANCIAL INSTITUTIONS listed as lenders on the signature pages hereto and their successors and assigns (each a “Lender” and, collectively, the “Lenders”); and</w:t>
      </w:r>
    </w:p>
    <w:p>
      <w:pPr>
        <w:spacing w:after="0" w:line="174" w:lineRule="exact"/>
        <w:rPr>
          <w:rFonts w:ascii="Arial" w:cs="Arial" w:eastAsia="Arial" w:hAnsi="Arial"/>
          <w:sz w:val="22"/>
          <w:szCs w:val="22"/>
          <w:color w:val="auto"/>
        </w:rPr>
      </w:pPr>
    </w:p>
    <w:p>
      <w:pPr>
        <w:ind w:left="660" w:firstLine="644"/>
        <w:spacing w:after="0" w:line="263" w:lineRule="auto"/>
        <w:tabs>
          <w:tab w:leader="none" w:pos="185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KEYBANK NATIONAL ASSOCIATION, a national banking association, in its capacity as “Administrative Agent” under the Credit Agreement (defined below).</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569" w:lineRule="auto"/>
        <w:tabs>
          <w:tab w:leader="none" w:pos="108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Borrowers, the Lenders, the Administrative Agent and certain other parties are the parties to that certain Second Amended and Restated Credit Agreement dated as of November 8, 2019, as amended by that certain First Amendment to Second Amended and Restated Credit Agreement dated as of February 18, 2022 (as amended from time to time, the “Credit Agreement”). Capitalized terms used herein and not otherwise defined herein are defined in the Credit Agreement.</w:t>
      </w:r>
    </w:p>
    <w:p>
      <w:pPr>
        <w:spacing w:after="0" w:line="142" w:lineRule="exact"/>
        <w:rPr>
          <w:rFonts w:ascii="Arial" w:cs="Arial" w:eastAsia="Arial" w:hAnsi="Arial"/>
          <w:sz w:val="19"/>
          <w:szCs w:val="19"/>
          <w:color w:val="auto"/>
        </w:rPr>
      </w:pPr>
    </w:p>
    <w:p>
      <w:pPr>
        <w:jc w:val="both"/>
        <w:ind w:firstLine="656"/>
        <w:spacing w:after="0" w:line="484" w:lineRule="auto"/>
        <w:tabs>
          <w:tab w:leader="none" w:pos="106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Certain loans and/or other extensions of credit under the Credit Agreement and/or other Loan Documents incur or are permitted to incur interest, fees, commissions or other amounts based on the London interbank offered rate for Dollars (“LIBOR”).</w:t>
      </w:r>
    </w:p>
    <w:p>
      <w:pPr>
        <w:sectPr>
          <w:pgSz w:w="11900" w:h="16838" w:orient="portrait"/>
          <w:cols w:equalWidth="0" w:num="1">
            <w:col w:w="11240"/>
          </w:cols>
          <w:pgMar w:left="320" w:top="126" w:right="339" w:bottom="1440" w:gutter="0" w:footer="0" w:header="0"/>
        </w:sectPr>
      </w:pPr>
    </w:p>
    <w:bookmarkStart w:id="217" w:name="page218"/>
    <w:bookmarkEnd w:id="217"/>
    <w:p>
      <w:pPr>
        <w:spacing w:after="0" w:line="110" w:lineRule="exact"/>
        <w:rPr>
          <w:sz w:val="20"/>
          <w:szCs w:val="20"/>
          <w:color w:val="auto"/>
        </w:rPr>
      </w:pPr>
    </w:p>
    <w:p>
      <w:pPr>
        <w:jc w:val="both"/>
        <w:ind w:firstLine="656"/>
        <w:spacing w:after="0" w:line="561" w:lineRule="auto"/>
        <w:tabs>
          <w:tab w:leader="none" w:pos="120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Borrowers, the Lenders, and the Administrative Agent have agreed (i) that as of the Second Amendment Effective Date (as defined below), each loan, advance, borrowing, or other financial accommodation or extension of credit of any type by the Lenders from time to time made or permitted to be made under the Credit Agreement bearing interest or incurring fees or other amounts based on LIBOR, including any credit extension nominally based on a “Base Rate” or other term generally indicating usage of a benchmark other than LIBOR but which may apply LIBOR in accordance with such term, shall no longer be available and shall be replaced by credit extensions bearing interest or incurring fees or other amounts based on Term SOFR, and (ii) to make certain other changes to the Credit Agreement as set forth 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foregoing Recitals and the mutual agreements hereinafter set forth, the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Borrowers and the Administrative Agent, intending to be legally bound, hereby agree as follows:</w:t>
      </w:r>
    </w:p>
    <w:p>
      <w:pPr>
        <w:spacing w:after="0" w:line="200" w:lineRule="exact"/>
        <w:rPr>
          <w:sz w:val="20"/>
          <w:szCs w:val="20"/>
          <w:color w:val="auto"/>
        </w:rPr>
      </w:pPr>
    </w:p>
    <w:p>
      <w:pPr>
        <w:spacing w:after="0" w:line="263" w:lineRule="exact"/>
        <w:rPr>
          <w:sz w:val="20"/>
          <w:szCs w:val="20"/>
          <w:color w:val="auto"/>
        </w:rPr>
      </w:pPr>
    </w:p>
    <w:p>
      <w:pPr>
        <w:ind w:firstLine="656"/>
        <w:spacing w:after="0" w:line="494" w:lineRule="auto"/>
        <w:tabs>
          <w:tab w:leader="none" w:pos="1093"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Amendments to the Credit Agreement</w:t>
      </w:r>
      <w:r>
        <w:rPr>
          <w:rFonts w:ascii="Arial" w:cs="Arial" w:eastAsia="Arial" w:hAnsi="Arial"/>
          <w:sz w:val="22"/>
          <w:szCs w:val="22"/>
          <w:color w:val="auto"/>
        </w:rPr>
        <w:t>. Subject to the terms and conditions of this Second Amendment, including, without limitation, Paragraph 2, below, the Credit Agreement is hereby amended as follows:</w:t>
      </w:r>
    </w:p>
    <w:p>
      <w:pPr>
        <w:spacing w:after="0" w:line="174" w:lineRule="exact"/>
        <w:rPr>
          <w:sz w:val="20"/>
          <w:szCs w:val="20"/>
          <w:color w:val="auto"/>
        </w:rPr>
      </w:pPr>
    </w:p>
    <w:p>
      <w:pPr>
        <w:ind w:right="20" w:firstLine="656"/>
        <w:spacing w:after="0" w:line="494" w:lineRule="auto"/>
        <w:tabs>
          <w:tab w:leader="none" w:pos="116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following definitions set forth in Section 1.01 of the Credit Agreement are hereby amended and restated in their entirety as follows:</w:t>
      </w:r>
    </w:p>
    <w:p>
      <w:pPr>
        <w:spacing w:after="0" w:line="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(a) any day other than Saturday, Sunday or any other day on which commercial banks in</w:t>
      </w:r>
      <w:r>
        <w:rPr>
          <w:rFonts w:ascii="Arial" w:cs="Arial" w:eastAsia="Arial" w:hAnsi="Arial"/>
          <w:sz w:val="22"/>
          <w:szCs w:val="22"/>
          <w:b w:val="1"/>
          <w:bCs w:val="1"/>
          <w:color w:val="auto"/>
        </w:rPr>
        <w:t xml:space="preserve"> </w:t>
      </w:r>
      <w:r>
        <w:rPr>
          <w:rFonts w:ascii="Arial" w:cs="Arial" w:eastAsia="Arial" w:hAnsi="Arial"/>
          <w:sz w:val="22"/>
          <w:szCs w:val="22"/>
          <w:color w:val="auto"/>
        </w:rPr>
        <w:t>Cleveland, Ohio or New York, New York are authorized or required by law to close and (b) with respect to any matters relating to SOFR Loans, a SOFR Business Day.</w:t>
      </w:r>
    </w:p>
    <w:p>
      <w:pPr>
        <w:sectPr>
          <w:pgSz w:w="11900" w:h="16838" w:orient="portrait"/>
          <w:cols w:equalWidth="0" w:num="1">
            <w:col w:w="11240"/>
          </w:cols>
          <w:pgMar w:left="320" w:top="1440" w:right="339" w:bottom="1440" w:gutter="0" w:footer="0" w:header="0"/>
        </w:sectPr>
      </w:pPr>
    </w:p>
    <w:bookmarkStart w:id="218" w:name="page219"/>
    <w:bookmarkEnd w:id="218"/>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“Interest Period” </w:t>
      </w:r>
      <w:r>
        <w:rPr>
          <w:rFonts w:ascii="Arial" w:cs="Arial" w:eastAsia="Arial" w:hAnsi="Arial"/>
          <w:sz w:val="19"/>
          <w:szCs w:val="19"/>
          <w:color w:val="auto"/>
        </w:rPr>
        <w:t>means, with respect to any SOFR Borrowing, the period beginning on the date of such Borrowing and</w:t>
      </w:r>
      <w:r>
        <w:rPr>
          <w:rFonts w:ascii="Arial" w:cs="Arial" w:eastAsia="Arial" w:hAnsi="Arial"/>
          <w:sz w:val="19"/>
          <w:szCs w:val="19"/>
          <w:b w:val="1"/>
          <w:bCs w:val="1"/>
          <w:color w:val="auto"/>
        </w:rPr>
        <w:t xml:space="preserve"> </w:t>
      </w:r>
      <w:r>
        <w:rPr>
          <w:rFonts w:ascii="Arial" w:cs="Arial" w:eastAsia="Arial" w:hAnsi="Arial"/>
          <w:sz w:val="19"/>
          <w:szCs w:val="19"/>
          <w:color w:val="auto"/>
        </w:rPr>
        <w:t>ending on the numerically corresponding day in the calendar month that is one (1), three (3) or six (6) months thereafter, as the Borrower Agent, for and on behalf the Borrowers, may elect; provided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shall extend beyond the Maturity Date, and (d) no tenor that has been removed from this definition pursuant to Section 2.14(d) shall be available for specification in such Borrowing Request or Interest Election. For purposes hereof, the date of a Borrowing initially shall be the date on which such Borrowing is made and thereafter shall be deemed to be the effective date of the most recent conversion or continuation of such Borrowing.</w:t>
      </w:r>
    </w:p>
    <w:p>
      <w:pPr>
        <w:spacing w:after="0" w:line="278" w:lineRule="exact"/>
        <w:rPr>
          <w:sz w:val="20"/>
          <w:szCs w:val="20"/>
          <w:color w:val="auto"/>
        </w:rPr>
      </w:pPr>
    </w:p>
    <w:p>
      <w:pPr>
        <w:ind w:right="20" w:firstLine="656"/>
        <w:spacing w:after="0" w:line="494" w:lineRule="auto"/>
        <w:tabs>
          <w:tab w:leader="none" w:pos="123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new definitions in the correct alphabetical order:</w:t>
      </w:r>
    </w:p>
    <w:p>
      <w:pPr>
        <w:spacing w:after="0" w:line="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“Adjusted Term SOFR” </w:t>
      </w:r>
      <w:r>
        <w:rPr>
          <w:rFonts w:ascii="Arial" w:cs="Arial" w:eastAsia="Arial" w:hAnsi="Arial"/>
          <w:sz w:val="22"/>
          <w:szCs w:val="22"/>
          <w:color w:val="auto"/>
        </w:rPr>
        <w:t>means for any Available Tenor and Interest Period with respect to a Term SOFR Loan, the</w:t>
      </w:r>
      <w:r>
        <w:rPr>
          <w:rFonts w:ascii="Arial" w:cs="Arial" w:eastAsia="Arial" w:hAnsi="Arial"/>
          <w:sz w:val="22"/>
          <w:szCs w:val="22"/>
          <w:b w:val="1"/>
          <w:bCs w:val="1"/>
          <w:color w:val="auto"/>
        </w:rPr>
        <w:t xml:space="preserve"> </w:t>
      </w:r>
      <w:r>
        <w:rPr>
          <w:rFonts w:ascii="Arial" w:cs="Arial" w:eastAsia="Arial" w:hAnsi="Arial"/>
          <w:sz w:val="22"/>
          <w:szCs w:val="22"/>
          <w:color w:val="auto"/>
        </w:rPr>
        <w:t>greater of (a) the sum of (i) Term SOFR for such available Tenor or Interest Period and (ii) the applicable SOFR Index Adjustment, and (b) the Floor.</w:t>
      </w:r>
    </w:p>
    <w:p>
      <w:pPr>
        <w:spacing w:after="0" w:line="17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“Available Tenor” </w:t>
      </w:r>
      <w:r>
        <w:rPr>
          <w:rFonts w:ascii="Arial" w:cs="Arial" w:eastAsia="Arial" w:hAnsi="Arial"/>
          <w:sz w:val="19"/>
          <w:szCs w:val="19"/>
          <w:color w:val="auto"/>
        </w:rPr>
        <w:t>means, as of any date of determination and with respect to the then-current Benchmark, (a) if such</w:t>
      </w:r>
      <w:r>
        <w:rPr>
          <w:rFonts w:ascii="Arial" w:cs="Arial" w:eastAsia="Arial" w:hAnsi="Arial"/>
          <w:sz w:val="19"/>
          <w:szCs w:val="19"/>
          <w:b w:val="1"/>
          <w:bCs w:val="1"/>
          <w:color w:val="auto"/>
        </w:rPr>
        <w:t xml:space="preserve"> </w:t>
      </w:r>
      <w:r>
        <w:rPr>
          <w:rFonts w:ascii="Arial" w:cs="Arial" w:eastAsia="Arial" w:hAnsi="Arial"/>
          <w:sz w:val="19"/>
          <w:szCs w:val="19"/>
          <w:color w:val="auto"/>
        </w:rPr>
        <w:t>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2.14.</w:t>
      </w:r>
    </w:p>
    <w:p>
      <w:pPr>
        <w:spacing w:after="0" w:line="14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“Benchmark” </w:t>
      </w:r>
      <w:r>
        <w:rPr>
          <w:rFonts w:ascii="Arial" w:cs="Arial" w:eastAsia="Arial" w:hAnsi="Arial"/>
          <w:sz w:val="19"/>
          <w:szCs w:val="19"/>
          <w:color w:val="auto"/>
        </w:rPr>
        <w:t>means, initially, with respect to any Term SOFR Loan, Term SOFR; provided that if a Benchmark</w:t>
      </w:r>
      <w:r>
        <w:rPr>
          <w:rFonts w:ascii="Arial" w:cs="Arial" w:eastAsia="Arial" w:hAnsi="Arial"/>
          <w:sz w:val="19"/>
          <w:szCs w:val="19"/>
          <w:b w:val="1"/>
          <w:bCs w:val="1"/>
          <w:color w:val="auto"/>
        </w:rPr>
        <w:t xml:space="preserve"> </w:t>
      </w:r>
      <w:r>
        <w:rPr>
          <w:rFonts w:ascii="Arial" w:cs="Arial" w:eastAsia="Arial" w:hAnsi="Arial"/>
          <w:sz w:val="19"/>
          <w:szCs w:val="19"/>
          <w:color w:val="auto"/>
        </w:rPr>
        <w:t>Transition Event has occurred with respect to the then-current Benchmark, then “Benchmark” means the applicable Benchmark Replacement to the extent that such Benchmark Replacement has replaced such prior benchmark rate pursuant to Section 2.14.</w:t>
      </w:r>
    </w:p>
    <w:p>
      <w:pPr>
        <w:sectPr>
          <w:pgSz w:w="11900" w:h="16838" w:orient="portrait"/>
          <w:cols w:equalWidth="0" w:num="1">
            <w:col w:w="11240"/>
          </w:cols>
          <w:pgMar w:left="320" w:top="1422" w:right="339" w:bottom="1440" w:gutter="0" w:footer="0" w:header="0"/>
        </w:sectPr>
      </w:pPr>
    </w:p>
    <w:bookmarkStart w:id="219" w:name="page220"/>
    <w:bookmarkEnd w:id="219"/>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“Benchmark Replacement” </w:t>
      </w:r>
      <w:r>
        <w:rPr>
          <w:rFonts w:ascii="Arial" w:cs="Arial" w:eastAsia="Arial" w:hAnsi="Arial"/>
          <w:sz w:val="19"/>
          <w:szCs w:val="19"/>
          <w:color w:val="auto"/>
        </w:rPr>
        <w:t>means, with respect to any Benchmark Transition Event for the then-current Benchmark,</w:t>
      </w:r>
      <w:r>
        <w:rPr>
          <w:rFonts w:ascii="Arial" w:cs="Arial" w:eastAsia="Arial" w:hAnsi="Arial"/>
          <w:sz w:val="19"/>
          <w:szCs w:val="19"/>
          <w:b w:val="1"/>
          <w:bCs w:val="1"/>
          <w:color w:val="auto"/>
        </w:rPr>
        <w:t xml:space="preserve"> </w:t>
      </w:r>
      <w:r>
        <w:rPr>
          <w:rFonts w:ascii="Arial" w:cs="Arial" w:eastAsia="Arial" w:hAnsi="Arial"/>
          <w:sz w:val="19"/>
          <w:szCs w:val="19"/>
          <w:color w:val="auto"/>
        </w:rPr>
        <w:t>the sum of: (a) the alternate benchmark rate that has been selected by the Administrative Agent and the Borrower Agent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Dollars at such time and (b) the related Benchmark Replacement Adjustment, if any; provided that, if such Benchmark Replacement as so determined would be less than the Floor, such Benchmark Replacement will be deemed to be the Floor for the purposes of this Agreement and the other Loan Documents.</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“Benchmark Replacement Adjustment” </w:t>
      </w:r>
      <w:r>
        <w:rPr>
          <w:rFonts w:ascii="Arial" w:cs="Arial" w:eastAsia="Arial" w:hAnsi="Arial"/>
          <w:sz w:val="21"/>
          <w:szCs w:val="21"/>
          <w:color w:val="auto"/>
        </w:rPr>
        <w:t>means, with respect to any replacement of any then-current Benchmark with</w:t>
      </w:r>
      <w:r>
        <w:rPr>
          <w:rFonts w:ascii="Arial" w:cs="Arial" w:eastAsia="Arial" w:hAnsi="Arial"/>
          <w:sz w:val="21"/>
          <w:szCs w:val="21"/>
          <w:b w:val="1"/>
          <w:bCs w:val="1"/>
          <w:color w:val="auto"/>
        </w:rPr>
        <w:t xml:space="preserve"> </w:t>
      </w:r>
      <w:r>
        <w:rPr>
          <w:rFonts w:ascii="Arial" w:cs="Arial" w:eastAsia="Arial" w:hAnsi="Arial"/>
          <w:sz w:val="21"/>
          <w:szCs w:val="21"/>
          <w:color w:val="auto"/>
        </w:rPr>
        <w:t>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 denominated syndicated credit facilities.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“Benchmark Replacement Date” </w:t>
      </w:r>
      <w:r>
        <w:rPr>
          <w:rFonts w:ascii="Arial" w:cs="Arial" w:eastAsia="Arial" w:hAnsi="Arial"/>
          <w:sz w:val="19"/>
          <w:szCs w:val="19"/>
          <w:color w:val="auto"/>
        </w:rPr>
        <w:t>means the earlier to occur of the following events with respect to the then-current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Benchmark:</w:t>
      </w:r>
    </w:p>
    <w:p>
      <w:pPr>
        <w:spacing w:after="0" w:line="215" w:lineRule="exact"/>
        <w:rPr>
          <w:sz w:val="20"/>
          <w:szCs w:val="20"/>
          <w:color w:val="auto"/>
        </w:rPr>
      </w:pPr>
    </w:p>
    <w:p>
      <w:pPr>
        <w:jc w:val="both"/>
        <w:ind w:firstLine="656"/>
        <w:spacing w:after="0" w:line="250" w:lineRule="auto"/>
        <w:tabs>
          <w:tab w:leader="none" w:pos="118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87" w:lineRule="exact"/>
        <w:rPr>
          <w:rFonts w:ascii="Arial" w:cs="Arial" w:eastAsia="Arial" w:hAnsi="Arial"/>
          <w:sz w:val="22"/>
          <w:szCs w:val="22"/>
          <w:color w:val="auto"/>
        </w:rPr>
      </w:pPr>
    </w:p>
    <w:p>
      <w:pPr>
        <w:jc w:val="both"/>
        <w:ind w:firstLine="656"/>
        <w:spacing w:after="0" w:line="300" w:lineRule="auto"/>
        <w:tabs>
          <w:tab w:leader="none" w:pos="113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46"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ectPr>
          <w:pgSz w:w="11900" w:h="16838" w:orient="portrait"/>
          <w:cols w:equalWidth="0" w:num="1">
            <w:col w:w="11240"/>
          </w:cols>
          <w:pgMar w:left="320" w:top="1422" w:right="339" w:bottom="1440" w:gutter="0" w:footer="0" w:header="0"/>
        </w:sectPr>
      </w:pPr>
    </w:p>
    <w:bookmarkStart w:id="220" w:name="page221"/>
    <w:bookmarkEnd w:id="220"/>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“Benchmark Transition Event” </w:t>
      </w:r>
      <w:r>
        <w:rPr>
          <w:rFonts w:ascii="Arial" w:cs="Arial" w:eastAsia="Arial" w:hAnsi="Arial"/>
          <w:sz w:val="22"/>
          <w:szCs w:val="22"/>
          <w:color w:val="auto"/>
        </w:rPr>
        <w:t>means, with respect to the then-current Benchmark, the occurrence of one or more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events with respect to such Benchmark:</w:t>
      </w:r>
    </w:p>
    <w:p>
      <w:pPr>
        <w:spacing w:after="0" w:line="168" w:lineRule="exact"/>
        <w:rPr>
          <w:sz w:val="20"/>
          <w:szCs w:val="20"/>
          <w:color w:val="auto"/>
        </w:rPr>
      </w:pPr>
    </w:p>
    <w:p>
      <w:pPr>
        <w:jc w:val="both"/>
        <w:ind w:firstLine="656"/>
        <w:spacing w:after="0" w:line="251" w:lineRule="auto"/>
        <w:tabs>
          <w:tab w:leader="none" w:pos="119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9" w:lineRule="exact"/>
        <w:rPr>
          <w:rFonts w:ascii="Arial" w:cs="Arial" w:eastAsia="Arial" w:hAnsi="Arial"/>
          <w:sz w:val="22"/>
          <w:szCs w:val="22"/>
          <w:color w:val="auto"/>
        </w:rPr>
      </w:pPr>
    </w:p>
    <w:p>
      <w:pPr>
        <w:jc w:val="both"/>
        <w:ind w:firstLine="656"/>
        <w:spacing w:after="0" w:line="249" w:lineRule="auto"/>
        <w:tabs>
          <w:tab w:leader="none" w:pos="13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9" w:lineRule="exact"/>
        <w:rPr>
          <w:rFonts w:ascii="Arial" w:cs="Arial" w:eastAsia="Arial" w:hAnsi="Arial"/>
          <w:sz w:val="22"/>
          <w:szCs w:val="22"/>
          <w:color w:val="auto"/>
        </w:rPr>
      </w:pPr>
    </w:p>
    <w:p>
      <w:pPr>
        <w:jc w:val="both"/>
        <w:ind w:firstLine="656"/>
        <w:spacing w:after="0" w:line="254" w:lineRule="auto"/>
        <w:tabs>
          <w:tab w:leader="none" w:pos="119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“Benchmark Transition Start Date” </w:t>
      </w:r>
      <w:r>
        <w:rPr>
          <w:rFonts w:ascii="Arial" w:cs="Arial" w:eastAsia="Arial" w:hAnsi="Arial"/>
          <w:sz w:val="19"/>
          <w:szCs w:val="19"/>
          <w:color w:val="auto"/>
        </w:rPr>
        <w:t>means, with respect to any Benchmark, in the case of a Benchmark Transition</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sectPr>
          <w:pgSz w:w="11900" w:h="16838" w:orient="portrait"/>
          <w:cols w:equalWidth="0" w:num="1">
            <w:col w:w="11240"/>
          </w:cols>
          <w:pgMar w:left="320" w:top="1422" w:right="339" w:bottom="1440" w:gutter="0" w:footer="0" w:header="0"/>
        </w:sectPr>
      </w:pPr>
    </w:p>
    <w:bookmarkStart w:id="221" w:name="page222"/>
    <w:bookmarkEnd w:id="221"/>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“Benchmark Unavailability Period” </w:t>
      </w:r>
      <w:r>
        <w:rPr>
          <w:rFonts w:ascii="Arial" w:cs="Arial" w:eastAsia="Arial" w:hAnsi="Arial"/>
          <w:sz w:val="19"/>
          <w:szCs w:val="19"/>
          <w:color w:val="auto"/>
        </w:rPr>
        <w:t>means, with respect to any then-current Benchmark, the period (if any) (a)</w:t>
      </w:r>
      <w:r>
        <w:rPr>
          <w:rFonts w:ascii="Arial" w:cs="Arial" w:eastAsia="Arial" w:hAnsi="Arial"/>
          <w:sz w:val="19"/>
          <w:szCs w:val="19"/>
          <w:b w:val="1"/>
          <w:bCs w:val="1"/>
          <w:color w:val="auto"/>
        </w:rPr>
        <w:t xml:space="preserve"> </w:t>
      </w:r>
      <w:r>
        <w:rPr>
          <w:rFonts w:ascii="Arial" w:cs="Arial" w:eastAsia="Arial" w:hAnsi="Arial"/>
          <w:sz w:val="19"/>
          <w:szCs w:val="19"/>
          <w:color w:val="auto"/>
        </w:rPr>
        <w:t>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2.14 and (b) ending at the time that a Benchmark Replacement has replaced such Benchmark for all purposes hereunder and under any Loan Document in accordance with Section 2.14.</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“CME” </w:t>
      </w:r>
      <w:r>
        <w:rPr>
          <w:rFonts w:ascii="Arial" w:cs="Arial" w:eastAsia="Arial" w:hAnsi="Arial"/>
          <w:sz w:val="22"/>
          <w:szCs w:val="22"/>
          <w:color w:val="auto"/>
        </w:rPr>
        <w:t>means CME Group Benchmark Administration Ltd.</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“Conforming Changes” </w:t>
      </w:r>
      <w:r>
        <w:rPr>
          <w:rFonts w:ascii="Arial" w:cs="Arial" w:eastAsia="Arial" w:hAnsi="Arial"/>
          <w:sz w:val="19"/>
          <w:szCs w:val="19"/>
          <w:color w:val="auto"/>
        </w:rPr>
        <w:t>means, with respect to either the use or administration of Term SOFR, or the use,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“Floor” </w:t>
      </w:r>
      <w:r>
        <w:rPr>
          <w:rFonts w:ascii="Arial" w:cs="Arial" w:eastAsia="Arial" w:hAnsi="Arial"/>
          <w:sz w:val="22"/>
          <w:szCs w:val="22"/>
          <w:color w:val="auto"/>
        </w:rPr>
        <w:t>means a rate of interest equal to zero percent (0.00%) per annum.</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“Relevant Governmental Body” </w:t>
      </w:r>
      <w:r>
        <w:rPr>
          <w:rFonts w:ascii="Arial" w:cs="Arial" w:eastAsia="Arial" w:hAnsi="Arial"/>
          <w:sz w:val="22"/>
          <w:szCs w:val="22"/>
          <w:color w:val="auto"/>
        </w:rPr>
        <w:t>means the Federal Reserve Board or the Federal Reserve Bank of New York, or a</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officially endorsed or convened by the Federal Reserve Board or the Federal Reserve Bank of New York, or any successor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“Second Amendment Effective Date” </w:t>
      </w:r>
      <w:r>
        <w:rPr>
          <w:rFonts w:ascii="Arial" w:cs="Arial" w:eastAsia="Arial" w:hAnsi="Arial"/>
          <w:sz w:val="22"/>
          <w:szCs w:val="22"/>
          <w:color w:val="auto"/>
        </w:rPr>
        <w:t>means January 27, 2023.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“SOFR” </w:t>
      </w:r>
      <w:r>
        <w:rPr>
          <w:rFonts w:ascii="Arial" w:cs="Arial" w:eastAsia="Arial" w:hAnsi="Arial"/>
          <w:sz w:val="21"/>
          <w:szCs w:val="21"/>
          <w:color w:val="auto"/>
        </w:rPr>
        <w:t>means a rate equal to the secured overnight financing rate as administered by the SOFR Administrator.</w:t>
      </w:r>
    </w:p>
    <w:p>
      <w:pPr>
        <w:spacing w:after="0" w:line="2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“SOFR Administrator” </w:t>
      </w:r>
      <w:r>
        <w:rPr>
          <w:rFonts w:ascii="Arial" w:cs="Arial" w:eastAsia="Arial" w:hAnsi="Arial"/>
          <w:sz w:val="22"/>
          <w:szCs w:val="22"/>
          <w:color w:val="auto"/>
        </w:rPr>
        <w:t>means the Federal Reserve Bank of New York (or a successor administrator of the secured</w:t>
      </w:r>
      <w:r>
        <w:rPr>
          <w:rFonts w:ascii="Arial" w:cs="Arial" w:eastAsia="Arial" w:hAnsi="Arial"/>
          <w:sz w:val="22"/>
          <w:szCs w:val="22"/>
          <w:b w:val="1"/>
          <w:bCs w:val="1"/>
          <w:color w:val="auto"/>
        </w:rPr>
        <w:t xml:space="preserve"> </w:t>
      </w:r>
      <w:r>
        <w:rPr>
          <w:rFonts w:ascii="Arial" w:cs="Arial" w:eastAsia="Arial" w:hAnsi="Arial"/>
          <w:sz w:val="22"/>
          <w:szCs w:val="22"/>
          <w:color w:val="auto"/>
        </w:rPr>
        <w:t>overnight financing rate).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“SOFR Administrator’s Website” </w:t>
      </w:r>
      <w:r>
        <w:rPr>
          <w:rFonts w:ascii="Arial" w:cs="Arial" w:eastAsia="Arial" w:hAnsi="Arial"/>
          <w:sz w:val="22"/>
          <w:szCs w:val="22"/>
          <w:color w:val="auto"/>
        </w:rPr>
        <w:t>means the website of the Federal Reserve Bank of New York, currently at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http://www.newyorkfed.org</w:t>
      </w:r>
      <w:r>
        <w:rPr>
          <w:rFonts w:ascii="Arial" w:cs="Arial" w:eastAsia="Arial" w:hAnsi="Arial"/>
          <w:sz w:val="22"/>
          <w:szCs w:val="22"/>
          <w:color w:val="auto"/>
        </w:rPr>
        <w:t>, or any successor source for the secured overnight financing rate identified as such by the SOFR Administrator from time to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“SOFR Borrowing” </w:t>
      </w:r>
      <w:r>
        <w:rPr>
          <w:rFonts w:ascii="Arial" w:cs="Arial" w:eastAsia="Arial" w:hAnsi="Arial"/>
          <w:sz w:val="22"/>
          <w:szCs w:val="22"/>
          <w:color w:val="auto"/>
        </w:rPr>
        <w:t>means a Term SOFR Borrowing.</w:t>
      </w:r>
    </w:p>
    <w:p>
      <w:pPr>
        <w:sectPr>
          <w:pgSz w:w="11900" w:h="16838" w:orient="portrait"/>
          <w:cols w:equalWidth="0" w:num="1">
            <w:col w:w="11240"/>
          </w:cols>
          <w:pgMar w:left="320" w:top="1422" w:right="339" w:bottom="1440" w:gutter="0" w:footer="0" w:header="0"/>
        </w:sectPr>
      </w:pPr>
    </w:p>
    <w:bookmarkStart w:id="222" w:name="page223"/>
    <w:bookmarkEnd w:id="222"/>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“SOFR Business Day” </w:t>
      </w:r>
      <w:r>
        <w:rPr>
          <w:rFonts w:ascii="Arial" w:cs="Arial" w:eastAsia="Arial" w:hAnsi="Arial"/>
          <w:sz w:val="22"/>
          <w:szCs w:val="22"/>
          <w:color w:val="auto"/>
        </w:rPr>
        <w:t>means any day except for (a) a Saturday, (b) a Sunday or (c) a day on which the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Industry and Financial Markets Association recommends that the fixed income departments of its members be closed for the entire day for purposes of trading in United States government securities.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“SOFR Index Adjustment” </w:t>
      </w:r>
      <w:r>
        <w:rPr>
          <w:rFonts w:ascii="Arial" w:cs="Arial" w:eastAsia="Arial" w:hAnsi="Arial"/>
          <w:sz w:val="22"/>
          <w:szCs w:val="22"/>
          <w:color w:val="auto"/>
        </w:rPr>
        <w:t>means for any calculation with respect to a Term SOFR Loan, a percentage per annum as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below for the applicable Type of such Loan and (if applicable) Interest Period therefor:</w:t>
      </w:r>
    </w:p>
    <w:p>
      <w:pPr>
        <w:spacing w:after="0" w:line="183" w:lineRule="exact"/>
        <w:rPr>
          <w:sz w:val="20"/>
          <w:szCs w:val="20"/>
          <w:color w:val="auto"/>
        </w:rPr>
      </w:pPr>
    </w:p>
    <w:tbl>
      <w:tblPr>
        <w:tblLayout w:type="fixed"/>
        <w:tblInd w:w="1310" w:type="dxa"/>
        <w:tblCellMar>
          <w:top w:w="0" w:type="dxa"/>
          <w:left w:w="0" w:type="dxa"/>
          <w:bottom w:w="0" w:type="dxa"/>
          <w:right w:w="0" w:type="dxa"/>
        </w:tblCellMar>
      </w:tblPr>
      <w:tr>
        <w:trPr>
          <w:trHeight w:val="222"/>
        </w:trPr>
        <w:tc>
          <w:tcPr>
            <w:tcW w:w="4380" w:type="dxa"/>
            <w:vAlign w:val="bottom"/>
            <w:tcBorders>
              <w:top w:val="single" w:sz="8" w:color="auto"/>
              <w:left w:val="single" w:sz="8" w:color="auto"/>
              <w:right w:val="single" w:sz="8" w:color="auto"/>
            </w:tcBorders>
          </w:tcPr>
          <w:p>
            <w:pPr>
              <w:ind w:left="40"/>
              <w:spacing w:after="0" w:line="222" w:lineRule="exact"/>
              <w:rPr>
                <w:sz w:val="20"/>
                <w:szCs w:val="20"/>
                <w:color w:val="auto"/>
              </w:rPr>
            </w:pPr>
            <w:r>
              <w:rPr>
                <w:rFonts w:ascii="Arial" w:cs="Arial" w:eastAsia="Arial" w:hAnsi="Arial"/>
                <w:sz w:val="22"/>
                <w:szCs w:val="22"/>
                <w:color w:val="auto"/>
              </w:rPr>
              <w:t>Term SOFR Loans</w:t>
            </w:r>
          </w:p>
        </w:tc>
        <w:tc>
          <w:tcPr>
            <w:tcW w:w="3020" w:type="dxa"/>
            <w:vAlign w:val="bottom"/>
            <w:tcBorders>
              <w:top w:val="single" w:sz="8" w:color="auto"/>
              <w:right w:val="single" w:sz="8" w:color="auto"/>
            </w:tcBorders>
          </w:tcPr>
          <w:p>
            <w:pPr>
              <w:spacing w:after="0"/>
              <w:rPr>
                <w:sz w:val="19"/>
                <w:szCs w:val="19"/>
                <w:color w:val="auto"/>
              </w:rPr>
            </w:pPr>
          </w:p>
        </w:tc>
      </w:tr>
      <w:tr>
        <w:trPr>
          <w:trHeight w:val="276"/>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Interest Period:</w:t>
            </w:r>
          </w:p>
        </w:tc>
        <w:tc>
          <w:tcPr>
            <w:tcW w:w="3020" w:type="dxa"/>
            <w:vAlign w:val="bottom"/>
            <w:tcBorders>
              <w:bottom w:val="single" w:sz="8" w:color="auto"/>
              <w:right w:val="single" w:sz="8" w:color="auto"/>
            </w:tcBorders>
          </w:tcPr>
          <w:p>
            <w:pPr>
              <w:spacing w:after="0"/>
              <w:rPr>
                <w:sz w:val="24"/>
                <w:szCs w:val="24"/>
                <w:color w:val="auto"/>
              </w:rPr>
            </w:pPr>
          </w:p>
        </w:tc>
      </w:tr>
      <w:tr>
        <w:trPr>
          <w:trHeight w:val="265"/>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One month</w:t>
            </w:r>
          </w:p>
        </w:tc>
        <w:tc>
          <w:tcPr>
            <w:tcW w:w="3020" w:type="dxa"/>
            <w:vAlign w:val="bottom"/>
            <w:tcBorders>
              <w:bottom w:val="single" w:sz="8" w:color="auto"/>
              <w:right w:val="single" w:sz="8" w:color="auto"/>
            </w:tcBorders>
          </w:tcPr>
          <w:p>
            <w:pPr>
              <w:jc w:val="right"/>
              <w:ind w:right="2332"/>
              <w:spacing w:after="0"/>
              <w:rPr>
                <w:sz w:val="20"/>
                <w:szCs w:val="20"/>
                <w:color w:val="auto"/>
              </w:rPr>
            </w:pPr>
            <w:r>
              <w:rPr>
                <w:rFonts w:ascii="Arial" w:cs="Arial" w:eastAsia="Arial" w:hAnsi="Arial"/>
                <w:sz w:val="22"/>
                <w:szCs w:val="22"/>
                <w:color w:val="auto"/>
                <w:w w:val="89"/>
              </w:rPr>
              <w:t>0.10%</w:t>
            </w:r>
          </w:p>
        </w:tc>
      </w:tr>
      <w:tr>
        <w:trPr>
          <w:trHeight w:val="263"/>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Three months</w:t>
            </w:r>
          </w:p>
        </w:tc>
        <w:tc>
          <w:tcPr>
            <w:tcW w:w="3020" w:type="dxa"/>
            <w:vAlign w:val="bottom"/>
            <w:tcBorders>
              <w:bottom w:val="single" w:sz="8" w:color="auto"/>
              <w:right w:val="single" w:sz="8" w:color="auto"/>
            </w:tcBorders>
          </w:tcPr>
          <w:p>
            <w:pPr>
              <w:jc w:val="right"/>
              <w:ind w:right="2332"/>
              <w:spacing w:after="0"/>
              <w:rPr>
                <w:sz w:val="20"/>
                <w:szCs w:val="20"/>
                <w:color w:val="auto"/>
              </w:rPr>
            </w:pPr>
            <w:r>
              <w:rPr>
                <w:rFonts w:ascii="Arial" w:cs="Arial" w:eastAsia="Arial" w:hAnsi="Arial"/>
                <w:sz w:val="22"/>
                <w:szCs w:val="22"/>
                <w:color w:val="auto"/>
                <w:w w:val="89"/>
              </w:rPr>
              <w:t>0.10%</w:t>
            </w:r>
          </w:p>
        </w:tc>
      </w:tr>
      <w:tr>
        <w:trPr>
          <w:trHeight w:val="263"/>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Six months</w:t>
            </w:r>
          </w:p>
        </w:tc>
        <w:tc>
          <w:tcPr>
            <w:tcW w:w="3020" w:type="dxa"/>
            <w:vAlign w:val="bottom"/>
            <w:tcBorders>
              <w:bottom w:val="single" w:sz="8" w:color="auto"/>
              <w:right w:val="single" w:sz="8" w:color="auto"/>
            </w:tcBorders>
          </w:tcPr>
          <w:p>
            <w:pPr>
              <w:jc w:val="right"/>
              <w:ind w:right="2332"/>
              <w:spacing w:after="0"/>
              <w:rPr>
                <w:sz w:val="20"/>
                <w:szCs w:val="20"/>
                <w:color w:val="auto"/>
              </w:rPr>
            </w:pPr>
            <w:r>
              <w:rPr>
                <w:rFonts w:ascii="Arial" w:cs="Arial" w:eastAsia="Arial" w:hAnsi="Arial"/>
                <w:sz w:val="22"/>
                <w:szCs w:val="22"/>
                <w:color w:val="auto"/>
                <w:w w:val="89"/>
              </w:rPr>
              <w:t>0.10%</w:t>
            </w:r>
          </w:p>
        </w:tc>
      </w:tr>
    </w:tbl>
    <w:p>
      <w:pPr>
        <w:spacing w:after="0" w:line="29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“SOFR Loan” </w:t>
      </w:r>
      <w:r>
        <w:rPr>
          <w:rFonts w:ascii="Arial" w:cs="Arial" w:eastAsia="Arial" w:hAnsi="Arial"/>
          <w:sz w:val="22"/>
          <w:szCs w:val="22"/>
          <w:color w:val="auto"/>
        </w:rPr>
        <w:t>means each Loan bearing interest at a rate based upon Adjusted Term SOFR (other than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clause (c) of the definition of “Alternate Base Rate”).</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“Term SOFR” </w:t>
      </w:r>
      <w:r>
        <w:rPr>
          <w:rFonts w:ascii="Arial" w:cs="Arial" w:eastAsia="Arial" w:hAnsi="Arial"/>
          <w:sz w:val="19"/>
          <w:szCs w:val="19"/>
          <w:color w:val="auto"/>
        </w:rPr>
        <w:t>means for any calculation with respect to a Term SOFR Loan, the Term SOFR Reference Rate for a tenor</w:t>
      </w:r>
      <w:r>
        <w:rPr>
          <w:rFonts w:ascii="Arial" w:cs="Arial" w:eastAsia="Arial" w:hAnsi="Arial"/>
          <w:sz w:val="19"/>
          <w:szCs w:val="19"/>
          <w:b w:val="1"/>
          <w:bCs w:val="1"/>
          <w:color w:val="auto"/>
        </w:rPr>
        <w:t xml:space="preserve"> </w:t>
      </w:r>
      <w:r>
        <w:rPr>
          <w:rFonts w:ascii="Arial" w:cs="Arial" w:eastAsia="Arial" w:hAnsi="Arial"/>
          <w:sz w:val="19"/>
          <w:szCs w:val="19"/>
          <w:color w:val="auto"/>
        </w:rPr>
        <w:t>comparable to the applicable Interest Period on the day (such day, the “Lookback Day”) that is two (2) SOFR Business Days prior to the first day of such Interest Period (and rounded in accordance with the Administrative Agent’s customary practice), as such rate is published by the Term SOFR Administrator; provided, however, that if as of 5:00 p.m. (New York City time) on any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(3) SOFR Business Days prior to such Lookback Day, and for any calculation with respect to a Base Rate Loan, the Term SOFR Reference Rate for a tenor of one (1) month on the day that is two (2) SOFR Business Days prior to the date the Base Rate is determined, subject to the proviso provided above.</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“Term SOFR Administrator” </w:t>
      </w:r>
      <w:r>
        <w:rPr>
          <w:rFonts w:ascii="Arial" w:cs="Arial" w:eastAsia="Arial" w:hAnsi="Arial"/>
          <w:sz w:val="22"/>
          <w:szCs w:val="22"/>
          <w:color w:val="auto"/>
        </w:rPr>
        <w:t>means CME (or a successor administrator of the Term SOFR Reference Rate, as selected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“Term SOFR Borrowing” </w:t>
      </w:r>
      <w:r>
        <w:rPr>
          <w:rFonts w:ascii="Arial" w:cs="Arial" w:eastAsia="Arial" w:hAnsi="Arial"/>
          <w:sz w:val="22"/>
          <w:szCs w:val="22"/>
          <w:color w:val="auto"/>
        </w:rPr>
        <w:t>means a Borrowing comprised of Term SOFR Loans.</w:t>
      </w:r>
    </w:p>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“Term SOFR Loan” </w:t>
      </w:r>
      <w:r>
        <w:rPr>
          <w:rFonts w:ascii="Arial" w:cs="Arial" w:eastAsia="Arial" w:hAnsi="Arial"/>
          <w:sz w:val="22"/>
          <w:szCs w:val="22"/>
          <w:color w:val="auto"/>
        </w:rPr>
        <w:t>means each Loan bearing interest at a rate based upon Adjusted Term SOFR (other than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clause (c) of the definition of “Alternate Base Rate”).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“Term SOFR Reference Rate” </w:t>
      </w:r>
      <w:r>
        <w:rPr>
          <w:rFonts w:ascii="Arial" w:cs="Arial" w:eastAsia="Arial" w:hAnsi="Arial"/>
          <w:sz w:val="22"/>
          <w:szCs w:val="22"/>
          <w:color w:val="auto"/>
        </w:rPr>
        <w:t>means the forward-looking term rate based on SOFR.</w:t>
      </w:r>
    </w:p>
    <w:p>
      <w:pPr>
        <w:sectPr>
          <w:pgSz w:w="11900" w:h="16838" w:orient="portrait"/>
          <w:cols w:equalWidth="0" w:num="1">
            <w:col w:w="11240"/>
          </w:cols>
          <w:pgMar w:left="320" w:top="1422" w:right="339" w:bottom="1440" w:gutter="0" w:footer="0" w:header="0"/>
        </w:sectPr>
      </w:pPr>
    </w:p>
    <w:bookmarkStart w:id="223" w:name="page224"/>
    <w:bookmarkEnd w:id="223"/>
    <w:p>
      <w:pPr>
        <w:ind w:firstLine="648"/>
        <w:spacing w:after="0" w:line="269" w:lineRule="auto"/>
        <w:rPr>
          <w:sz w:val="20"/>
          <w:szCs w:val="20"/>
          <w:color w:val="auto"/>
        </w:rPr>
      </w:pPr>
      <w:r>
        <w:rPr>
          <w:rFonts w:ascii="Arial" w:cs="Arial" w:eastAsia="Arial" w:hAnsi="Arial"/>
          <w:sz w:val="22"/>
          <w:szCs w:val="22"/>
          <w:b w:val="1"/>
          <w:bCs w:val="1"/>
          <w:color w:val="auto"/>
        </w:rPr>
        <w:t xml:space="preserve">“Type” </w:t>
      </w:r>
      <w:r>
        <w:rPr>
          <w:rFonts w:ascii="Arial" w:cs="Arial" w:eastAsia="Arial" w:hAnsi="Arial"/>
          <w:sz w:val="22"/>
          <w:szCs w:val="22"/>
          <w:color w:val="auto"/>
        </w:rPr>
        <w:t>means any type of Loan determined with respect to the interest option applicable thereto, which in each case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a Base Rate Loan or a Term SOFR Loan.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 xml:space="preserve">“Unadjusted Benchmark Replacement” </w:t>
      </w:r>
      <w:r>
        <w:rPr>
          <w:rFonts w:ascii="Arial" w:cs="Arial" w:eastAsia="Arial" w:hAnsi="Arial"/>
          <w:sz w:val="22"/>
          <w:szCs w:val="22"/>
          <w:color w:val="auto"/>
        </w:rPr>
        <w:t>means the applicable Benchmark Replacement excluding the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Benchmark Replacement Adjustment.</w:t>
      </w:r>
    </w:p>
    <w:p>
      <w:pPr>
        <w:spacing w:after="0" w:line="276" w:lineRule="exact"/>
        <w:rPr>
          <w:sz w:val="20"/>
          <w:szCs w:val="20"/>
          <w:color w:val="auto"/>
        </w:rPr>
      </w:pPr>
    </w:p>
    <w:p>
      <w:pPr>
        <w:ind w:firstLine="656"/>
        <w:spacing w:after="0" w:line="494" w:lineRule="auto"/>
        <w:tabs>
          <w:tab w:leader="none" w:pos="130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to delete the definitions of “Adjusted LIBO Rate”, “Eurodollar”, “LIBO Rate” and “Statutory Reserve Adjustment” therefrom.</w:t>
      </w:r>
    </w:p>
    <w:p>
      <w:pPr>
        <w:spacing w:after="0" w:line="173" w:lineRule="exact"/>
        <w:rPr>
          <w:rFonts w:ascii="Arial" w:cs="Arial" w:eastAsia="Arial" w:hAnsi="Arial"/>
          <w:sz w:val="22"/>
          <w:szCs w:val="22"/>
          <w:color w:val="auto"/>
        </w:rPr>
      </w:pPr>
    </w:p>
    <w:p>
      <w:pPr>
        <w:ind w:left="1160" w:hanging="504"/>
        <w:spacing w:after="0"/>
        <w:tabs>
          <w:tab w:leader="none" w:pos="116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All references to “Eurodollar” in the Credit Agreement are hereby amended to refer to “SOFR” in lieu thereof.</w:t>
      </w:r>
    </w:p>
    <w:p>
      <w:pPr>
        <w:spacing w:after="0" w:line="200" w:lineRule="exact"/>
        <w:rPr>
          <w:rFonts w:ascii="Arial" w:cs="Arial" w:eastAsia="Arial" w:hAnsi="Arial"/>
          <w:sz w:val="21"/>
          <w:szCs w:val="21"/>
          <w:color w:val="auto"/>
        </w:rPr>
      </w:pPr>
    </w:p>
    <w:p>
      <w:pPr>
        <w:spacing w:after="0" w:line="274" w:lineRule="exact"/>
        <w:rPr>
          <w:rFonts w:ascii="Arial" w:cs="Arial" w:eastAsia="Arial" w:hAnsi="Arial"/>
          <w:sz w:val="21"/>
          <w:szCs w:val="21"/>
          <w:color w:val="auto"/>
        </w:rPr>
      </w:pPr>
    </w:p>
    <w:p>
      <w:pPr>
        <w:ind w:right="20" w:firstLine="656"/>
        <w:spacing w:after="0" w:line="494" w:lineRule="auto"/>
        <w:tabs>
          <w:tab w:leader="none" w:pos="119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All references to “Adjusted LIBO Rate” in the Credit Agreement are hereby amended to refer to “Adjusted Term SOFR” in lieu thereof.</w:t>
      </w:r>
    </w:p>
    <w:p>
      <w:pPr>
        <w:spacing w:after="0" w:line="173" w:lineRule="exact"/>
        <w:rPr>
          <w:rFonts w:ascii="Arial" w:cs="Arial" w:eastAsia="Arial" w:hAnsi="Arial"/>
          <w:sz w:val="22"/>
          <w:szCs w:val="22"/>
          <w:color w:val="auto"/>
        </w:rPr>
      </w:pPr>
    </w:p>
    <w:p>
      <w:pPr>
        <w:ind w:right="20" w:firstLine="656"/>
        <w:spacing w:after="0" w:line="494" w:lineRule="auto"/>
        <w:tabs>
          <w:tab w:leader="none" w:pos="125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All references to the “London interbank market” in the Credit Agreement are hereby amended to refer to the “applicable interbank market” in lieu thereof.</w:t>
      </w:r>
    </w:p>
    <w:p>
      <w:pPr>
        <w:spacing w:after="0" w:line="187" w:lineRule="exact"/>
        <w:rPr>
          <w:rFonts w:ascii="Arial" w:cs="Arial" w:eastAsia="Arial" w:hAnsi="Arial"/>
          <w:sz w:val="22"/>
          <w:szCs w:val="22"/>
          <w:color w:val="auto"/>
        </w:rPr>
      </w:pPr>
    </w:p>
    <w:p>
      <w:pPr>
        <w:ind w:left="1160" w:hanging="504"/>
        <w:spacing w:after="0"/>
        <w:tabs>
          <w:tab w:leader="none" w:pos="11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Article 1 of the Credit Agreement is hereby amended by adding the following new Section 1.07:</w:t>
      </w:r>
    </w:p>
    <w:p>
      <w:pPr>
        <w:spacing w:after="0" w:line="3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i w:val="1"/>
          <w:iCs w:val="1"/>
          <w:color w:val="auto"/>
        </w:rPr>
        <w:t>Rates</w:t>
      </w:r>
      <w:r>
        <w:rPr>
          <w:rFonts w:ascii="Arial" w:cs="Arial" w:eastAsia="Arial" w:hAnsi="Arial"/>
          <w:sz w:val="21"/>
          <w:szCs w:val="21"/>
          <w:color w:val="auto"/>
        </w:rPr>
        <w:t>. The interest rate on Loans denominated in Dollars may 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or Term SOFR or any other Benchmark prior to its discontinuance or unavailability, or (b) the effect, implementation or composition of</w:t>
      </w:r>
    </w:p>
    <w:p>
      <w:pPr>
        <w:sectPr>
          <w:pgSz w:w="11900" w:h="16838" w:orient="portrait"/>
          <w:cols w:equalWidth="0" w:num="1">
            <w:col w:w="11240"/>
          </w:cols>
          <w:pgMar w:left="320" w:top="1422" w:right="339" w:bottom="1440" w:gutter="0" w:footer="0" w:header="0"/>
        </w:sectPr>
      </w:pPr>
    </w:p>
    <w:bookmarkStart w:id="224" w:name="page225"/>
    <w:bookmarkEnd w:id="224"/>
    <w:p>
      <w:pPr>
        <w:jc w:val="both"/>
        <w:spacing w:after="0" w:line="289" w:lineRule="auto"/>
        <w:rPr>
          <w:sz w:val="20"/>
          <w:szCs w:val="20"/>
          <w:color w:val="auto"/>
        </w:rPr>
      </w:pPr>
      <w:r>
        <w:rPr>
          <w:rFonts w:ascii="Arial" w:cs="Arial" w:eastAsia="Arial" w:hAnsi="Arial"/>
          <w:sz w:val="19"/>
          <w:szCs w:val="19"/>
          <w:color w:val="auto"/>
        </w:rPr>
        <w:t>any Conforming Changes. The Administrative Agent and its affiliates or other related entities may engage in transactions that affect the calculation of the Base Rate, the Term SOFR Reference Rate, Adjusted Term SOFR or Term SOFR,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the Base Rate, the Term SOFR Reference Rate, Adjusted Term SOFR or Term SOFR or any other Benchmark, in each case pursuant to the terms of this Agreement, and shall have no liability to the Borrowers,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The Administrative Agent will, in keeping with industry practice, continue using its current rounding practices in connection with the Base Rate, the Term SOFR Reference Rate, Adjusted Term SOFR or Term SOFR.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Agent and the Lenders of the effectiveness of any Conforming Changes in connection with the use or administration of Term SOFR.”</w:t>
      </w:r>
    </w:p>
    <w:p>
      <w:pPr>
        <w:spacing w:after="0" w:line="200" w:lineRule="exact"/>
        <w:rPr>
          <w:sz w:val="20"/>
          <w:szCs w:val="20"/>
          <w:color w:val="auto"/>
        </w:rPr>
      </w:pPr>
    </w:p>
    <w:p>
      <w:pPr>
        <w:spacing w:after="0" w:line="33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Section 2.14 of the Credit Agreement is hereby amended and restated in its entirety to provide as follows:</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i w:val="1"/>
          <w:iCs w:val="1"/>
          <w:color w:val="auto"/>
        </w:rPr>
        <w:t>Benchmark Replacement Setting.</w:t>
      </w:r>
    </w:p>
    <w:p>
      <w:pPr>
        <w:spacing w:after="0" w:line="220" w:lineRule="exact"/>
        <w:rPr>
          <w:sz w:val="20"/>
          <w:szCs w:val="20"/>
          <w:color w:val="auto"/>
        </w:rPr>
      </w:pPr>
    </w:p>
    <w:p>
      <w:pPr>
        <w:jc w:val="both"/>
        <w:ind w:firstLine="656"/>
        <w:spacing w:after="0" w:line="260" w:lineRule="auto"/>
        <w:tabs>
          <w:tab w:leader="none" w:pos="1171"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Temporary Inability to Determine Rate</w:t>
      </w:r>
      <w:r>
        <w:rPr>
          <w:rFonts w:ascii="Arial" w:cs="Arial" w:eastAsia="Arial" w:hAnsi="Arial"/>
          <w:sz w:val="21"/>
          <w:szCs w:val="21"/>
          <w:color w:val="auto"/>
        </w:rPr>
        <w:t>. If (a) the Administrative Agent determines (which determination shall be conclusive and binding absent manifest error) that Adjusted Term SOFR cannot be determined pursuant to the definition thereof or (b) 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funding such Loan, and the Required Lenders have provided notice of such determination to the Administrative Agent, in each case of (a) and (b), on or prior to the first day of any Interest Period, the Administrative Agent will promptly so notify the Borrower Agent and each Lender. Upon notice thereof by the Administrative Agent to the Borrower Agent, (i) any obligation of the Lenders to make or continue the applicable SOFR Loans or to convert Base Rate Loans to SOFR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“Alternate Base</w:t>
      </w:r>
    </w:p>
    <w:p>
      <w:pPr>
        <w:sectPr>
          <w:pgSz w:w="11900" w:h="16838" w:orient="portrait"/>
          <w:cols w:equalWidth="0" w:num="1">
            <w:col w:w="11240"/>
          </w:cols>
          <w:pgMar w:left="320" w:top="1428" w:right="339" w:bottom="1440" w:gutter="0" w:footer="0" w:header="0"/>
        </w:sectPr>
      </w:pPr>
    </w:p>
    <w:bookmarkStart w:id="225" w:name="page226"/>
    <w:bookmarkEnd w:id="225"/>
    <w:p>
      <w:pPr>
        <w:jc w:val="both"/>
        <w:spacing w:after="0" w:line="291" w:lineRule="auto"/>
        <w:rPr>
          <w:sz w:val="20"/>
          <w:szCs w:val="20"/>
          <w:color w:val="auto"/>
        </w:rPr>
      </w:pPr>
      <w:r>
        <w:rPr>
          <w:rFonts w:ascii="Arial" w:cs="Arial" w:eastAsia="Arial" w:hAnsi="Arial"/>
          <w:sz w:val="19"/>
          <w:szCs w:val="19"/>
          <w:color w:val="auto"/>
        </w:rPr>
        <w:t>Rate” until the Administrative Agent revokes such notice. Upon receipt of such notice, (A) the Borrower Agent may revoke any pending request for a Borrowing of, conversion to or continuation of any applicable SOFR Loans (to the extent of the affected SOFR Loans or affected Interest Periods) or, failing that, the Borrower Agent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conversion, the Borrower Agent shall also pay accrued interest on the amount so converted, together with any additional amounts required pursuant to Section 2.16.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“Alternate Base Rate” until the Administrative Agent revokes such determination.</w:t>
      </w:r>
    </w:p>
    <w:p>
      <w:pPr>
        <w:spacing w:after="0" w:line="159" w:lineRule="exact"/>
        <w:rPr>
          <w:sz w:val="20"/>
          <w:szCs w:val="20"/>
          <w:color w:val="auto"/>
        </w:rPr>
      </w:pPr>
    </w:p>
    <w:p>
      <w:pPr>
        <w:jc w:val="both"/>
        <w:ind w:firstLine="656"/>
        <w:spacing w:after="0" w:line="291" w:lineRule="auto"/>
        <w:tabs>
          <w:tab w:leader="none" w:pos="1116"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Notwithstanding anything to the contrary herein or in any other Loan Document, upon the occurrence of a Benchmark Transition Event, the Administrative Agent and the Borrower Agent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Lenders and the Borrower Agent so long as the Administrative Agent has not received, by such time, written notice of objection to such amendment from Lenders comprising the Required Lenders. No replacement of the then-current Benchmark with a Benchmark Replacement pursuant to this Section 2.14 will occur prior to the applicable Benchmark Transition Start Date. Unless and until a Benchmark Replacement is effective in accordance with this clause (b), all Loans shall be converted into Base Rate Loans in accordance with the provisions of clause (a) above.</w:t>
      </w:r>
    </w:p>
    <w:p>
      <w:pPr>
        <w:spacing w:after="0" w:line="167" w:lineRule="exact"/>
        <w:rPr>
          <w:rFonts w:ascii="Arial" w:cs="Arial" w:eastAsia="Arial" w:hAnsi="Arial"/>
          <w:sz w:val="19"/>
          <w:szCs w:val="19"/>
          <w:color w:val="auto"/>
        </w:rPr>
      </w:pPr>
    </w:p>
    <w:p>
      <w:pPr>
        <w:jc w:val="both"/>
        <w:ind w:firstLine="656"/>
        <w:spacing w:after="0" w:line="248" w:lineRule="auto"/>
        <w:tabs>
          <w:tab w:leader="none" w:pos="1414"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205" w:lineRule="exact"/>
        <w:rPr>
          <w:rFonts w:ascii="Arial" w:cs="Arial" w:eastAsia="Arial" w:hAnsi="Arial"/>
          <w:sz w:val="22"/>
          <w:szCs w:val="22"/>
          <w:color w:val="auto"/>
        </w:rPr>
      </w:pPr>
    </w:p>
    <w:p>
      <w:pPr>
        <w:jc w:val="both"/>
        <w:ind w:firstLine="656"/>
        <w:spacing w:after="0" w:line="261" w:lineRule="auto"/>
        <w:tabs>
          <w:tab w:leader="none" w:pos="1143"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Notices; Standards for Decisions and Determinations</w:t>
      </w:r>
      <w:r>
        <w:rPr>
          <w:rFonts w:ascii="Arial" w:cs="Arial" w:eastAsia="Arial" w:hAnsi="Arial"/>
          <w:sz w:val="21"/>
          <w:szCs w:val="21"/>
          <w:color w:val="auto"/>
        </w:rPr>
        <w:t>. The Administrative Agent will promptly notify the Borrower Agent and the Lenders of the implementation of any Benchmark Replacement and the effectiveness of any Conforming Changes. The Administrative Agent will notify the Borrower Agent and the removal or reinstatement of any tenor of a Benchmark.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ectPr>
          <w:pgSz w:w="11900" w:h="16838" w:orient="portrait"/>
          <w:cols w:equalWidth="0" w:num="1">
            <w:col w:w="11240"/>
          </w:cols>
          <w:pgMar w:left="320" w:top="1428" w:right="339" w:bottom="1440" w:gutter="0" w:footer="0" w:header="0"/>
        </w:sectPr>
      </w:pPr>
    </w:p>
    <w:bookmarkStart w:id="226" w:name="page227"/>
    <w:bookmarkEnd w:id="226"/>
    <w:p>
      <w:pPr>
        <w:jc w:val="both"/>
        <w:ind w:firstLine="656"/>
        <w:spacing w:after="0" w:line="289" w:lineRule="auto"/>
        <w:tabs>
          <w:tab w:leader="none" w:pos="1252"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262" w:lineRule="auto"/>
        <w:tabs>
          <w:tab w:leader="none" w:pos="1282"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Upon the Borrower Agent’s receipt of notice of the commencement of a Benchmark Unavailability Period, the Borrower Agent may revoke any request for the applicable SOFR Borrowing of, conversion to or continuation of SOFR Loans to be made, converted or continued during any Benchmark Unavailability Period and, failing that, the Borrower Agent will be deemed to have converted any such request into a request for a Borrowing of or conversion to Base Rate Loans. During any Benchmark Unavailability Period or at any time that a tenor for the then-current Benchmark is not an Available Tenor, the component of Alternate Base Rate based upon Adjusted Term SOFR (or then-current Benchmark) will not be used in any determination of Alternate Base Rate.”</w:t>
      </w:r>
    </w:p>
    <w:p>
      <w:pPr>
        <w:spacing w:after="0" w:line="30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Section 3.05 of the Credit Agreement is hereby amended and restated in its entirety to provide as follows:</w:t>
      </w:r>
    </w:p>
    <w:p>
      <w:pPr>
        <w:spacing w:after="0" w:line="3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i w:val="1"/>
          <w:iCs w:val="1"/>
          <w:color w:val="auto"/>
        </w:rPr>
        <w:t>Insurance Licenses</w:t>
      </w:r>
      <w:r>
        <w:rPr>
          <w:rFonts w:ascii="Arial" w:cs="Arial" w:eastAsia="Arial" w:hAnsi="Arial"/>
          <w:sz w:val="21"/>
          <w:szCs w:val="21"/>
          <w:color w:val="auto"/>
        </w:rPr>
        <w:t>. Schedule T to the most recent annual Statutory Statement of each Domestic Insurance Subsidiary lists all of the jurisdictions in which such Domestic Insurance Subsidiary holds active licenses (including, without limitation, licenses or certificates of authority from Applicable Insurance Regulatory Authorities), permits or authorizations to transact insurance and reinsurance business or to act as an insurance agent or broker (collectively, the “</w:t>
      </w:r>
      <w:r>
        <w:rPr>
          <w:rFonts w:ascii="Arial" w:cs="Arial" w:eastAsia="Arial" w:hAnsi="Arial"/>
          <w:sz w:val="21"/>
          <w:szCs w:val="21"/>
          <w:b w:val="1"/>
          <w:bCs w:val="1"/>
          <w:color w:val="auto"/>
        </w:rPr>
        <w:t>Licenses</w:t>
      </w:r>
      <w:r>
        <w:rPr>
          <w:rFonts w:ascii="Arial" w:cs="Arial" w:eastAsia="Arial" w:hAnsi="Arial"/>
          <w:sz w:val="21"/>
          <w:szCs w:val="21"/>
          <w:color w:val="auto"/>
        </w:rPr>
        <w:t>”), and Schedule 3.05 hereto lists all of the jurisdictions in which JRG Reinsurance holds active Licenses (including, without limitation, Licenses from Applicable Insurance Regulatory Authorities). Each</w:t>
      </w:r>
    </w:p>
    <w:p>
      <w:pPr>
        <w:sectPr>
          <w:pgSz w:w="11900" w:h="16838" w:orient="portrait"/>
          <w:cols w:equalWidth="0" w:num="1">
            <w:col w:w="11240"/>
          </w:cols>
          <w:pgMar w:left="320" w:top="1428" w:right="339" w:bottom="1440" w:gutter="0" w:footer="0" w:header="0"/>
        </w:sectPr>
      </w:pPr>
    </w:p>
    <w:bookmarkStart w:id="227" w:name="page228"/>
    <w:bookmarkEnd w:id="227"/>
    <w:p>
      <w:pPr>
        <w:jc w:val="both"/>
        <w:spacing w:after="0" w:line="251" w:lineRule="auto"/>
        <w:rPr>
          <w:sz w:val="20"/>
          <w:szCs w:val="20"/>
          <w:color w:val="auto"/>
        </w:rPr>
      </w:pPr>
      <w:r>
        <w:rPr>
          <w:rFonts w:ascii="Arial" w:cs="Arial" w:eastAsia="Arial" w:hAnsi="Arial"/>
          <w:sz w:val="22"/>
          <w:szCs w:val="22"/>
          <w:color w:val="auto"/>
        </w:rPr>
        <w:t>Insurance Subsidiary is in compliance in all material respects with each License held by it. No License (to the extent material) is the subject of a proceeding for suspension or revocation or any similar proceedings, there is no sustainable basis for such a suspension or revocation, and to the knowledge of each Borrower no such suspension or revocation has been threatened by any Applicable Insurance Regulatory Authority except in any such case where such proceedings would not have a Material Adverse Effect.”</w:t>
      </w:r>
    </w:p>
    <w:p>
      <w:pPr>
        <w:spacing w:after="0" w:line="311" w:lineRule="exact"/>
        <w:rPr>
          <w:sz w:val="20"/>
          <w:szCs w:val="20"/>
          <w:color w:val="auto"/>
        </w:rPr>
      </w:pPr>
    </w:p>
    <w:p>
      <w:pPr>
        <w:ind w:left="1200" w:hanging="544"/>
        <w:spacing w:after="0"/>
        <w:tabs>
          <w:tab w:leader="none" w:pos="12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Section 6.16(b) of the Credit Agreement is hereby amended by adding the following proviso to the end of such</w:t>
      </w:r>
    </w:p>
    <w:p>
      <w:pPr>
        <w:spacing w:after="0" w:line="281" w:lineRule="exact"/>
        <w:rPr>
          <w:rFonts w:ascii="Arial" w:cs="Arial" w:eastAsia="Arial" w:hAnsi="Arial"/>
          <w:sz w:val="19"/>
          <w:szCs w:val="19"/>
          <w:color w:val="auto"/>
        </w:rPr>
      </w:pPr>
    </w:p>
    <w:p>
      <w:pPr>
        <w:jc w:val="both"/>
        <w:spacing w:after="0" w:line="484" w:lineRule="auto"/>
        <w:rPr>
          <w:rFonts w:ascii="Arial" w:cs="Arial" w:eastAsia="Arial" w:hAnsi="Arial"/>
          <w:sz w:val="19"/>
          <w:szCs w:val="19"/>
          <w:color w:val="auto"/>
        </w:rPr>
      </w:pPr>
      <w:r>
        <w:rPr>
          <w:rFonts w:ascii="Arial" w:cs="Arial" w:eastAsia="Arial" w:hAnsi="Arial"/>
          <w:sz w:val="22"/>
          <w:szCs w:val="22"/>
          <w:color w:val="auto"/>
        </w:rPr>
        <w:t xml:space="preserve">Section: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6.16(b) shall not prohibit any amendment, waiver or other modification if the effect of such amendment, waiver or other modification is to replace any benchmark interest rate of such Debt based on LIBOR with a benchmark interest rate based on SOFR.”</w:t>
      </w:r>
    </w:p>
    <w:p>
      <w:pPr>
        <w:spacing w:after="0" w:line="184" w:lineRule="exact"/>
        <w:rPr>
          <w:sz w:val="20"/>
          <w:szCs w:val="20"/>
          <w:color w:val="auto"/>
        </w:rPr>
      </w:pPr>
    </w:p>
    <w:p>
      <w:pPr>
        <w:ind w:firstLine="656"/>
        <w:spacing w:after="0" w:line="494" w:lineRule="auto"/>
        <w:tabs>
          <w:tab w:leader="none" w:pos="111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The Credit Agreement is hereby amended to delete Pricing Schedule therefrom and to insert in place thereof a new Pricing Schedule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7" w:lineRule="exact"/>
        <w:rPr>
          <w:sz w:val="20"/>
          <w:szCs w:val="20"/>
          <w:color w:val="auto"/>
        </w:rPr>
      </w:pPr>
    </w:p>
    <w:p>
      <w:pPr>
        <w:jc w:val="both"/>
        <w:ind w:firstLine="656"/>
        <w:spacing w:after="0" w:line="484" w:lineRule="auto"/>
        <w:tabs>
          <w:tab w:leader="none" w:pos="112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Amendment Effective Date; Conditions Precedent</w:t>
      </w:r>
      <w:r>
        <w:rPr>
          <w:rFonts w:ascii="Arial" w:cs="Arial" w:eastAsia="Arial" w:hAnsi="Arial"/>
          <w:sz w:val="22"/>
          <w:szCs w:val="22"/>
          <w:color w:val="auto"/>
        </w:rPr>
        <w:t>. The amendments set forth in Paragraph 1, above, shall not be effective unless and until the date on which all of the following conditions precedent have been satisfied (such date of effectiveness being the “Second Amendment Effective Date”):</w:t>
      </w:r>
    </w:p>
    <w:p>
      <w:pPr>
        <w:spacing w:after="0" w:line="184" w:lineRule="exact"/>
        <w:rPr>
          <w:sz w:val="20"/>
          <w:szCs w:val="20"/>
          <w:color w:val="auto"/>
        </w:rPr>
      </w:pPr>
    </w:p>
    <w:p>
      <w:pPr>
        <w:jc w:val="both"/>
        <w:ind w:firstLine="656"/>
        <w:spacing w:after="0" w:line="507" w:lineRule="auto"/>
        <w:tabs>
          <w:tab w:leader="none" w:pos="1104"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Borrowers’ Certifications</w:t>
      </w:r>
      <w:r>
        <w:rPr>
          <w:rFonts w:ascii="Arial" w:cs="Arial" w:eastAsia="Arial" w:hAnsi="Arial"/>
          <w:sz w:val="21"/>
          <w:szCs w:val="21"/>
          <w:color w:val="auto"/>
        </w:rPr>
        <w:t>. On the Second Amendment Effective Date, after giving effect to the amendments set forth in Paragraph 1, above, the Borrowers hereby certify that (i) no Default exists, (ii) the representations and warranties of the Borrowers under Article 3 of the Credit Agreement are true and correct in all material respects as of the Second Amendment Effective Date (unless and to the extent that any such representation and warranty is stated to</w:t>
      </w:r>
    </w:p>
    <w:p>
      <w:pPr>
        <w:sectPr>
          <w:pgSz w:w="11900" w:h="16838" w:orient="portrait"/>
          <w:cols w:equalWidth="0" w:num="1">
            <w:col w:w="11240"/>
          </w:cols>
          <w:pgMar w:left="320" w:top="1428" w:right="339" w:bottom="1440" w:gutter="0" w:footer="0" w:header="0"/>
        </w:sectPr>
      </w:pPr>
    </w:p>
    <w:bookmarkStart w:id="228" w:name="page229"/>
    <w:bookmarkEnd w:id="228"/>
    <w:p>
      <w:pPr>
        <w:spacing w:after="0" w:line="110" w:lineRule="exact"/>
        <w:rPr>
          <w:sz w:val="20"/>
          <w:szCs w:val="20"/>
          <w:color w:val="auto"/>
        </w:rPr>
      </w:pPr>
    </w:p>
    <w:p>
      <w:pPr>
        <w:jc w:val="both"/>
        <w:spacing w:after="0" w:line="579" w:lineRule="auto"/>
        <w:rPr>
          <w:sz w:val="20"/>
          <w:szCs w:val="20"/>
          <w:color w:val="auto"/>
        </w:rPr>
      </w:pPr>
      <w:r>
        <w:rPr>
          <w:rFonts w:ascii="Arial" w:cs="Arial" w:eastAsia="Arial" w:hAnsi="Arial"/>
          <w:sz w:val="19"/>
          <w:szCs w:val="19"/>
          <w:color w:val="auto"/>
        </w:rPr>
        <w:t>relate solely to an earlier date, in which case such representation and warranty shall have been true and correct in all material respects as of such earlier date), (iii) the execution, delivery and performance of this Second Amendment has been authorized by all necessary corporate or company action, and (iv) the Regulatory Condition Satisfaction remains effective.</w:t>
      </w:r>
    </w:p>
    <w:p>
      <w:pPr>
        <w:spacing w:after="0" w:line="133" w:lineRule="exact"/>
        <w:rPr>
          <w:sz w:val="20"/>
          <w:szCs w:val="20"/>
          <w:color w:val="auto"/>
        </w:rPr>
      </w:pPr>
    </w:p>
    <w:p>
      <w:pPr>
        <w:ind w:firstLine="656"/>
        <w:spacing w:after="0" w:line="610" w:lineRule="auto"/>
        <w:tabs>
          <w:tab w:leader="none" w:pos="1197"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Second Amendment</w:t>
      </w:r>
      <w:r>
        <w:rPr>
          <w:rFonts w:ascii="Arial" w:cs="Arial" w:eastAsia="Arial" w:hAnsi="Arial"/>
          <w:sz w:val="19"/>
          <w:szCs w:val="19"/>
          <w:color w:val="auto"/>
        </w:rPr>
        <w:t>. The Administrative Agent or the Special Counsel (defined below) shall have received from each Borrower and each Lender party hereto a counterpart of this Second Amendment signed on behalf of such party.</w:t>
      </w:r>
    </w:p>
    <w:p>
      <w:pPr>
        <w:spacing w:after="0" w:line="118" w:lineRule="exact"/>
        <w:rPr>
          <w:sz w:val="20"/>
          <w:szCs w:val="20"/>
          <w:color w:val="auto"/>
        </w:rPr>
      </w:pPr>
    </w:p>
    <w:p>
      <w:pPr>
        <w:ind w:right="20" w:firstLine="656"/>
        <w:spacing w:after="0" w:line="494" w:lineRule="auto"/>
        <w:tabs>
          <w:tab w:leader="none" w:pos="1039"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No Other Modifications</w:t>
      </w:r>
      <w:r>
        <w:rPr>
          <w:rFonts w:ascii="Arial" w:cs="Arial" w:eastAsia="Arial" w:hAnsi="Arial"/>
          <w:sz w:val="22"/>
          <w:szCs w:val="22"/>
          <w:color w:val="auto"/>
        </w:rPr>
        <w:t>. Except as expressly provided in this Second Amendment, all of the terms and conditions of the Credit Agreement and the other Loan Documents remain unchanged and in full force and effect.</w:t>
      </w:r>
    </w:p>
    <w:p>
      <w:pPr>
        <w:spacing w:after="0" w:line="173" w:lineRule="exact"/>
        <w:rPr>
          <w:rFonts w:ascii="Arial" w:cs="Arial" w:eastAsia="Arial" w:hAnsi="Arial"/>
          <w:sz w:val="22"/>
          <w:szCs w:val="22"/>
          <w:color w:val="auto"/>
        </w:rPr>
      </w:pPr>
    </w:p>
    <w:p>
      <w:pPr>
        <w:jc w:val="both"/>
        <w:ind w:firstLine="656"/>
        <w:spacing w:after="0" w:line="477" w:lineRule="auto"/>
        <w:tabs>
          <w:tab w:leader="none" w:pos="1053"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Confirmation of Obligations</w:t>
      </w:r>
      <w:r>
        <w:rPr>
          <w:rFonts w:ascii="Arial" w:cs="Arial" w:eastAsia="Arial" w:hAnsi="Arial"/>
          <w:sz w:val="22"/>
          <w:szCs w:val="22"/>
          <w:color w:val="auto"/>
        </w:rPr>
        <w:t>. Each Borrower hereby affirms as of the date hereof all of its respective Debt and other obligations to each of the Lender Parties under and pursuant to the Credit Agreement and each of the other Loan Documents and that such Debt and other obligations are owed to each of the Lender Parties according to their respective terms. Each Borrower hereby affirms as of the date hereof that there are no claims or defenses to the enforcement by the Lender Parties of the Debt and other obligations of such Borrower to each of them under and pursuant to the Credit Agreement or any of the other Loan Documents.</w:t>
      </w:r>
    </w:p>
    <w:p>
      <w:pPr>
        <w:spacing w:after="0" w:line="196" w:lineRule="exact"/>
        <w:rPr>
          <w:rFonts w:ascii="Arial" w:cs="Arial" w:eastAsia="Arial" w:hAnsi="Arial"/>
          <w:sz w:val="22"/>
          <w:szCs w:val="22"/>
          <w:color w:val="auto"/>
        </w:rPr>
      </w:pPr>
    </w:p>
    <w:p>
      <w:pPr>
        <w:jc w:val="both"/>
        <w:ind w:firstLine="656"/>
        <w:spacing w:after="0" w:line="484" w:lineRule="auto"/>
        <w:tabs>
          <w:tab w:leader="none" w:pos="1174"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Administrative Agent’s Expense</w:t>
      </w:r>
      <w:r>
        <w:rPr>
          <w:rFonts w:ascii="Arial" w:cs="Arial" w:eastAsia="Arial" w:hAnsi="Arial"/>
          <w:sz w:val="22"/>
          <w:szCs w:val="22"/>
          <w:color w:val="auto"/>
        </w:rPr>
        <w:t>. The Borrowers agree to reimburse the Administrative Agent promptly for its reasonable invoiced out-of-pocket costs and expenses incurred in connection with this Second Amendment and the transactions contemplated hereby, including, without limitation, the reasonable fees and expenses of the Squire Patton Boggs (US) LLP, special counsel to the Administrative Agent.</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10" w:lineRule="exact"/>
        <w:rPr>
          <w:sz w:val="20"/>
          <w:szCs w:val="20"/>
          <w:color w:val="auto"/>
        </w:rPr>
      </w:pPr>
    </w:p>
    <w:p>
      <w:pPr>
        <w:jc w:val="both"/>
        <w:ind w:left="-656" w:firstLine="656"/>
        <w:spacing w:after="0" w:line="480" w:lineRule="auto"/>
        <w:tabs>
          <w:tab w:leader="none" w:pos="707"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Governing Law; Binding Effect</w:t>
      </w:r>
      <w:r>
        <w:rPr>
          <w:rFonts w:ascii="Arial" w:cs="Arial" w:eastAsia="Arial" w:hAnsi="Arial"/>
          <w:sz w:val="22"/>
          <w:szCs w:val="22"/>
          <w:color w:val="auto"/>
        </w:rPr>
        <w:t>. THIS SECOND AMENDMENT SHALL BE GOVERNED BY AND CONSTRUED IN ACCORDANCE WITH THE LAWS OF THE STATE OF NEW YORK AND SHALL BE BINDING UPON AND INURE TO THE BENEFIT OF THE BORROWERS, THE LENDERS AND THE ADMINISTRATIVE AGENT AND THEIR RESPECTIVE SUCCESSORS AND ASSIGNS.</w:t>
      </w:r>
    </w:p>
    <w:p>
      <w:pPr>
        <w:spacing w:after="0" w:line="190" w:lineRule="exact"/>
        <w:rPr>
          <w:rFonts w:ascii="Arial" w:cs="Arial" w:eastAsia="Arial" w:hAnsi="Arial"/>
          <w:sz w:val="22"/>
          <w:szCs w:val="22"/>
          <w:color w:val="auto"/>
        </w:rPr>
      </w:pPr>
    </w:p>
    <w:p>
      <w:pPr>
        <w:jc w:val="both"/>
        <w:ind w:left="-656" w:firstLine="656"/>
        <w:spacing w:after="0" w:line="504" w:lineRule="auto"/>
        <w:tabs>
          <w:tab w:leader="none" w:pos="464"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Second Amendment may be executed in any number of counterparts, each of which when so executed shall be deemed to be an original, but all such counterparts shall constitute one and the same instrument, and all signatures need not appear on any one counterpart. Any party hereto may execute and deliver a counterpart of this Second Amendment by delivering by facsimile or email transmission a signature page of this Second Amendment signed by such party, and any such facsimile or email signature shall be treated in all respects as having the same effect as an original signature. Any party delivering by facsimile or email transmission a counterpart executed by it shall promptly thereafter also deliver a manually signed counterpart of this Second Amendment.</w:t>
      </w:r>
    </w:p>
    <w:p>
      <w:pPr>
        <w:spacing w:after="0" w:line="176" w:lineRule="exact"/>
        <w:rPr>
          <w:rFonts w:ascii="Arial" w:cs="Arial" w:eastAsia="Arial" w:hAnsi="Arial"/>
          <w:sz w:val="21"/>
          <w:szCs w:val="21"/>
          <w:color w:val="auto"/>
        </w:rPr>
      </w:pPr>
    </w:p>
    <w:p>
      <w:pPr>
        <w:ind w:left="384" w:hanging="384"/>
        <w:spacing w:after="0"/>
        <w:tabs>
          <w:tab w:leader="none" w:pos="384"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64" w:hanging="464"/>
        <w:spacing w:after="0"/>
        <w:tabs>
          <w:tab w:leader="none" w:pos="464" w:val="left"/>
        </w:tabs>
        <w:numPr>
          <w:ilvl w:val="0"/>
          <w:numId w:val="153"/>
        </w:numPr>
        <w:rPr>
          <w:rFonts w:ascii="Arial" w:cs="Arial" w:eastAsia="Arial" w:hAnsi="Arial"/>
          <w:sz w:val="21"/>
          <w:szCs w:val="21"/>
          <w:color w:val="auto"/>
        </w:rPr>
      </w:pPr>
      <w:r>
        <w:rPr>
          <w:rFonts w:ascii="Arial" w:cs="Arial" w:eastAsia="Arial" w:hAnsi="Arial"/>
          <w:sz w:val="21"/>
          <w:szCs w:val="21"/>
          <w:color w:val="auto"/>
        </w:rPr>
        <w:t>Upon the effectiveness of this Second Amendment, this Second Amendment shall be a Loan Document.</w:t>
      </w:r>
    </w:p>
    <w:p>
      <w:pPr>
        <w:spacing w:after="0" w:line="200" w:lineRule="exact"/>
        <w:rPr>
          <w:rFonts w:ascii="Arial" w:cs="Arial" w:eastAsia="Arial" w:hAnsi="Arial"/>
          <w:sz w:val="21"/>
          <w:szCs w:val="21"/>
          <w:color w:val="auto"/>
        </w:rPr>
      </w:pPr>
    </w:p>
    <w:p>
      <w:pPr>
        <w:spacing w:after="0" w:line="274" w:lineRule="exact"/>
        <w:rPr>
          <w:rFonts w:ascii="Arial" w:cs="Arial" w:eastAsia="Arial" w:hAnsi="Arial"/>
          <w:sz w:val="21"/>
          <w:szCs w:val="21"/>
          <w:color w:val="auto"/>
        </w:rPr>
      </w:pPr>
    </w:p>
    <w:p>
      <w:pPr>
        <w:jc w:val="both"/>
        <w:ind w:left="-656" w:firstLine="656"/>
        <w:spacing w:after="0" w:line="490" w:lineRule="auto"/>
        <w:tabs>
          <w:tab w:leader="none" w:pos="47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invalidity, illegality, or unenforceability of any provision in or Obligation under this Second Amendment in any jurisdiction shall not affect or impair the validity, legality, or enforceability of the remaining provisions or obligations under this Second Amendment or of such provision or obligation in any other jurisdiction.</w:t>
      </w:r>
    </w:p>
    <w:p>
      <w:pPr>
        <w:sectPr>
          <w:pgSz w:w="11900" w:h="16838" w:orient="portrait"/>
          <w:cols w:equalWidth="0" w:num="1">
            <w:col w:w="10584"/>
          </w:cols>
          <w:pgMar w:left="976" w:top="1440" w:right="339" w:bottom="1440" w:gutter="0" w:footer="0" w:header="0"/>
        </w:sectPr>
      </w:pPr>
    </w:p>
    <w:bookmarkStart w:id="230" w:name="page231"/>
    <w:bookmarkEnd w:id="230"/>
    <w:p>
      <w:pPr>
        <w:spacing w:after="0" w:line="110" w:lineRule="exact"/>
        <w:rPr>
          <w:sz w:val="20"/>
          <w:szCs w:val="20"/>
          <w:color w:val="auto"/>
        </w:rPr>
      </w:pPr>
    </w:p>
    <w:p>
      <w:pPr>
        <w:jc w:val="both"/>
        <w:ind w:left="-656" w:firstLine="656"/>
        <w:spacing w:after="0" w:line="557" w:lineRule="auto"/>
        <w:tabs>
          <w:tab w:leader="none" w:pos="58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This Second Amendment and all other agreements and documents executed in connection herewith have been prepared through the joint efforts of all of the parties. Neither the provisions of this Second Amendment or any such other agreements and documents nor any alleged ambiguity shall be interpreted or resolved against any party on the ground that such party’s counsel drafted this Second Amendment or such other agreements and documents, or based on any other rule of strict construction. Each of the parties hereto represents and declares that such party has carefully read this Second Amendment and all other agreements and documents executed in connection herewith and therewith, and that such party knows the contents thereof and signs the same freely and voluntarily. The parties hereby acknowledge that they have been represented by legal counsel of their own choosing in negotiations for and preparation of this Second Amendment and all other agreements and documents executed in connection therewith and that each of them has read the same and had their contents fully explained by such counsel and is fully aware of their contents and legal effect.</w:t>
      </w:r>
    </w:p>
    <w:p>
      <w:pPr>
        <w:spacing w:after="0" w:line="153" w:lineRule="exact"/>
        <w:rPr>
          <w:rFonts w:ascii="Arial" w:cs="Arial" w:eastAsia="Arial" w:hAnsi="Arial"/>
          <w:sz w:val="19"/>
          <w:szCs w:val="19"/>
          <w:color w:val="auto"/>
        </w:rPr>
      </w:pPr>
    </w:p>
    <w:p>
      <w:pPr>
        <w:ind w:left="-656" w:right="20" w:firstLine="656"/>
        <w:spacing w:after="0" w:line="494" w:lineRule="auto"/>
        <w:tabs>
          <w:tab w:leader="none" w:pos="54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obligations of the Borrowers hereunder are joint and several, all as more fully set forth in Article 10 of the Credit Agreement.</w:t>
      </w:r>
    </w:p>
    <w:p>
      <w:pPr>
        <w:spacing w:after="0" w:line="174" w:lineRule="exact"/>
        <w:rPr>
          <w:sz w:val="20"/>
          <w:szCs w:val="20"/>
          <w:color w:val="auto"/>
        </w:rPr>
      </w:pPr>
    </w:p>
    <w:p>
      <w:pPr>
        <w:jc w:val="both"/>
        <w:ind w:left="-656" w:firstLine="656"/>
        <w:spacing w:after="0" w:line="505" w:lineRule="auto"/>
        <w:tabs>
          <w:tab w:leader="none" w:pos="437"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OF THE PARTIES TO THIS SECOND AMENDMENT HEREBY IRREVOCABLY WAIVES ALL RIGHT TO A TRIAL BY JURY IN ANY ACTION, PROCEEDING OR COUNTERCLAIM (WHETHER SOUNDING IN CONTRACT, TORT OR OTHERWISE) ARISING OUT OF OR RELATING TO THIS SECOND AMENDMENT, THE OTHER LOAN DOCUMENTS OR THE TRANSACTIONS CONTEMPLATED HEREBY OR THEREBY. EACH PARTY HERETO HEREBY (A) CERTIFIES THAT NO REPRESENTATIVE, AGENT OT ATTORNEY OF ANY OTHER PARTY HAS REPRESENTED, EXPRESSLY OR OTHERWISE, THAT</w:t>
      </w:r>
    </w:p>
    <w:p>
      <w:pPr>
        <w:sectPr>
          <w:pgSz w:w="11900" w:h="16838" w:orient="portrait"/>
          <w:cols w:equalWidth="0" w:num="1">
            <w:col w:w="10584"/>
          </w:cols>
          <w:pgMar w:left="976" w:top="1440" w:right="339" w:bottom="1440" w:gutter="0" w:footer="0" w:header="0"/>
        </w:sectPr>
      </w:pPr>
    </w:p>
    <w:bookmarkStart w:id="231" w:name="page232"/>
    <w:bookmarkEnd w:id="231"/>
    <w:p>
      <w:pPr>
        <w:spacing w:after="0" w:line="110" w:lineRule="exact"/>
        <w:rPr>
          <w:sz w:val="20"/>
          <w:szCs w:val="20"/>
          <w:color w:val="auto"/>
        </w:rPr>
      </w:pPr>
    </w:p>
    <w:p>
      <w:pPr>
        <w:jc w:val="both"/>
        <w:spacing w:after="0" w:line="480" w:lineRule="auto"/>
        <w:rPr>
          <w:sz w:val="20"/>
          <w:szCs w:val="20"/>
          <w:color w:val="auto"/>
        </w:rPr>
      </w:pPr>
      <w:r>
        <w:rPr>
          <w:rFonts w:ascii="Arial" w:cs="Arial" w:eastAsia="Arial" w:hAnsi="Arial"/>
          <w:sz w:val="22"/>
          <w:szCs w:val="22"/>
          <w:color w:val="auto"/>
        </w:rPr>
        <w:t>SUCH OTHER PARTY WOULD NOT, IN THE EVENT OF LITIGATION, SEEK TO ENFORCE THE FOREGOING WAIVER, AND (B) ACKNOWLEDGES THAT IT AND THE OTHER PARTIES HERETO HAVE BEEN INDUCED TO ENTER INTO THIS SECOND AMENDMENT BY, AMONG OTHER THINGS, THE MUTUAL WAIVERS AND CERTIFICATION IN THIS SECTION.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Borrowers and the Administrative Agent have hereunto set their hands as of the date first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BORROWERS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RIVER GROUP HOLDINGS, LTD.</w:t>
      </w:r>
    </w:p>
    <w:p>
      <w:pPr>
        <w:spacing w:after="0" w:line="200" w:lineRule="exact"/>
        <w:rPr>
          <w:sz w:val="20"/>
          <w:szCs w:val="20"/>
          <w:color w:val="auto"/>
        </w:rPr>
      </w:pPr>
    </w:p>
    <w:p>
      <w:pPr>
        <w:spacing w:after="0" w:line="24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Sarah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2992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Sarah Doran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JRG REINSURANCE COMPANY LTD.</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Allan Defante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487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Allan Defante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 Page to</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Second Amendment to</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Second Amended and Restated Credit Agreement</w:t>
      </w:r>
    </w:p>
    <w:p>
      <w:pPr>
        <w:sectPr>
          <w:pgSz w:w="11900" w:h="16838" w:orient="portrait"/>
          <w:cols w:equalWidth="0" w:num="1">
            <w:col w:w="11080"/>
          </w:cols>
          <w:pgMar w:left="320" w:top="1440" w:right="499" w:bottom="1440" w:gutter="0" w:footer="0" w:header="0"/>
        </w:sectPr>
      </w:pPr>
    </w:p>
    <w:bookmarkStart w:id="233" w:name="page234"/>
    <w:bookmarkEnd w:id="233"/>
    <w:p>
      <w:pPr>
        <w:spacing w:after="0" w:line="204" w:lineRule="exact"/>
        <w:rPr>
          <w:sz w:val="20"/>
          <w:szCs w:val="20"/>
          <w:color w:val="auto"/>
        </w:rPr>
      </w:pPr>
    </w:p>
    <w:p>
      <w:pPr>
        <w:ind w:left="2780"/>
        <w:spacing w:after="0"/>
        <w:rPr>
          <w:sz w:val="20"/>
          <w:szCs w:val="20"/>
          <w:color w:val="auto"/>
        </w:rPr>
      </w:pPr>
      <w:r>
        <w:rPr>
          <w:rFonts w:ascii="Arial" w:cs="Arial" w:eastAsia="Arial" w:hAnsi="Arial"/>
          <w:sz w:val="22"/>
          <w:szCs w:val="22"/>
          <w:u w:val="single" w:color="auto"/>
          <w:color w:val="auto"/>
        </w:rPr>
        <w:t>ADMINISTRATIVE AGENT</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KEYBANK NATIONAL ASSOCIATION, as</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Administrative Agent</w:t>
      </w:r>
    </w:p>
    <w:p>
      <w:pPr>
        <w:spacing w:after="0" w:line="200" w:lineRule="exact"/>
        <w:rPr>
          <w:sz w:val="20"/>
          <w:szCs w:val="20"/>
          <w:color w:val="auto"/>
        </w:rPr>
      </w:pPr>
    </w:p>
    <w:p>
      <w:pPr>
        <w:spacing w:after="0" w:line="23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Ashley Braniecki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5316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15316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Ashley Braniecki</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18" w:lineRule="exact"/>
        <w:rPr>
          <w:sz w:val="20"/>
          <w:szCs w:val="20"/>
          <w:color w:val="auto"/>
        </w:rPr>
      </w:pPr>
    </w:p>
    <w:p>
      <w:pPr>
        <w:ind w:left="2780"/>
        <w:spacing w:after="0"/>
        <w:rPr>
          <w:sz w:val="20"/>
          <w:szCs w:val="20"/>
          <w:color w:val="auto"/>
        </w:rPr>
      </w:pPr>
      <w:r>
        <w:rPr>
          <w:rFonts w:ascii="Arial" w:cs="Arial" w:eastAsia="Arial" w:hAnsi="Arial"/>
          <w:sz w:val="22"/>
          <w:szCs w:val="22"/>
          <w:u w:val="single" w:color="auto"/>
          <w:color w:val="auto"/>
        </w:rPr>
        <w:t>LENDERS</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KEYBANK NATIONAL ASSOCIATION,</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3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Ashley Braniecki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531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15316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Ashley Braniecki</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Amended and Restated Credit Agreement</w:t>
      </w:r>
    </w:p>
    <w:p>
      <w:pPr>
        <w:sectPr>
          <w:pgSz w:w="11900" w:h="16838" w:orient="portrait"/>
          <w:cols w:equalWidth="0" w:num="1">
            <w:col w:w="9019"/>
          </w:cols>
          <w:pgMar w:left="1440" w:top="1440" w:right="1440" w:bottom="1440" w:gutter="0" w:footer="0" w:header="0"/>
        </w:sectPr>
      </w:pPr>
    </w:p>
    <w:bookmarkStart w:id="234" w:name="page235"/>
    <w:bookmarkEnd w:id="234"/>
    <w:p>
      <w:pPr>
        <w:spacing w:after="0" w:line="20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[Lender Signatures Continued]</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TRUIST BANK,</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3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Fournier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417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David Fournier</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Amended and Restated Credit Agreement</w:t>
      </w:r>
    </w:p>
    <w:p>
      <w:pPr>
        <w:sectPr>
          <w:pgSz w:w="11900" w:h="16838" w:orient="portrait"/>
          <w:cols w:equalWidth="0" w:num="1">
            <w:col w:w="9019"/>
          </w:cols>
          <w:pgMar w:left="1440" w:top="1440" w:right="1440" w:bottom="1440" w:gutter="0" w:footer="0" w:header="0"/>
        </w:sectPr>
      </w:pPr>
    </w:p>
    <w:bookmarkStart w:id="235" w:name="page236"/>
    <w:bookmarkEnd w:id="235"/>
    <w:p>
      <w:pPr>
        <w:spacing w:after="0" w:line="20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[Lender Signatures Continued]</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BANK OF MONTREAL,</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3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Benjamin Mlot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409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Benjamin Mlot</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Amended and Restated Credit Agreement</w:t>
      </w:r>
    </w:p>
    <w:p>
      <w:pPr>
        <w:sectPr>
          <w:pgSz w:w="11900" w:h="16838" w:orient="portrait"/>
          <w:cols w:equalWidth="0" w:num="1">
            <w:col w:w="9019"/>
          </w:cols>
          <w:pgMar w:left="1440" w:top="1440" w:right="1440" w:bottom="1440" w:gutter="0" w:footer="0" w:header="0"/>
        </w:sectPr>
      </w:pPr>
    </w:p>
    <w:bookmarkStart w:id="236" w:name="page237"/>
    <w:bookmarkEnd w:id="236"/>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[Lender Signatures Continued]</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THE BANK OF N.T. BUTTERFIELD &amp; SON</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LIMITED, as Lender</w:t>
      </w:r>
    </w:p>
    <w:p>
      <w:pPr>
        <w:spacing w:after="0" w:line="200" w:lineRule="exact"/>
        <w:rPr>
          <w:sz w:val="20"/>
          <w:szCs w:val="20"/>
          <w:color w:val="auto"/>
        </w:rPr>
      </w:pPr>
    </w:p>
    <w:p>
      <w:pPr>
        <w:spacing w:after="0" w:line="23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Jordache Rawson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6764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Jordache Rawson</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18" w:lineRule="exact"/>
        <w:rPr>
          <w:sz w:val="20"/>
          <w:szCs w:val="20"/>
          <w:color w:val="auto"/>
        </w:rPr>
      </w:pPr>
    </w:p>
    <w:p>
      <w:pPr>
        <w:ind w:left="2780"/>
        <w:spacing w:after="0"/>
        <w:tabs>
          <w:tab w:leader="none" w:pos="3400" w:val="left"/>
        </w:tabs>
        <w:rPr>
          <w:sz w:val="20"/>
          <w:szCs w:val="20"/>
          <w:color w:val="auto"/>
        </w:rPr>
      </w:pPr>
      <w:r>
        <w:rPr>
          <w:rFonts w:ascii="Arial" w:cs="Arial" w:eastAsia="Arial" w:hAnsi="Arial"/>
          <w:sz w:val="22"/>
          <w:szCs w:val="22"/>
          <w:color w:val="auto"/>
        </w:rPr>
        <w:t>And:</w:t>
      </w:r>
      <w:r>
        <w:rPr>
          <w:sz w:val="20"/>
          <w:szCs w:val="20"/>
          <w:color w:val="auto"/>
        </w:rPr>
        <w:tab/>
      </w:r>
      <w:r>
        <w:rPr>
          <w:rFonts w:ascii="Arial" w:cs="Arial" w:eastAsia="Arial" w:hAnsi="Arial"/>
          <w:sz w:val="19"/>
          <w:szCs w:val="19"/>
          <w:color w:val="auto"/>
        </w:rPr>
        <w:t>/s/ Steven McGuinness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-17780</wp:posOffset>
            </wp:positionV>
            <wp:extent cx="16764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Steven McGuinness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Bermuda Chief Credit Officer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Amended and Restated Credit Agreement</w:t>
      </w:r>
    </w:p>
    <w:p>
      <w:pPr>
        <w:sectPr>
          <w:pgSz w:w="11900" w:h="16838" w:orient="portrait"/>
          <w:cols w:equalWidth="0" w:num="1">
            <w:col w:w="9019"/>
          </w:cols>
          <w:pgMar w:left="1440" w:top="1440" w:right="1440" w:bottom="1440" w:gutter="0" w:footer="0" w:header="0"/>
        </w:sectPr>
      </w:pPr>
    </w:p>
    <w:bookmarkStart w:id="237" w:name="page238"/>
    <w:bookmarkEnd w:id="237"/>
    <w:p>
      <w:pPr>
        <w:spacing w:after="0" w:line="20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[Lender Signatures Continued]</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FIRST HORIZON BANK,</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3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C.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5163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1516380" cy="889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Robert C. Mason</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Amended and Restated Credit Agreement</w:t>
      </w:r>
    </w:p>
    <w:p>
      <w:pPr>
        <w:sectPr>
          <w:pgSz w:w="11900" w:h="16838" w:orient="portrait"/>
          <w:cols w:equalWidth="0" w:num="1">
            <w:col w:w="9019"/>
          </w:cols>
          <w:pgMar w:left="1440" w:top="1440" w:right="1440" w:bottom="1440" w:gutter="0" w:footer="0" w:header="0"/>
        </w:sectPr>
      </w:pPr>
    </w:p>
    <w:bookmarkStart w:id="238" w:name="page239"/>
    <w:bookmarkEnd w:id="238"/>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[Lender Signatures Continued]</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FIRST NATIONAL BANK OF PENNSYLVANIA,</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B.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582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1558290" cy="889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Robert B. Weaver</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Amended and Restated Credit Agreement</w:t>
      </w:r>
    </w:p>
    <w:p>
      <w:pPr>
        <w:sectPr>
          <w:pgSz w:w="11900" w:h="16838" w:orient="portrait"/>
          <w:cols w:equalWidth="0" w:num="1">
            <w:col w:w="9019"/>
          </w:cols>
          <w:pgMar w:left="1440" w:top="1440" w:right="1440" w:bottom="1440" w:gutter="0" w:footer="0" w:header="0"/>
        </w:sectPr>
      </w:pPr>
    </w:p>
    <w:bookmarkStart w:id="239" w:name="page240"/>
    <w:bookmarkEnd w:id="239"/>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Pricing Schedule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PRICING SCHEDULE</w:t>
      </w:r>
    </w:p>
    <w:p>
      <w:pPr>
        <w:spacing w:after="0" w:line="92"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5160" w:type="dxa"/>
            <w:vAlign w:val="bottom"/>
            <w:tcBorders>
              <w:top w:val="single" w:sz="8" w:color="auto"/>
              <w:left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color w:val="auto"/>
                <w:w w:val="89"/>
              </w:rPr>
              <w:t>Leverage Ratio</w:t>
            </w:r>
          </w:p>
        </w:tc>
        <w:tc>
          <w:tcPr>
            <w:tcW w:w="1720" w:type="dxa"/>
            <w:vAlign w:val="bottom"/>
            <w:tcBorders>
              <w:top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22"/>
                <w:szCs w:val="22"/>
                <w:color w:val="auto"/>
                <w:w w:val="92"/>
              </w:rPr>
              <w:t>Pricing Level</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gridSpan w:val="3"/>
          </w:tcPr>
          <w:p>
            <w:pPr>
              <w:jc w:val="center"/>
              <w:ind w:right="240"/>
              <w:spacing w:after="0" w:line="229" w:lineRule="exact"/>
              <w:rPr>
                <w:sz w:val="20"/>
                <w:szCs w:val="20"/>
                <w:color w:val="auto"/>
              </w:rPr>
            </w:pPr>
            <w:r>
              <w:rPr>
                <w:rFonts w:ascii="Arial" w:cs="Arial" w:eastAsia="Arial" w:hAnsi="Arial"/>
                <w:sz w:val="22"/>
                <w:szCs w:val="22"/>
                <w:color w:val="auto"/>
                <w:w w:val="88"/>
              </w:rPr>
              <w:t>SOFR</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gridSpan w:val="4"/>
          </w:tcPr>
          <w:p>
            <w:pPr>
              <w:jc w:val="center"/>
              <w:ind w:right="240"/>
              <w:spacing w:after="0" w:line="229" w:lineRule="exact"/>
              <w:rPr>
                <w:sz w:val="20"/>
                <w:szCs w:val="20"/>
                <w:color w:val="auto"/>
              </w:rPr>
            </w:pPr>
            <w:r>
              <w:rPr>
                <w:rFonts w:ascii="Arial" w:cs="Arial" w:eastAsia="Arial" w:hAnsi="Arial"/>
                <w:sz w:val="22"/>
                <w:szCs w:val="22"/>
                <w:color w:val="auto"/>
                <w:w w:val="85"/>
              </w:rPr>
              <w:t>Base Rate</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right w:val="single" w:sz="8" w:color="auto"/>
            </w:tcBorders>
            <w:gridSpan w:val="4"/>
          </w:tcPr>
          <w:p>
            <w:pPr>
              <w:jc w:val="center"/>
              <w:ind w:right="280"/>
              <w:spacing w:after="0" w:line="229" w:lineRule="exact"/>
              <w:rPr>
                <w:sz w:val="20"/>
                <w:szCs w:val="20"/>
                <w:color w:val="auto"/>
              </w:rPr>
            </w:pPr>
            <w:r>
              <w:rPr>
                <w:rFonts w:ascii="Arial" w:cs="Arial" w:eastAsia="Arial" w:hAnsi="Arial"/>
                <w:sz w:val="22"/>
                <w:szCs w:val="22"/>
                <w:color w:val="auto"/>
                <w:w w:val="91"/>
              </w:rPr>
              <w:t>Commitment</w:t>
            </w:r>
          </w:p>
        </w:tc>
        <w:tc>
          <w:tcPr>
            <w:tcW w:w="0" w:type="dxa"/>
            <w:vAlign w:val="bottom"/>
          </w:tcPr>
          <w:p>
            <w:pPr>
              <w:spacing w:after="0"/>
              <w:rPr>
                <w:sz w:val="1"/>
                <w:szCs w:val="1"/>
                <w:color w:val="auto"/>
              </w:rPr>
            </w:pPr>
          </w:p>
        </w:tc>
      </w:tr>
      <w:tr>
        <w:trPr>
          <w:trHeight w:val="196"/>
        </w:trPr>
        <w:tc>
          <w:tcPr>
            <w:tcW w:w="5160" w:type="dxa"/>
            <w:vAlign w:val="bottom"/>
            <w:tcBorders>
              <w:top w:val="single" w:sz="8" w:color="auto"/>
              <w:left w:val="single" w:sz="8" w:color="auto"/>
              <w:right w:val="single" w:sz="8" w:color="auto"/>
            </w:tcBorders>
            <w:gridSpan w:val="3"/>
            <w:vMerge w:val="continue"/>
          </w:tcPr>
          <w:p>
            <w:pPr>
              <w:spacing w:after="0"/>
              <w:rPr>
                <w:sz w:val="17"/>
                <w:szCs w:val="17"/>
                <w:color w:val="auto"/>
              </w:rPr>
            </w:pPr>
          </w:p>
        </w:tc>
        <w:tc>
          <w:tcPr>
            <w:tcW w:w="1720" w:type="dxa"/>
            <w:vAlign w:val="bottom"/>
            <w:tcBorders>
              <w:top w:val="single" w:sz="8" w:color="auto"/>
              <w:right w:val="single" w:sz="8" w:color="auto"/>
            </w:tcBorders>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22"/>
                <w:szCs w:val="22"/>
                <w:color w:val="auto"/>
                <w:w w:val="80"/>
              </w:rPr>
              <w:t>Margin</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22"/>
                <w:szCs w:val="22"/>
                <w:color w:val="auto"/>
                <w:w w:val="95"/>
              </w:rPr>
              <w:t>Margin</w:t>
            </w:r>
          </w:p>
        </w:tc>
        <w:tc>
          <w:tcPr>
            <w:tcW w:w="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00"/>
              <w:spacing w:after="0" w:line="195" w:lineRule="exact"/>
              <w:rPr>
                <w:sz w:val="20"/>
                <w:szCs w:val="20"/>
                <w:color w:val="auto"/>
              </w:rPr>
            </w:pPr>
            <w:r>
              <w:rPr>
                <w:rFonts w:ascii="Arial" w:cs="Arial" w:eastAsia="Arial" w:hAnsi="Arial"/>
                <w:sz w:val="22"/>
                <w:szCs w:val="22"/>
                <w:color w:val="auto"/>
                <w:w w:val="83"/>
              </w:rPr>
              <w:t>Fee Rate</w:t>
            </w: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900" w:type="dxa"/>
            <w:vAlign w:val="bottom"/>
            <w:tcBorders>
              <w:left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8"/>
        </w:trPr>
        <w:tc>
          <w:tcPr>
            <w:tcW w:w="1900" w:type="dxa"/>
            <w:vAlign w:val="bottom"/>
            <w:tcBorders>
              <w:left w:val="single" w:sz="8" w:color="auto"/>
              <w:bottom w:val="single" w:sz="8" w:color="auto"/>
            </w:tcBorders>
          </w:tcPr>
          <w:p>
            <w:pPr>
              <w:spacing w:after="0"/>
              <w:rPr>
                <w:sz w:val="24"/>
                <w:szCs w:val="24"/>
                <w:color w:val="auto"/>
              </w:rPr>
            </w:pPr>
          </w:p>
        </w:tc>
        <w:tc>
          <w:tcPr>
            <w:tcW w:w="3260" w:type="dxa"/>
            <w:vAlign w:val="bottom"/>
            <w:tcBorders>
              <w:bottom w:val="single" w:sz="8" w:color="auto"/>
              <w:right w:val="single" w:sz="8" w:color="auto"/>
            </w:tcBorders>
            <w:gridSpan w:val="2"/>
          </w:tcPr>
          <w:p>
            <w:pPr>
              <w:jc w:val="center"/>
              <w:ind w:right="1920"/>
              <w:spacing w:after="0"/>
              <w:rPr>
                <w:sz w:val="20"/>
                <w:szCs w:val="20"/>
                <w:color w:val="auto"/>
              </w:rPr>
            </w:pPr>
            <w:r>
              <w:rPr>
                <w:rFonts w:ascii="Arial" w:cs="Arial" w:eastAsia="Arial" w:hAnsi="Arial"/>
                <w:sz w:val="22"/>
                <w:szCs w:val="22"/>
                <w:color w:val="auto"/>
                <w:w w:val="89"/>
              </w:rPr>
              <w:t>&lt; 0.10 to 1</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gridSpan w:val="2"/>
          </w:tcPr>
          <w:p>
            <w:pPr>
              <w:jc w:val="center"/>
              <w:ind w:right="280"/>
              <w:spacing w:after="0"/>
              <w:rPr>
                <w:sz w:val="20"/>
                <w:szCs w:val="20"/>
                <w:color w:val="auto"/>
              </w:rPr>
            </w:pPr>
            <w:r>
              <w:rPr>
                <w:rFonts w:ascii="Arial" w:cs="Arial" w:eastAsia="Arial" w:hAnsi="Arial"/>
                <w:sz w:val="22"/>
                <w:szCs w:val="22"/>
                <w:color w:val="auto"/>
                <w:w w:val="95"/>
              </w:rPr>
              <w:t>Level I</w:t>
            </w:r>
          </w:p>
        </w:tc>
        <w:tc>
          <w:tcPr>
            <w:tcW w:w="10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22"/>
                <w:szCs w:val="22"/>
                <w:color w:val="auto"/>
                <w:w w:val="91"/>
              </w:rPr>
              <w:t>1.250%</w:t>
            </w:r>
          </w:p>
        </w:tc>
        <w:tc>
          <w:tcPr>
            <w:tcW w:w="1080" w:type="dxa"/>
            <w:vAlign w:val="bottom"/>
            <w:tcBorders>
              <w:bottom w:val="single" w:sz="8" w:color="auto"/>
            </w:tcBorders>
            <w:gridSpan w:val="4"/>
          </w:tcPr>
          <w:p>
            <w:pPr>
              <w:jc w:val="center"/>
              <w:ind w:left="72"/>
              <w:spacing w:after="0"/>
              <w:rPr>
                <w:sz w:val="20"/>
                <w:szCs w:val="20"/>
                <w:color w:val="auto"/>
              </w:rPr>
            </w:pPr>
            <w:r>
              <w:rPr>
                <w:rFonts w:ascii="Arial" w:cs="Arial" w:eastAsia="Arial" w:hAnsi="Arial"/>
                <w:sz w:val="22"/>
                <w:szCs w:val="22"/>
                <w:color w:val="auto"/>
                <w:w w:val="88"/>
              </w:rPr>
              <w:t>0.250%</w:t>
            </w:r>
          </w:p>
        </w:tc>
        <w:tc>
          <w:tcPr>
            <w:tcW w:w="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ind w:left="312"/>
              <w:spacing w:after="0"/>
              <w:rPr>
                <w:sz w:val="20"/>
                <w:szCs w:val="20"/>
                <w:color w:val="auto"/>
              </w:rPr>
            </w:pPr>
            <w:r>
              <w:rPr>
                <w:rFonts w:ascii="Arial" w:cs="Arial" w:eastAsia="Arial" w:hAnsi="Arial"/>
                <w:sz w:val="22"/>
                <w:szCs w:val="22"/>
                <w:color w:val="auto"/>
                <w:w w:val="91"/>
              </w:rPr>
              <w:t>0.150%</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900" w:type="dxa"/>
            <w:vAlign w:val="bottom"/>
            <w:tcBorders>
              <w:left w:val="single" w:sz="8" w:color="auto"/>
            </w:tcBorders>
          </w:tcPr>
          <w:p>
            <w:pPr>
              <w:spacing w:after="0"/>
              <w:rPr>
                <w:sz w:val="24"/>
                <w:szCs w:val="24"/>
                <w:color w:val="auto"/>
              </w:rPr>
            </w:pPr>
          </w:p>
        </w:tc>
        <w:tc>
          <w:tcPr>
            <w:tcW w:w="32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22"/>
                <w:szCs w:val="22"/>
                <w:color w:val="auto"/>
                <w:w w:val="89"/>
              </w:rPr>
              <w:t>≥ 0.10 to 1 and &lt; 0.175 to 1</w:t>
            </w:r>
          </w:p>
        </w:tc>
        <w:tc>
          <w:tcPr>
            <w:tcW w:w="260" w:type="dxa"/>
            <w:vAlign w:val="bottom"/>
          </w:tcPr>
          <w:p>
            <w:pPr>
              <w:spacing w:after="0"/>
              <w:rPr>
                <w:sz w:val="24"/>
                <w:szCs w:val="24"/>
                <w:color w:val="auto"/>
              </w:rPr>
            </w:pPr>
          </w:p>
        </w:tc>
        <w:tc>
          <w:tcPr>
            <w:tcW w:w="146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22"/>
                <w:szCs w:val="22"/>
                <w:color w:val="auto"/>
                <w:w w:val="95"/>
              </w:rPr>
              <w:t>Level II</w:t>
            </w:r>
          </w:p>
        </w:tc>
        <w:tc>
          <w:tcPr>
            <w:tcW w:w="100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22"/>
                <w:szCs w:val="22"/>
                <w:color w:val="auto"/>
                <w:w w:val="91"/>
              </w:rPr>
              <w:t>1.375%</w:t>
            </w:r>
          </w:p>
        </w:tc>
        <w:tc>
          <w:tcPr>
            <w:tcW w:w="1080" w:type="dxa"/>
            <w:vAlign w:val="bottom"/>
            <w:gridSpan w:val="4"/>
            <w:vMerge w:val="restart"/>
          </w:tcPr>
          <w:p>
            <w:pPr>
              <w:jc w:val="center"/>
              <w:ind w:left="72"/>
              <w:spacing w:after="0"/>
              <w:rPr>
                <w:sz w:val="20"/>
                <w:szCs w:val="20"/>
                <w:color w:val="auto"/>
              </w:rPr>
            </w:pPr>
            <w:r>
              <w:rPr>
                <w:rFonts w:ascii="Arial" w:cs="Arial" w:eastAsia="Arial" w:hAnsi="Arial"/>
                <w:sz w:val="22"/>
                <w:szCs w:val="22"/>
                <w:color w:val="auto"/>
                <w:w w:val="88"/>
              </w:rPr>
              <w:t>0.375%</w:t>
            </w:r>
          </w:p>
        </w:tc>
        <w:tc>
          <w:tcPr>
            <w:tcW w:w="240" w:type="dxa"/>
            <w:vAlign w:val="bottom"/>
            <w:tcBorders>
              <w:right w:val="single" w:sz="8" w:color="auto"/>
            </w:tcBorders>
          </w:tcPr>
          <w:p>
            <w:pPr>
              <w:spacing w:after="0"/>
              <w:rPr>
                <w:sz w:val="24"/>
                <w:szCs w:val="24"/>
                <w:color w:val="auto"/>
              </w:rPr>
            </w:pPr>
          </w:p>
        </w:tc>
        <w:tc>
          <w:tcPr>
            <w:tcW w:w="1180" w:type="dxa"/>
            <w:vAlign w:val="bottom"/>
            <w:gridSpan w:val="3"/>
            <w:vMerge w:val="restart"/>
          </w:tcPr>
          <w:p>
            <w:pPr>
              <w:jc w:val="center"/>
              <w:ind w:left="312"/>
              <w:spacing w:after="0"/>
              <w:rPr>
                <w:sz w:val="20"/>
                <w:szCs w:val="20"/>
                <w:color w:val="auto"/>
              </w:rPr>
            </w:pPr>
            <w:r>
              <w:rPr>
                <w:rFonts w:ascii="Arial" w:cs="Arial" w:eastAsia="Arial" w:hAnsi="Arial"/>
                <w:sz w:val="22"/>
                <w:szCs w:val="22"/>
                <w:color w:val="auto"/>
                <w:w w:val="91"/>
              </w:rPr>
              <w:t>0.200%</w:t>
            </w: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900" w:type="dxa"/>
            <w:vAlign w:val="bottom"/>
            <w:tcBorders>
              <w:left w:val="single" w:sz="8" w:color="auto"/>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gridSpan w:val="2"/>
            <w:vMerge w:val="continue"/>
          </w:tcPr>
          <w:p>
            <w:pPr>
              <w:spacing w:after="0"/>
              <w:rPr>
                <w:sz w:val="20"/>
                <w:szCs w:val="20"/>
                <w:color w:val="auto"/>
              </w:rPr>
            </w:pPr>
          </w:p>
        </w:tc>
        <w:tc>
          <w:tcPr>
            <w:tcW w:w="1000" w:type="dxa"/>
            <w:vAlign w:val="bottom"/>
            <w:tcBorders>
              <w:bottom w:val="single" w:sz="8" w:color="auto"/>
              <w:right w:val="single" w:sz="8" w:color="auto"/>
            </w:tcBorders>
            <w:gridSpan w:val="5"/>
            <w:vMerge w:val="continue"/>
          </w:tcPr>
          <w:p>
            <w:pPr>
              <w:spacing w:after="0"/>
              <w:rPr>
                <w:sz w:val="20"/>
                <w:szCs w:val="20"/>
                <w:color w:val="auto"/>
              </w:rPr>
            </w:pPr>
          </w:p>
        </w:tc>
        <w:tc>
          <w:tcPr>
            <w:tcW w:w="1080" w:type="dxa"/>
            <w:vAlign w:val="bottom"/>
            <w:tcBorders>
              <w:bottom w:val="single" w:sz="8" w:color="auto"/>
            </w:tcBorders>
            <w:gridSpan w:val="4"/>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1900" w:type="dxa"/>
            <w:vAlign w:val="bottom"/>
            <w:tcBorders>
              <w:left w:val="single" w:sz="8" w:color="auto"/>
            </w:tcBorders>
          </w:tcPr>
          <w:p>
            <w:pPr>
              <w:spacing w:after="0"/>
              <w:rPr>
                <w:sz w:val="24"/>
                <w:szCs w:val="24"/>
                <w:color w:val="auto"/>
              </w:rPr>
            </w:pPr>
          </w:p>
        </w:tc>
        <w:tc>
          <w:tcPr>
            <w:tcW w:w="32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22"/>
                <w:szCs w:val="22"/>
                <w:color w:val="auto"/>
                <w:w w:val="89"/>
              </w:rPr>
              <w:t>≥ 0.175 to 1 and &lt; 0.275 to 1</w:t>
            </w:r>
          </w:p>
        </w:tc>
        <w:tc>
          <w:tcPr>
            <w:tcW w:w="260" w:type="dxa"/>
            <w:vAlign w:val="bottom"/>
          </w:tcPr>
          <w:p>
            <w:pPr>
              <w:spacing w:after="0"/>
              <w:rPr>
                <w:sz w:val="24"/>
                <w:szCs w:val="24"/>
                <w:color w:val="auto"/>
              </w:rPr>
            </w:pPr>
          </w:p>
        </w:tc>
        <w:tc>
          <w:tcPr>
            <w:tcW w:w="146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22"/>
                <w:szCs w:val="22"/>
                <w:color w:val="auto"/>
                <w:w w:val="98"/>
              </w:rPr>
              <w:t>Level III</w:t>
            </w:r>
          </w:p>
        </w:tc>
        <w:tc>
          <w:tcPr>
            <w:tcW w:w="100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22"/>
                <w:szCs w:val="22"/>
                <w:color w:val="auto"/>
                <w:w w:val="91"/>
              </w:rPr>
              <w:t>1.500%</w:t>
            </w:r>
          </w:p>
        </w:tc>
        <w:tc>
          <w:tcPr>
            <w:tcW w:w="1080" w:type="dxa"/>
            <w:vAlign w:val="bottom"/>
            <w:gridSpan w:val="4"/>
            <w:vMerge w:val="restart"/>
          </w:tcPr>
          <w:p>
            <w:pPr>
              <w:jc w:val="center"/>
              <w:ind w:left="72"/>
              <w:spacing w:after="0"/>
              <w:rPr>
                <w:sz w:val="20"/>
                <w:szCs w:val="20"/>
                <w:color w:val="auto"/>
              </w:rPr>
            </w:pPr>
            <w:r>
              <w:rPr>
                <w:rFonts w:ascii="Arial" w:cs="Arial" w:eastAsia="Arial" w:hAnsi="Arial"/>
                <w:sz w:val="22"/>
                <w:szCs w:val="22"/>
                <w:color w:val="auto"/>
                <w:w w:val="88"/>
              </w:rPr>
              <w:t>0.500%</w:t>
            </w:r>
          </w:p>
        </w:tc>
        <w:tc>
          <w:tcPr>
            <w:tcW w:w="240" w:type="dxa"/>
            <w:vAlign w:val="bottom"/>
            <w:tcBorders>
              <w:right w:val="single" w:sz="8" w:color="auto"/>
            </w:tcBorders>
          </w:tcPr>
          <w:p>
            <w:pPr>
              <w:spacing w:after="0"/>
              <w:rPr>
                <w:sz w:val="24"/>
                <w:szCs w:val="24"/>
                <w:color w:val="auto"/>
              </w:rPr>
            </w:pPr>
          </w:p>
        </w:tc>
        <w:tc>
          <w:tcPr>
            <w:tcW w:w="1180" w:type="dxa"/>
            <w:vAlign w:val="bottom"/>
            <w:gridSpan w:val="3"/>
            <w:vMerge w:val="restart"/>
          </w:tcPr>
          <w:p>
            <w:pPr>
              <w:jc w:val="center"/>
              <w:ind w:left="312"/>
              <w:spacing w:after="0"/>
              <w:rPr>
                <w:sz w:val="20"/>
                <w:szCs w:val="20"/>
                <w:color w:val="auto"/>
              </w:rPr>
            </w:pPr>
            <w:r>
              <w:rPr>
                <w:rFonts w:ascii="Arial" w:cs="Arial" w:eastAsia="Arial" w:hAnsi="Arial"/>
                <w:sz w:val="22"/>
                <w:szCs w:val="22"/>
                <w:color w:val="auto"/>
                <w:w w:val="91"/>
              </w:rPr>
              <w:t>0.250%</w:t>
            </w: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900" w:type="dxa"/>
            <w:vAlign w:val="bottom"/>
            <w:tcBorders>
              <w:left w:val="single" w:sz="8" w:color="auto"/>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gridSpan w:val="2"/>
            <w:vMerge w:val="continue"/>
          </w:tcPr>
          <w:p>
            <w:pPr>
              <w:spacing w:after="0"/>
              <w:rPr>
                <w:sz w:val="20"/>
                <w:szCs w:val="20"/>
                <w:color w:val="auto"/>
              </w:rPr>
            </w:pPr>
          </w:p>
        </w:tc>
        <w:tc>
          <w:tcPr>
            <w:tcW w:w="1000" w:type="dxa"/>
            <w:vAlign w:val="bottom"/>
            <w:tcBorders>
              <w:bottom w:val="single" w:sz="8" w:color="auto"/>
              <w:right w:val="single" w:sz="8" w:color="auto"/>
            </w:tcBorders>
            <w:gridSpan w:val="5"/>
            <w:vMerge w:val="continue"/>
          </w:tcPr>
          <w:p>
            <w:pPr>
              <w:spacing w:after="0"/>
              <w:rPr>
                <w:sz w:val="20"/>
                <w:szCs w:val="20"/>
                <w:color w:val="auto"/>
              </w:rPr>
            </w:pPr>
          </w:p>
        </w:tc>
        <w:tc>
          <w:tcPr>
            <w:tcW w:w="1080" w:type="dxa"/>
            <w:vAlign w:val="bottom"/>
            <w:tcBorders>
              <w:bottom w:val="single" w:sz="8" w:color="auto"/>
            </w:tcBorders>
            <w:gridSpan w:val="4"/>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1900" w:type="dxa"/>
            <w:vAlign w:val="bottom"/>
            <w:tcBorders>
              <w:left w:val="single" w:sz="8" w:color="auto"/>
            </w:tcBorders>
          </w:tcPr>
          <w:p>
            <w:pPr>
              <w:spacing w:after="0"/>
              <w:rPr>
                <w:sz w:val="24"/>
                <w:szCs w:val="24"/>
                <w:color w:val="auto"/>
              </w:rPr>
            </w:pPr>
          </w:p>
        </w:tc>
        <w:tc>
          <w:tcPr>
            <w:tcW w:w="32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22"/>
                <w:szCs w:val="22"/>
                <w:color w:val="auto"/>
                <w:w w:val="89"/>
              </w:rPr>
              <w:t>≥ 0.275 to 1</w:t>
            </w:r>
          </w:p>
        </w:tc>
        <w:tc>
          <w:tcPr>
            <w:tcW w:w="260" w:type="dxa"/>
            <w:vAlign w:val="bottom"/>
          </w:tcPr>
          <w:p>
            <w:pPr>
              <w:spacing w:after="0"/>
              <w:rPr>
                <w:sz w:val="24"/>
                <w:szCs w:val="24"/>
                <w:color w:val="auto"/>
              </w:rPr>
            </w:pPr>
          </w:p>
        </w:tc>
        <w:tc>
          <w:tcPr>
            <w:tcW w:w="146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22"/>
                <w:szCs w:val="22"/>
                <w:color w:val="auto"/>
                <w:w w:val="98"/>
              </w:rPr>
              <w:t>Level IV</w:t>
            </w:r>
          </w:p>
        </w:tc>
        <w:tc>
          <w:tcPr>
            <w:tcW w:w="100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22"/>
                <w:szCs w:val="22"/>
                <w:color w:val="auto"/>
                <w:w w:val="91"/>
              </w:rPr>
              <w:t>1.625%</w:t>
            </w:r>
          </w:p>
        </w:tc>
        <w:tc>
          <w:tcPr>
            <w:tcW w:w="1080" w:type="dxa"/>
            <w:vAlign w:val="bottom"/>
            <w:gridSpan w:val="4"/>
            <w:vMerge w:val="restart"/>
          </w:tcPr>
          <w:p>
            <w:pPr>
              <w:jc w:val="center"/>
              <w:ind w:left="72"/>
              <w:spacing w:after="0"/>
              <w:rPr>
                <w:sz w:val="20"/>
                <w:szCs w:val="20"/>
                <w:color w:val="auto"/>
              </w:rPr>
            </w:pPr>
            <w:r>
              <w:rPr>
                <w:rFonts w:ascii="Arial" w:cs="Arial" w:eastAsia="Arial" w:hAnsi="Arial"/>
                <w:sz w:val="22"/>
                <w:szCs w:val="22"/>
                <w:color w:val="auto"/>
                <w:w w:val="88"/>
              </w:rPr>
              <w:t>0.625%</w:t>
            </w:r>
          </w:p>
        </w:tc>
        <w:tc>
          <w:tcPr>
            <w:tcW w:w="240" w:type="dxa"/>
            <w:vAlign w:val="bottom"/>
            <w:tcBorders>
              <w:right w:val="single" w:sz="8" w:color="auto"/>
            </w:tcBorders>
          </w:tcPr>
          <w:p>
            <w:pPr>
              <w:spacing w:after="0"/>
              <w:rPr>
                <w:sz w:val="24"/>
                <w:szCs w:val="24"/>
                <w:color w:val="auto"/>
              </w:rPr>
            </w:pPr>
          </w:p>
        </w:tc>
        <w:tc>
          <w:tcPr>
            <w:tcW w:w="1180" w:type="dxa"/>
            <w:vAlign w:val="bottom"/>
            <w:gridSpan w:val="3"/>
            <w:vMerge w:val="restart"/>
          </w:tcPr>
          <w:p>
            <w:pPr>
              <w:jc w:val="center"/>
              <w:ind w:left="312"/>
              <w:spacing w:after="0"/>
              <w:rPr>
                <w:sz w:val="20"/>
                <w:szCs w:val="20"/>
                <w:color w:val="auto"/>
              </w:rPr>
            </w:pPr>
            <w:r>
              <w:rPr>
                <w:rFonts w:ascii="Arial" w:cs="Arial" w:eastAsia="Arial" w:hAnsi="Arial"/>
                <w:sz w:val="22"/>
                <w:szCs w:val="22"/>
                <w:color w:val="auto"/>
                <w:w w:val="91"/>
              </w:rPr>
              <w:t>0.300%</w:t>
            </w: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900" w:type="dxa"/>
            <w:vAlign w:val="bottom"/>
            <w:tcBorders>
              <w:left w:val="single" w:sz="8" w:color="auto"/>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gridSpan w:val="2"/>
            <w:vMerge w:val="continue"/>
          </w:tcPr>
          <w:p>
            <w:pPr>
              <w:spacing w:after="0"/>
              <w:rPr>
                <w:sz w:val="20"/>
                <w:szCs w:val="20"/>
                <w:color w:val="auto"/>
              </w:rPr>
            </w:pPr>
          </w:p>
        </w:tc>
        <w:tc>
          <w:tcPr>
            <w:tcW w:w="1000" w:type="dxa"/>
            <w:vAlign w:val="bottom"/>
            <w:tcBorders>
              <w:bottom w:val="single" w:sz="8" w:color="auto"/>
              <w:right w:val="single" w:sz="8" w:color="auto"/>
            </w:tcBorders>
            <w:gridSpan w:val="5"/>
            <w:vMerge w:val="continue"/>
          </w:tcPr>
          <w:p>
            <w:pPr>
              <w:spacing w:after="0"/>
              <w:rPr>
                <w:sz w:val="20"/>
                <w:szCs w:val="20"/>
                <w:color w:val="auto"/>
              </w:rPr>
            </w:pPr>
          </w:p>
        </w:tc>
        <w:tc>
          <w:tcPr>
            <w:tcW w:w="1080" w:type="dxa"/>
            <w:vAlign w:val="bottom"/>
            <w:tcBorders>
              <w:bottom w:val="single" w:sz="8" w:color="auto"/>
            </w:tcBorders>
            <w:gridSpan w:val="4"/>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SOFR Margin, Base Rate Margin and Commitment Fee Rate will be determined by reference to the Leverage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Ratio.</w:t>
      </w:r>
    </w:p>
    <w:p>
      <w:pPr>
        <w:spacing w:after="0" w:line="20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For purposes of this Schedule, “Pricing Level” means for any day, the Pricing Level (I, II, III or IV) indicated on the table above that corresponds to the Leverage Ratio as of the end of the most recent Fiscal Quarter or Fiscal Year, as the case may be, for which the Parent delivered financial statements pursuant to the Loan Documents, effective on the business day immediately following the date on which such financial statements are delivered to 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any and all times during which (a) the Parent is in default of the timely delivery of (1) the financial statements required by the Loan Documents for any period or (2) the accompanying compliance certificate required by the Loan Documents, the SOFR Margin, Base Rate Margin and Commitment Fee Rate shall be determined under Pricing Level IV or (b) an Event of Default has occurred and is continuing, the SOFR Margin, Base Rate Margin and Commitment Fee Rate shall be determined under Pricing Level IV.</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Pricing Level III shall apply through the period ending December 31, 2022 and until adjusted pursuant to the immediately preceding paragraph.</w:t>
      </w:r>
    </w:p>
    <w:p>
      <w:pPr>
        <w:spacing w:after="0" w:line="175"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By way of clarification and not limitation, the Loans under the Unsecured Facility shall commence to accrue interest, the Letters of Credit under the Unsecured Facility shall commence to accrue participation fees, and commitment fees under the Unsecured Facility shall commence to accrue in each case at rates per annum reflecting the decreased Applicable Rates as of the Second Amendment Effective Date and (together with the interest, participation fees and commitment fees accrued and unpaid prior to the Second Amendment Effective Date) shall be payable on the applicable Interest Payment Date next following the Second Amendment Effective Date.</w:t>
      </w:r>
    </w:p>
    <w:p>
      <w:pPr>
        <w:sectPr>
          <w:pgSz w:w="11900" w:h="16838" w:orient="portrait"/>
          <w:cols w:equalWidth="0" w:num="1">
            <w:col w:w="11240"/>
          </w:cols>
          <w:pgMar w:left="320" w:top="1440"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THIRD AMENDMENT TO CREDIT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THIS THIRD AMENDMENT TO CREDIT AGREEMENT (this “Third Amendment”) is made and entered into as of the 27th day of January 2023, by and among JAMES RIVER GROUP HOLDINGS, LTD., a Bermuda company, and JRG REINSURANCE COMPANY LTD., a regulated insurance company domiciled in Bermuda (each a “Borrower” and, collectively, the “Borrowers”), and BMO HARRIS BANK N.A., as Lender (“Lender”).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1" w:lineRule="auto"/>
        <w:tabs>
          <w:tab w:leader="none" w:pos="119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The Borrowers and the Lender are the parties to that certain Credit Agreement dated as of August 2, 2017 (as amended by the First Amendment dated as of November 8, 2019, and by the Second Amendment dated as of February 18, 2022 and as otherwise previously amended, supplemented or otherwise modified, the “Credit Agreement”), pursuant to which, </w:t>
      </w:r>
      <w:r>
        <w:rPr>
          <w:rFonts w:ascii="Arial" w:cs="Arial" w:eastAsia="Arial" w:hAnsi="Arial"/>
          <w:sz w:val="22"/>
          <w:szCs w:val="22"/>
          <w:u w:val="single" w:color="auto"/>
          <w:color w:val="auto"/>
        </w:rPr>
        <w:t>inter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alia</w:t>
      </w:r>
      <w:r>
        <w:rPr>
          <w:rFonts w:ascii="Arial" w:cs="Arial" w:eastAsia="Arial" w:hAnsi="Arial"/>
          <w:sz w:val="22"/>
          <w:szCs w:val="22"/>
          <w:color w:val="auto"/>
        </w:rPr>
        <w:t>, the Lender agreed, subject to the terms and conditions thereof, to advance Loans to the Borrowers and to issue Letters of Credit.</w:t>
      </w:r>
    </w:p>
    <w:p>
      <w:pPr>
        <w:spacing w:after="0" w:line="189" w:lineRule="exact"/>
        <w:rPr>
          <w:rFonts w:ascii="Arial" w:cs="Arial" w:eastAsia="Arial" w:hAnsi="Arial"/>
          <w:sz w:val="22"/>
          <w:szCs w:val="22"/>
          <w:color w:val="auto"/>
        </w:rPr>
      </w:pPr>
    </w:p>
    <w:p>
      <w:pPr>
        <w:jc w:val="both"/>
        <w:ind w:firstLine="656"/>
        <w:spacing w:after="0" w:line="253" w:lineRule="auto"/>
        <w:tabs>
          <w:tab w:leader="none" w:pos="106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Certain loans and/or other extensions of credit under the Credit Agreement and/or other Loan Documents incur or are permitted to incur interest, fees, commissions or other amounts based on the London interbank offered rate for Dollars (“LIBOR”).</w:t>
      </w:r>
    </w:p>
    <w:p>
      <w:pPr>
        <w:spacing w:after="0" w:line="198" w:lineRule="exact"/>
        <w:rPr>
          <w:rFonts w:ascii="Arial" w:cs="Arial" w:eastAsia="Arial" w:hAnsi="Arial"/>
          <w:sz w:val="22"/>
          <w:szCs w:val="22"/>
          <w:color w:val="auto"/>
        </w:rPr>
      </w:pPr>
    </w:p>
    <w:p>
      <w:pPr>
        <w:jc w:val="both"/>
        <w:ind w:firstLine="656"/>
        <w:spacing w:after="0" w:line="248" w:lineRule="auto"/>
        <w:tabs>
          <w:tab w:leader="none" w:pos="111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Borrowers and the Lender have agreed (i) that as of the Third Amendment Effective Date each loan, advance, borrowing, or other financial accommodation or extension of credit of any type by the Lender from time to time made or permitted to be made under the Credit Agreement bearing interest or incurring fees or other amounts based on LIBOR, including any credit extension nominally based on a “Base Rate” or other term generally indicating usage of a benchmark other than LIBOR but which may apply LIBOR in accordance with such term, shall no longer be available and shall be replaced by credit extensions bearing interest or incurring fees or other amounts based on Term SOFR, and (ii) to make certain other changes to the Credit Agreement as set forth herein.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foregoing Recitals and the mutual agreements hereinafter set forth,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Borrowers and the Lender intending to be legally bound, hereby agree as follows:</w:t>
      </w:r>
    </w:p>
    <w:p>
      <w:pPr>
        <w:spacing w:after="0" w:line="215" w:lineRule="exact"/>
        <w:rPr>
          <w:sz w:val="20"/>
          <w:szCs w:val="20"/>
          <w:color w:val="auto"/>
        </w:rPr>
      </w:pPr>
    </w:p>
    <w:p>
      <w:pPr>
        <w:ind w:left="1040" w:hanging="384"/>
        <w:spacing w:after="0"/>
        <w:tabs>
          <w:tab w:leader="none" w:pos="104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Definitions; Interpretation</w:t>
      </w:r>
      <w:r>
        <w:rPr>
          <w:rFonts w:ascii="Arial" w:cs="Arial" w:eastAsia="Arial" w:hAnsi="Arial"/>
          <w:sz w:val="22"/>
          <w:szCs w:val="22"/>
          <w:color w:val="auto"/>
        </w:rPr>
        <w:t>.</w:t>
      </w:r>
    </w:p>
    <w:p>
      <w:pPr>
        <w:spacing w:after="0" w:line="220" w:lineRule="exact"/>
        <w:rPr>
          <w:sz w:val="20"/>
          <w:szCs w:val="20"/>
          <w:color w:val="auto"/>
        </w:rPr>
      </w:pPr>
    </w:p>
    <w:p>
      <w:pPr>
        <w:ind w:right="20" w:firstLine="656"/>
        <w:spacing w:after="0" w:line="287" w:lineRule="auto"/>
        <w:tabs>
          <w:tab w:leader="none" w:pos="11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Terms Defined in Credit Agreement. All capitalized terms used in this Third Amendment (including in the recitals hereof) and not otherwise defined herein shall have the meanings assigned to them in the Credit Agreement.</w:t>
      </w:r>
    </w:p>
    <w:p>
      <w:pPr>
        <w:spacing w:after="0" w:line="151" w:lineRule="exact"/>
        <w:rPr>
          <w:rFonts w:ascii="Arial" w:cs="Arial" w:eastAsia="Arial" w:hAnsi="Arial"/>
          <w:sz w:val="21"/>
          <w:szCs w:val="21"/>
          <w:color w:val="auto"/>
        </w:rPr>
      </w:pPr>
    </w:p>
    <w:p>
      <w:pPr>
        <w:ind w:firstLine="656"/>
        <w:spacing w:after="0" w:line="263" w:lineRule="auto"/>
        <w:tabs>
          <w:tab w:leader="none" w:pos="115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Interpretation. The rules of interpretation set forth in Section 1.03 of the Credit Agreement shall be applicable to this Third Amendment and are incorporated herein by this reference.</w:t>
      </w:r>
    </w:p>
    <w:p>
      <w:pPr>
        <w:sectPr>
          <w:pgSz w:w="11900" w:h="16838" w:orient="portrait"/>
          <w:cols w:equalWidth="0" w:num="1">
            <w:col w:w="11240"/>
          </w:cols>
          <w:pgMar w:left="320" w:top="126" w:right="339" w:bottom="1440" w:gutter="0" w:footer="0" w:header="0"/>
        </w:sectPr>
      </w:pPr>
    </w:p>
    <w:bookmarkStart w:id="241" w:name="page242"/>
    <w:bookmarkEnd w:id="241"/>
    <w:p>
      <w:pPr>
        <w:ind w:left="1040" w:hanging="384"/>
        <w:spacing w:after="0"/>
        <w:tabs>
          <w:tab w:leader="none" w:pos="1040"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Amendments to the Credit Agreement</w:t>
      </w:r>
      <w:r>
        <w:rPr>
          <w:rFonts w:ascii="Arial" w:cs="Arial" w:eastAsia="Arial" w:hAnsi="Arial"/>
          <w:sz w:val="22"/>
          <w:szCs w:val="22"/>
          <w:color w:val="auto"/>
        </w:rPr>
        <w:t>.</w:t>
      </w:r>
    </w:p>
    <w:p>
      <w:pPr>
        <w:spacing w:after="0" w:line="220" w:lineRule="exact"/>
        <w:rPr>
          <w:sz w:val="20"/>
          <w:szCs w:val="20"/>
          <w:color w:val="auto"/>
        </w:rPr>
      </w:pPr>
    </w:p>
    <w:p>
      <w:pPr>
        <w:ind w:left="1260" w:hanging="604"/>
        <w:spacing w:after="0"/>
        <w:tabs>
          <w:tab w:leader="none" w:pos="12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Upon satisfaction of the conditions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hereof, the Credit Agreement is hereby amended as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rFonts w:ascii="Arial" w:cs="Arial" w:eastAsia="Arial" w:hAnsi="Arial"/>
          <w:sz w:val="19"/>
          <w:szCs w:val="19"/>
          <w:color w:val="auto"/>
        </w:rPr>
      </w:pPr>
    </w:p>
    <w:p>
      <w:pPr>
        <w:ind w:left="660" w:firstLine="644"/>
        <w:spacing w:after="0" w:line="263" w:lineRule="auto"/>
        <w:tabs>
          <w:tab w:leader="none" w:pos="1751"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following definitions set forth in Section 1.01 of the Credit Agreement are hereby amended and restated in their entirety as follows:</w:t>
      </w:r>
    </w:p>
    <w:p>
      <w:pPr>
        <w:spacing w:after="0" w:line="169" w:lineRule="exact"/>
        <w:rPr>
          <w:sz w:val="20"/>
          <w:szCs w:val="20"/>
          <w:color w:val="auto"/>
        </w:rPr>
      </w:pPr>
    </w:p>
    <w:p>
      <w:pPr>
        <w:jc w:val="both"/>
        <w:ind w:left="1300" w:firstLine="32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any day that is not a Saturday, Sunday or other day on which commercial banks in New York, New York are authorized or required by Law to remain closed and (b) with respect to any matters relating to SOFR Loans, a SOFR Business Day.</w:t>
      </w:r>
    </w:p>
    <w:p>
      <w:pPr>
        <w:spacing w:after="0" w:line="190" w:lineRule="exact"/>
        <w:rPr>
          <w:sz w:val="20"/>
          <w:szCs w:val="20"/>
          <w:color w:val="auto"/>
        </w:rPr>
      </w:pPr>
    </w:p>
    <w:p>
      <w:pPr>
        <w:jc w:val="both"/>
        <w:ind w:left="1300" w:firstLine="324"/>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Period</w:t>
      </w:r>
      <w:r>
        <w:rPr>
          <w:rFonts w:ascii="Arial" w:cs="Arial" w:eastAsia="Arial" w:hAnsi="Arial"/>
          <w:sz w:val="19"/>
          <w:szCs w:val="19"/>
          <w:color w:val="auto"/>
        </w:rPr>
        <w:t>” means, with respect to any SOFR Borrowing, the period beginning on the date of such Borrowing and ending on the numerically corresponding day in the calendar month that is one (1), three (3) or six</w:t>
      </w:r>
    </w:p>
    <w:p>
      <w:pPr>
        <w:spacing w:after="0" w:line="2" w:lineRule="exact"/>
        <w:rPr>
          <w:sz w:val="20"/>
          <w:szCs w:val="20"/>
          <w:color w:val="auto"/>
        </w:rPr>
      </w:pPr>
    </w:p>
    <w:p>
      <w:pPr>
        <w:jc w:val="both"/>
        <w:ind w:left="1300" w:firstLine="4"/>
        <w:spacing w:after="0" w:line="288" w:lineRule="auto"/>
        <w:tabs>
          <w:tab w:leader="none" w:pos="161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months thereafter (to the extent available), as the Borrower Agent, for and on behalf the Borrowers, may elect; provided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shall extend beyond the Maturity Date, and (d) no tenor that has been removed from this definition pursuant to Section 2.14(e) shall be available for specification in such Borrowing Request or Interest Election. For purposes hereof, the date of a Borrowing initially shall be the date on which such Borrowing is made and thereafter shall be deemed to be the effective date of the most recent conversion or continuation of such Borrowing.</w:t>
      </w:r>
    </w:p>
    <w:p>
      <w:pPr>
        <w:spacing w:after="0" w:line="163" w:lineRule="exact"/>
        <w:rPr>
          <w:sz w:val="20"/>
          <w:szCs w:val="20"/>
          <w:color w:val="auto"/>
        </w:rPr>
      </w:pPr>
    </w:p>
    <w:p>
      <w:pPr>
        <w:ind w:left="660" w:right="240" w:firstLine="644"/>
        <w:spacing w:after="0" w:line="263" w:lineRule="auto"/>
        <w:tabs>
          <w:tab w:leader="none" w:pos="178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definitions in the correct alphabetical order:</w:t>
      </w:r>
    </w:p>
    <w:p>
      <w:pPr>
        <w:spacing w:after="0" w:line="169" w:lineRule="exact"/>
        <w:rPr>
          <w:sz w:val="20"/>
          <w:szCs w:val="20"/>
          <w:color w:val="auto"/>
        </w:rPr>
      </w:pPr>
    </w:p>
    <w:p>
      <w:pPr>
        <w:jc w:val="both"/>
        <w:ind w:left="1300" w:firstLine="324"/>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Term SOFR</w:t>
      </w:r>
      <w:r>
        <w:rPr>
          <w:rFonts w:ascii="Arial" w:cs="Arial" w:eastAsia="Arial" w:hAnsi="Arial"/>
          <w:sz w:val="22"/>
          <w:szCs w:val="22"/>
          <w:color w:val="auto"/>
        </w:rPr>
        <w:t>” means for any Available Tenor and Interest Period with respect to a Term SOFR Loan or a SOFR Loan, the greater of (a) the sum of (i) Term SOFR for such available Tenor or Interest Period and (ii) the applicable SOFR Index Adjustment, and (b) the Floor.</w:t>
      </w:r>
    </w:p>
    <w:p>
      <w:pPr>
        <w:spacing w:after="0" w:line="171" w:lineRule="exact"/>
        <w:rPr>
          <w:sz w:val="20"/>
          <w:szCs w:val="20"/>
          <w:color w:val="auto"/>
        </w:rPr>
      </w:pPr>
    </w:p>
    <w:p>
      <w:pPr>
        <w:jc w:val="both"/>
        <w:ind w:left="1300" w:firstLine="32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Tenor</w:t>
      </w:r>
      <w:r>
        <w:rPr>
          <w:rFonts w:ascii="Arial" w:cs="Arial" w:eastAsia="Arial" w:hAnsi="Arial"/>
          <w:sz w:val="19"/>
          <w:szCs w:val="19"/>
          <w:color w:val="auto"/>
        </w:rPr>
        <w:t>” means, as of any date of determination and with respect to the then-current Benchmark,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w:t>
      </w:r>
    </w:p>
    <w:p>
      <w:pPr>
        <w:sectPr>
          <w:pgSz w:w="11900" w:h="16838" w:orient="portrait"/>
          <w:cols w:equalWidth="0" w:num="1">
            <w:col w:w="11240"/>
          </w:cols>
          <w:pgMar w:left="320" w:top="1428" w:right="339" w:bottom="1440" w:gutter="0" w:footer="0" w:header="0"/>
        </w:sectPr>
      </w:pPr>
    </w:p>
    <w:bookmarkStart w:id="242" w:name="page243"/>
    <w:bookmarkEnd w:id="242"/>
    <w:p>
      <w:pPr>
        <w:jc w:val="both"/>
        <w:ind w:left="180"/>
        <w:spacing w:after="0" w:line="253" w:lineRule="auto"/>
        <w:rPr>
          <w:sz w:val="20"/>
          <w:szCs w:val="20"/>
          <w:color w:val="auto"/>
        </w:rPr>
      </w:pPr>
      <w:r>
        <w:rPr>
          <w:rFonts w:ascii="Arial" w:cs="Arial" w:eastAsia="Arial" w:hAnsi="Arial"/>
          <w:sz w:val="22"/>
          <w:szCs w:val="22"/>
          <w:color w:val="auto"/>
        </w:rPr>
        <w:t>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2.14.</w:t>
      </w:r>
    </w:p>
    <w:p>
      <w:pPr>
        <w:spacing w:after="0" w:line="193" w:lineRule="exact"/>
        <w:rPr>
          <w:sz w:val="20"/>
          <w:szCs w:val="20"/>
          <w:color w:val="auto"/>
        </w:rPr>
      </w:pPr>
    </w:p>
    <w:p>
      <w:pPr>
        <w:jc w:val="both"/>
        <w:ind w:left="180" w:firstLine="32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w:t>
      </w:r>
      <w:r>
        <w:rPr>
          <w:rFonts w:ascii="Arial" w:cs="Arial" w:eastAsia="Arial" w:hAnsi="Arial"/>
          <w:sz w:val="22"/>
          <w:szCs w:val="22"/>
          <w:color w:val="auto"/>
        </w:rPr>
        <w:t>” means, initially, with respect to any Term SOFR Loan, Term SOFR; provided that if a Benchmark Transition Event has occurred with respect to the then-current Benchmark, then “Benchmark” means the applicable Benchmark Replacement to the extent that such Benchmark Replacement has replaced such prior benchmark rate pursuant to Section 2.14.</w:t>
      </w:r>
    </w:p>
    <w:p>
      <w:pPr>
        <w:spacing w:after="0" w:line="180"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w:t>
      </w:r>
      <w:r>
        <w:rPr>
          <w:rFonts w:ascii="Arial" w:cs="Arial" w:eastAsia="Arial" w:hAnsi="Arial"/>
          <w:sz w:val="21"/>
          <w:szCs w:val="21"/>
          <w:color w:val="auto"/>
        </w:rPr>
        <w:t>” means, with respect to any Benchmark Transition Event for the then-current Benchmark, the sum of: (a) the alternate benchmark rate that has been selected by the Lender and the Borrower Agent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Dollars at such time and (b) the related Benchmark Replacement Adjustment, if any; provided that, if such Benchmark Replacement as so determined would be less than the Floor, such Benchmark Replacement will be deemed to be the Floor for the purposes of this Agreement and the other Loan Documents.</w:t>
      </w:r>
    </w:p>
    <w:p>
      <w:pPr>
        <w:spacing w:after="0" w:line="170" w:lineRule="exact"/>
        <w:rPr>
          <w:sz w:val="20"/>
          <w:szCs w:val="20"/>
          <w:color w:val="auto"/>
        </w:rPr>
      </w:pPr>
    </w:p>
    <w:p>
      <w:pPr>
        <w:jc w:val="both"/>
        <w:ind w:left="180" w:firstLine="324"/>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 Adjustment</w:t>
      </w:r>
      <w:r>
        <w:rPr>
          <w:rFonts w:ascii="Arial" w:cs="Arial" w:eastAsia="Arial" w:hAnsi="Arial"/>
          <w:sz w:val="21"/>
          <w:szCs w:val="21"/>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Lender and the Borrower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 denominated syndicated credit facilities.</w:t>
      </w:r>
    </w:p>
    <w:p>
      <w:pPr>
        <w:sectPr>
          <w:pgSz w:w="11900" w:h="16838" w:orient="portrait"/>
          <w:cols w:equalWidth="0" w:num="1">
            <w:col w:w="10120"/>
          </w:cols>
          <w:pgMar w:left="1440" w:top="1428" w:right="339" w:bottom="1440" w:gutter="0" w:footer="0" w:header="0"/>
        </w:sectPr>
      </w:pPr>
    </w:p>
    <w:bookmarkStart w:id="243" w:name="page244"/>
    <w:bookmarkEnd w:id="243"/>
    <w:p>
      <w:pPr>
        <w:ind w:left="320" w:firstLine="32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 Date</w:t>
      </w:r>
      <w:r>
        <w:rPr>
          <w:rFonts w:ascii="Arial" w:cs="Arial" w:eastAsia="Arial" w:hAnsi="Arial"/>
          <w:sz w:val="22"/>
          <w:szCs w:val="22"/>
          <w:color w:val="auto"/>
        </w:rPr>
        <w:t>” means the earlier to occur of the following events with respect to the then-current Benchmark:</w:t>
      </w:r>
    </w:p>
    <w:p>
      <w:pPr>
        <w:spacing w:after="0" w:line="168" w:lineRule="exact"/>
        <w:rPr>
          <w:sz w:val="20"/>
          <w:szCs w:val="20"/>
          <w:color w:val="auto"/>
        </w:rPr>
      </w:pPr>
    </w:p>
    <w:p>
      <w:pPr>
        <w:jc w:val="both"/>
        <w:ind w:firstLine="1296"/>
        <w:spacing w:after="0" w:line="307" w:lineRule="auto"/>
        <w:tabs>
          <w:tab w:leader="none" w:pos="1791"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37" w:lineRule="exact"/>
        <w:rPr>
          <w:rFonts w:ascii="Arial" w:cs="Arial" w:eastAsia="Arial" w:hAnsi="Arial"/>
          <w:sz w:val="19"/>
          <w:szCs w:val="19"/>
          <w:color w:val="auto"/>
        </w:rPr>
      </w:pPr>
    </w:p>
    <w:p>
      <w:pPr>
        <w:jc w:val="both"/>
        <w:ind w:firstLine="1296"/>
        <w:spacing w:after="0" w:line="264" w:lineRule="auto"/>
        <w:tabs>
          <w:tab w:leader="none" w:pos="1764"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left="320" w:right="20" w:firstLine="32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Event</w:t>
      </w:r>
      <w:r>
        <w:rPr>
          <w:rFonts w:ascii="Arial" w:cs="Arial" w:eastAsia="Arial" w:hAnsi="Arial"/>
          <w:sz w:val="22"/>
          <w:szCs w:val="22"/>
          <w:color w:val="auto"/>
        </w:rPr>
        <w:t>” means, with respect to the then-current Benchmark, the occurrence of one or more of the following events with respect to such Benchmark:</w:t>
      </w:r>
    </w:p>
    <w:p>
      <w:pPr>
        <w:spacing w:after="0" w:line="168" w:lineRule="exact"/>
        <w:rPr>
          <w:sz w:val="20"/>
          <w:szCs w:val="20"/>
          <w:color w:val="auto"/>
        </w:rPr>
      </w:pPr>
    </w:p>
    <w:p>
      <w:pPr>
        <w:jc w:val="both"/>
        <w:ind w:firstLine="1296"/>
        <w:spacing w:after="0" w:line="300" w:lineRule="auto"/>
        <w:tabs>
          <w:tab w:leader="none" w:pos="1868"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46" w:lineRule="exact"/>
        <w:rPr>
          <w:rFonts w:ascii="Arial" w:cs="Arial" w:eastAsia="Arial" w:hAnsi="Arial"/>
          <w:sz w:val="19"/>
          <w:szCs w:val="19"/>
          <w:color w:val="auto"/>
        </w:rPr>
      </w:pPr>
    </w:p>
    <w:p>
      <w:pPr>
        <w:jc w:val="both"/>
        <w:ind w:firstLine="1296"/>
        <w:spacing w:after="0" w:line="297" w:lineRule="auto"/>
        <w:tabs>
          <w:tab w:leader="none" w:pos="1773"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w:t>
      </w:r>
    </w:p>
    <w:p>
      <w:pPr>
        <w:sectPr>
          <w:pgSz w:w="11900" w:h="16838" w:orient="portrait"/>
          <w:cols w:equalWidth="0" w:num="1">
            <w:col w:w="10260"/>
          </w:cols>
          <w:pgMar w:left="1300" w:top="1422" w:right="339" w:bottom="1440" w:gutter="0" w:footer="0" w:header="0"/>
        </w:sectPr>
      </w:pPr>
    </w:p>
    <w:bookmarkStart w:id="244" w:name="page245"/>
    <w:bookmarkEnd w:id="244"/>
    <w:p>
      <w:pPr>
        <w:jc w:val="both"/>
        <w:spacing w:after="0" w:line="312" w:lineRule="auto"/>
        <w:rPr>
          <w:sz w:val="20"/>
          <w:szCs w:val="20"/>
          <w:color w:val="auto"/>
        </w:rPr>
      </w:pPr>
      <w:r>
        <w:rPr>
          <w:rFonts w:ascii="Arial" w:cs="Arial" w:eastAsia="Arial" w:hAnsi="Arial"/>
          <w:sz w:val="19"/>
          <w:szCs w:val="19"/>
          <w:color w:val="auto"/>
        </w:rPr>
        <w:t>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47" w:lineRule="exact"/>
        <w:rPr>
          <w:sz w:val="20"/>
          <w:szCs w:val="20"/>
          <w:color w:val="auto"/>
        </w:rPr>
      </w:pPr>
    </w:p>
    <w:p>
      <w:pPr>
        <w:jc w:val="both"/>
        <w:ind w:firstLine="1296"/>
        <w:spacing w:after="0" w:line="265" w:lineRule="auto"/>
        <w:tabs>
          <w:tab w:leader="none" w:pos="186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175"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22" w:lineRule="exact"/>
        <w:rPr>
          <w:sz w:val="20"/>
          <w:szCs w:val="20"/>
          <w:color w:val="auto"/>
        </w:rPr>
      </w:pPr>
    </w:p>
    <w:p>
      <w:pPr>
        <w:jc w:val="both"/>
        <w:ind w:left="320" w:firstLine="324"/>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Start Date</w:t>
      </w:r>
      <w:r>
        <w:rPr>
          <w:rFonts w:ascii="Arial" w:cs="Arial" w:eastAsia="Arial" w:hAnsi="Arial"/>
          <w:sz w:val="22"/>
          <w:szCs w:val="22"/>
          <w:color w:val="auto"/>
        </w:rPr>
        <w:t>” means, with respect to any Benchmark,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Unavailability Period</w:t>
      </w:r>
      <w:r>
        <w:rPr>
          <w:rFonts w:ascii="Arial" w:cs="Arial" w:eastAsia="Arial" w:hAnsi="Arial"/>
          <w:sz w:val="19"/>
          <w:szCs w:val="19"/>
          <w:color w:val="auto"/>
        </w:rPr>
        <w:t>” means, with respect to any then-current Benchmark, the period (if any)</w:t>
      </w:r>
    </w:p>
    <w:p>
      <w:pPr>
        <w:spacing w:after="0" w:line="62" w:lineRule="exact"/>
        <w:rPr>
          <w:sz w:val="20"/>
          <w:szCs w:val="20"/>
          <w:color w:val="auto"/>
        </w:rPr>
      </w:pPr>
    </w:p>
    <w:p>
      <w:pPr>
        <w:ind w:left="620" w:hanging="296"/>
        <w:spacing w:after="0"/>
        <w:tabs>
          <w:tab w:leader="none" w:pos="62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beginning at the time that a Benchmark Replacement Date with respect to such Benchmark pursuant to clauses</w:t>
      </w:r>
    </w:p>
    <w:p>
      <w:pPr>
        <w:spacing w:after="0" w:line="38" w:lineRule="exact"/>
        <w:rPr>
          <w:rFonts w:ascii="Arial" w:cs="Arial" w:eastAsia="Arial" w:hAnsi="Arial"/>
          <w:sz w:val="19"/>
          <w:szCs w:val="19"/>
          <w:color w:val="auto"/>
        </w:rPr>
      </w:pPr>
    </w:p>
    <w:p>
      <w:pPr>
        <w:jc w:val="both"/>
        <w:ind w:left="320" w:firstLine="4"/>
        <w:spacing w:after="0" w:line="264" w:lineRule="auto"/>
        <w:tabs>
          <w:tab w:leader="none" w:pos="674" w:val="left"/>
        </w:tabs>
        <w:numPr>
          <w:ilvl w:val="0"/>
          <w:numId w:val="167"/>
        </w:numPr>
        <w:rPr>
          <w:rFonts w:ascii="Arial" w:cs="Arial" w:eastAsia="Arial" w:hAnsi="Arial"/>
          <w:sz w:val="21"/>
          <w:szCs w:val="21"/>
          <w:color w:val="auto"/>
        </w:rPr>
      </w:pPr>
      <w:r>
        <w:rPr>
          <w:rFonts w:ascii="Arial" w:cs="Arial" w:eastAsia="Arial" w:hAnsi="Arial"/>
          <w:sz w:val="21"/>
          <w:szCs w:val="21"/>
          <w:color w:val="auto"/>
        </w:rPr>
        <w:t>or (b) of that definition has occurred if, at such time, no Benchmark Replacement has replaced such Benchmark for all purposes hereunder and under any Loan Document in accordance with Section 2.14 and (b) ending at the time that a Benchmark Replacement has replaced such Benchmark for all purposes hereunder and under any Loan Document in accordance with Section 2.14.</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CME</w:t>
      </w:r>
      <w:r>
        <w:rPr>
          <w:rFonts w:ascii="Arial" w:cs="Arial" w:eastAsia="Arial" w:hAnsi="Arial"/>
          <w:sz w:val="22"/>
          <w:szCs w:val="22"/>
          <w:color w:val="auto"/>
        </w:rPr>
        <w:t>” means CME Group Benchmark Administration Ltd.</w:t>
      </w:r>
    </w:p>
    <w:p>
      <w:pPr>
        <w:spacing w:after="0" w:line="220" w:lineRule="exact"/>
        <w:rPr>
          <w:sz w:val="20"/>
          <w:szCs w:val="20"/>
          <w:color w:val="auto"/>
        </w:rPr>
      </w:pPr>
    </w:p>
    <w:p>
      <w:pPr>
        <w:jc w:val="both"/>
        <w:ind w:left="320" w:firstLine="324"/>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Conforming Changes</w:t>
      </w:r>
      <w:r>
        <w:rPr>
          <w:rFonts w:ascii="Arial" w:cs="Arial" w:eastAsia="Arial" w:hAnsi="Arial"/>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“Base Rate,” the definition of “Business Day,” the definition of “SOFR Business Day,” the definition of “Interest Period”</w:t>
      </w:r>
    </w:p>
    <w:p>
      <w:pPr>
        <w:sectPr>
          <w:pgSz w:w="11900" w:h="16838" w:orient="portrait"/>
          <w:cols w:equalWidth="0" w:num="1">
            <w:col w:w="10260"/>
          </w:cols>
          <w:pgMar w:left="1300" w:top="1428" w:right="339" w:bottom="1440" w:gutter="0" w:footer="0" w:header="0"/>
        </w:sectPr>
      </w:pPr>
    </w:p>
    <w:bookmarkStart w:id="245" w:name="page246"/>
    <w:bookmarkEnd w:id="245"/>
    <w:p>
      <w:pPr>
        <w:jc w:val="both"/>
        <w:ind w:left="180"/>
        <w:spacing w:after="0" w:line="293" w:lineRule="auto"/>
        <w:rPr>
          <w:sz w:val="20"/>
          <w:szCs w:val="20"/>
          <w:color w:val="auto"/>
        </w:rPr>
      </w:pPr>
      <w:r>
        <w:rPr>
          <w:rFonts w:ascii="Arial" w:cs="Arial" w:eastAsia="Arial" w:hAnsi="Arial"/>
          <w:sz w:val="19"/>
          <w:szCs w:val="19"/>
          <w:color w:val="auto"/>
        </w:rPr>
        <w:t>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Lender decides may be appropriate to reflect the adoption and implementation of any such rate or to permit the use and administration thereof by the Lender in a manner substantially consistent with market practice (or, if the Lender decides that adoption of any portion of such market practice is not administratively feasible or if the Lender determines that no market practice for the administration of any such rate exists, in such other manner of administration as the Lender decides is reasonably necessary in connection with the administration of this Agreement and the other Loan Documents).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Floor</w:t>
      </w:r>
      <w:r>
        <w:rPr>
          <w:rFonts w:ascii="Arial" w:cs="Arial" w:eastAsia="Arial" w:hAnsi="Arial"/>
          <w:sz w:val="22"/>
          <w:szCs w:val="22"/>
          <w:color w:val="auto"/>
        </w:rPr>
        <w:t>” means a rate of interest equal to zero percent (0.00%) per annum.</w:t>
      </w:r>
    </w:p>
    <w:p>
      <w:pPr>
        <w:spacing w:after="0" w:line="220" w:lineRule="exact"/>
        <w:rPr>
          <w:sz w:val="20"/>
          <w:szCs w:val="20"/>
          <w:color w:val="auto"/>
        </w:rPr>
      </w:pPr>
    </w:p>
    <w:p>
      <w:pPr>
        <w:jc w:val="both"/>
        <w:ind w:left="180" w:firstLine="32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Governmental Body</w:t>
      </w:r>
      <w:r>
        <w:rPr>
          <w:rFonts w:ascii="Arial" w:cs="Arial" w:eastAsia="Arial" w:hAnsi="Arial"/>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76" w:lineRule="exact"/>
        <w:rPr>
          <w:sz w:val="20"/>
          <w:szCs w:val="20"/>
          <w:color w:val="auto"/>
        </w:rPr>
      </w:pPr>
    </w:p>
    <w:p>
      <w:pPr>
        <w:jc w:val="both"/>
        <w:ind w:left="180" w:firstLine="324"/>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w:t>
      </w:r>
      <w:r>
        <w:rPr>
          <w:rFonts w:ascii="Arial" w:cs="Arial" w:eastAsia="Arial" w:hAnsi="Arial"/>
          <w:sz w:val="22"/>
          <w:szCs w:val="22"/>
          <w:color w:val="auto"/>
        </w:rPr>
        <w:t>” means a rate equal to the secured overnight financing rate as administered by the SOFR Administrator.</w:t>
      </w:r>
    </w:p>
    <w:p>
      <w:pPr>
        <w:spacing w:after="0" w:line="148"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62" w:lineRule="exact"/>
        <w:rPr>
          <w:sz w:val="20"/>
          <w:szCs w:val="20"/>
          <w:color w:val="auto"/>
        </w:rPr>
      </w:pPr>
    </w:p>
    <w:p>
      <w:pPr>
        <w:jc w:val="both"/>
        <w:ind w:left="180" w:firstLine="324"/>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Administrator’s Website</w:t>
      </w:r>
      <w:r>
        <w:rPr>
          <w:rFonts w:ascii="Arial" w:cs="Arial" w:eastAsia="Arial" w:hAnsi="Arial"/>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Borrowing</w:t>
      </w:r>
      <w:r>
        <w:rPr>
          <w:rFonts w:ascii="Arial" w:cs="Arial" w:eastAsia="Arial" w:hAnsi="Arial"/>
          <w:sz w:val="22"/>
          <w:szCs w:val="22"/>
          <w:color w:val="auto"/>
        </w:rPr>
        <w:t>” means a Term SOFR Borrowing.</w:t>
      </w:r>
    </w:p>
    <w:p>
      <w:pPr>
        <w:spacing w:after="0" w:line="220" w:lineRule="exact"/>
        <w:rPr>
          <w:sz w:val="20"/>
          <w:szCs w:val="20"/>
          <w:color w:val="auto"/>
        </w:rPr>
      </w:pPr>
    </w:p>
    <w:p>
      <w:pPr>
        <w:jc w:val="both"/>
        <w:ind w:left="180" w:firstLine="32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SOFR Business Day</w:t>
      </w:r>
      <w:r>
        <w:rPr>
          <w:rFonts w:ascii="Arial" w:cs="Arial" w:eastAsia="Arial" w:hAnsi="Arial"/>
          <w:sz w:val="21"/>
          <w:szCs w:val="21"/>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ectPr>
          <w:pgSz w:w="11900" w:h="16838" w:orient="portrait"/>
          <w:cols w:equalWidth="0" w:num="1">
            <w:col w:w="10120"/>
          </w:cols>
          <w:pgMar w:left="1440" w:top="1428" w:right="339" w:bottom="1440" w:gutter="0" w:footer="0" w:header="0"/>
        </w:sectPr>
      </w:pPr>
    </w:p>
    <w:bookmarkStart w:id="246" w:name="page247"/>
    <w:bookmarkEnd w:id="246"/>
    <w:p>
      <w:pPr>
        <w:jc w:val="both"/>
        <w:ind w:left="180" w:right="20" w:firstLine="324"/>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 Index Adjustment</w:t>
      </w:r>
      <w:r>
        <w:rPr>
          <w:rFonts w:ascii="Arial" w:cs="Arial" w:eastAsia="Arial" w:hAnsi="Arial"/>
          <w:sz w:val="19"/>
          <w:szCs w:val="19"/>
          <w:color w:val="auto"/>
        </w:rPr>
        <w:t>” means for any calculation with respect to a Term SOFR Loan, a percentage per annum as set forth below for the applicable Type of such Loan and (if applicable) Interest Period therefor:</w:t>
      </w:r>
    </w:p>
    <w:p>
      <w:pPr>
        <w:spacing w:after="0" w:line="115" w:lineRule="exact"/>
        <w:rPr>
          <w:sz w:val="20"/>
          <w:szCs w:val="20"/>
          <w:color w:val="auto"/>
        </w:rPr>
      </w:pPr>
    </w:p>
    <w:tbl>
      <w:tblPr>
        <w:tblLayout w:type="fixed"/>
        <w:tblInd w:w="690" w:type="dxa"/>
        <w:tblCellMar>
          <w:top w:w="0" w:type="dxa"/>
          <w:left w:w="0" w:type="dxa"/>
          <w:bottom w:w="0" w:type="dxa"/>
          <w:right w:w="0" w:type="dxa"/>
        </w:tblCellMar>
      </w:tblPr>
      <w:tr>
        <w:trPr>
          <w:trHeight w:val="222"/>
        </w:trPr>
        <w:tc>
          <w:tcPr>
            <w:tcW w:w="4400" w:type="dxa"/>
            <w:vAlign w:val="bottom"/>
            <w:tcBorders>
              <w:top w:val="single" w:sz="8" w:color="auto"/>
              <w:left w:val="single" w:sz="8" w:color="auto"/>
              <w:right w:val="single" w:sz="8" w:color="auto"/>
            </w:tcBorders>
          </w:tcPr>
          <w:p>
            <w:pPr>
              <w:ind w:left="40"/>
              <w:spacing w:after="0" w:line="222" w:lineRule="exact"/>
              <w:rPr>
                <w:sz w:val="20"/>
                <w:szCs w:val="20"/>
                <w:color w:val="auto"/>
              </w:rPr>
            </w:pPr>
            <w:r>
              <w:rPr>
                <w:rFonts w:ascii="Arial" w:cs="Arial" w:eastAsia="Arial" w:hAnsi="Arial"/>
                <w:sz w:val="22"/>
                <w:szCs w:val="22"/>
                <w:color w:val="auto"/>
              </w:rPr>
              <w:t>Term SOFR Loans</w:t>
            </w:r>
          </w:p>
        </w:tc>
        <w:tc>
          <w:tcPr>
            <w:tcW w:w="3020" w:type="dxa"/>
            <w:vAlign w:val="bottom"/>
            <w:tcBorders>
              <w:top w:val="single" w:sz="8" w:color="auto"/>
              <w:right w:val="single" w:sz="8" w:color="auto"/>
            </w:tcBorders>
          </w:tcPr>
          <w:p>
            <w:pPr>
              <w:spacing w:after="0"/>
              <w:rPr>
                <w:sz w:val="19"/>
                <w:szCs w:val="19"/>
                <w:color w:val="auto"/>
              </w:rPr>
            </w:pPr>
          </w:p>
        </w:tc>
      </w:tr>
      <w:tr>
        <w:trPr>
          <w:trHeight w:val="276"/>
        </w:trPr>
        <w:tc>
          <w:tcPr>
            <w:tcW w:w="4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Interest Period:</w:t>
            </w:r>
          </w:p>
        </w:tc>
        <w:tc>
          <w:tcPr>
            <w:tcW w:w="3020" w:type="dxa"/>
            <w:vAlign w:val="bottom"/>
            <w:tcBorders>
              <w:bottom w:val="single" w:sz="8" w:color="auto"/>
              <w:right w:val="single" w:sz="8" w:color="auto"/>
            </w:tcBorders>
          </w:tcPr>
          <w:p>
            <w:pPr>
              <w:spacing w:after="0"/>
              <w:rPr>
                <w:sz w:val="24"/>
                <w:szCs w:val="24"/>
                <w:color w:val="auto"/>
              </w:rPr>
            </w:pPr>
          </w:p>
        </w:tc>
      </w:tr>
      <w:tr>
        <w:trPr>
          <w:trHeight w:val="265"/>
        </w:trPr>
        <w:tc>
          <w:tcPr>
            <w:tcW w:w="4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One month</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w w:val="86"/>
              </w:rPr>
              <w:t>0.10%</w:t>
            </w:r>
          </w:p>
        </w:tc>
      </w:tr>
      <w:tr>
        <w:trPr>
          <w:trHeight w:val="263"/>
        </w:trPr>
        <w:tc>
          <w:tcPr>
            <w:tcW w:w="4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Three months</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w w:val="86"/>
              </w:rPr>
              <w:t>0.10%</w:t>
            </w:r>
          </w:p>
        </w:tc>
      </w:tr>
      <w:tr>
        <w:trPr>
          <w:trHeight w:val="263"/>
        </w:trPr>
        <w:tc>
          <w:tcPr>
            <w:tcW w:w="4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Six months</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w w:val="86"/>
              </w:rPr>
              <w:t>0.10%</w:t>
            </w:r>
          </w:p>
        </w:tc>
      </w:tr>
    </w:tbl>
    <w:p>
      <w:pPr>
        <w:spacing w:after="0" w:line="297"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Loan</w:t>
      </w:r>
      <w:r>
        <w:rPr>
          <w:rFonts w:ascii="Arial" w:cs="Arial" w:eastAsia="Arial" w:hAnsi="Arial"/>
          <w:sz w:val="22"/>
          <w:szCs w:val="22"/>
          <w:color w:val="auto"/>
        </w:rPr>
        <w:t>” means each Loan bearing interest at a rate based upon Adjusted Term SOFR (other than pursuant to clause (c) of the definition of “Alternate Base Rate”).</w:t>
      </w:r>
    </w:p>
    <w:p>
      <w:pPr>
        <w:spacing w:after="0" w:line="162"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w:t>
      </w:r>
      <w:r>
        <w:rPr>
          <w:rFonts w:ascii="Arial" w:cs="Arial" w:eastAsia="Arial" w:hAnsi="Arial"/>
          <w:sz w:val="19"/>
          <w:szCs w:val="19"/>
          <w:color w:val="auto"/>
        </w:rPr>
        <w:t>” means for any calculation with respect to a Term SOFR Loan, the Term SOFR Reference Rate for a tenor comparable to the applicable Interest Period on the day (such day, the “Lookback Day”) that is two (2) SOFR Business Days prior to the first day of such Interest Period (and rounded in accordance with the Lender’s customary practice), as such rate is published by the Term SOFR Administrator; provided, however, that if as of 5:00 p.m. (New York City time) on any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(3) SOFR Business Days prior to such Lookback Day, and for any calculation with respect to a Base Rate Loan, the Term SOFR Reference Rate for a tenor of one (1) month on the day that is two (2) SOFR Business Days prior to the date the Alternate Base Rate is determined, subject to the proviso provided above.</w:t>
      </w:r>
    </w:p>
    <w:p>
      <w:pPr>
        <w:spacing w:after="0" w:line="200" w:lineRule="exact"/>
        <w:rPr>
          <w:sz w:val="20"/>
          <w:szCs w:val="20"/>
          <w:color w:val="auto"/>
        </w:rPr>
      </w:pPr>
    </w:p>
    <w:p>
      <w:pPr>
        <w:spacing w:after="0" w:line="212"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 Administrator</w:t>
      </w:r>
      <w:r>
        <w:rPr>
          <w:rFonts w:ascii="Arial" w:cs="Arial" w:eastAsia="Arial" w:hAnsi="Arial"/>
          <w:sz w:val="22"/>
          <w:szCs w:val="22"/>
          <w:color w:val="auto"/>
        </w:rPr>
        <w:t>” means CME (or a successor administrator of the Term SOFR Reference Rate, as selected by the Lender in its reasonable discretion).</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 Borrowing</w:t>
      </w:r>
      <w:r>
        <w:rPr>
          <w:rFonts w:ascii="Arial" w:cs="Arial" w:eastAsia="Arial" w:hAnsi="Arial"/>
          <w:sz w:val="22"/>
          <w:szCs w:val="22"/>
          <w:color w:val="auto"/>
        </w:rPr>
        <w:t>” means a Borrowing comprised of Term SOFR Loans.</w:t>
      </w:r>
    </w:p>
    <w:p>
      <w:pPr>
        <w:spacing w:after="0" w:line="220" w:lineRule="exact"/>
        <w:rPr>
          <w:sz w:val="20"/>
          <w:szCs w:val="20"/>
          <w:color w:val="auto"/>
        </w:rPr>
      </w:pPr>
    </w:p>
    <w:p>
      <w:pPr>
        <w:jc w:val="both"/>
        <w:ind w:left="180" w:firstLine="324"/>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 Loan</w:t>
      </w:r>
      <w:r>
        <w:rPr>
          <w:rFonts w:ascii="Arial" w:cs="Arial" w:eastAsia="Arial" w:hAnsi="Arial"/>
          <w:sz w:val="22"/>
          <w:szCs w:val="22"/>
          <w:color w:val="auto"/>
        </w:rPr>
        <w:t>” means each Loan bearing interest at a rate based upon Adjusted Term SOFR (other than pursuant to clause (c) of the definition of “Alternate Base Rate”).</w:t>
      </w:r>
    </w:p>
    <w:p>
      <w:pPr>
        <w:sectPr>
          <w:pgSz w:w="11900" w:h="16838" w:orient="portrait"/>
          <w:cols w:equalWidth="0" w:num="1">
            <w:col w:w="10120"/>
          </w:cols>
          <w:pgMar w:left="1440" w:top="1422" w:right="339" w:bottom="1440" w:gutter="0" w:footer="0" w:header="0"/>
        </w:sectPr>
      </w:pPr>
    </w:p>
    <w:bookmarkStart w:id="247" w:name="page248"/>
    <w:bookmarkEnd w:id="247"/>
    <w:p>
      <w:pPr>
        <w:ind w:left="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 Reference Rate</w:t>
      </w:r>
      <w:r>
        <w:rPr>
          <w:rFonts w:ascii="Arial" w:cs="Arial" w:eastAsia="Arial" w:hAnsi="Arial"/>
          <w:sz w:val="22"/>
          <w:szCs w:val="22"/>
          <w:color w:val="auto"/>
        </w:rPr>
        <w:t>” means the forward-looking term rate based on SOFR.</w:t>
      </w:r>
    </w:p>
    <w:p>
      <w:pPr>
        <w:spacing w:after="0" w:line="220" w:lineRule="exact"/>
        <w:rPr>
          <w:sz w:val="20"/>
          <w:szCs w:val="20"/>
          <w:color w:val="auto"/>
        </w:rPr>
      </w:pPr>
    </w:p>
    <w:p>
      <w:pPr>
        <w:ind w:left="640" w:firstLine="32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Type</w:t>
      </w:r>
      <w:r>
        <w:rPr>
          <w:rFonts w:ascii="Arial" w:cs="Arial" w:eastAsia="Arial" w:hAnsi="Arial"/>
          <w:sz w:val="22"/>
          <w:szCs w:val="22"/>
          <w:color w:val="auto"/>
        </w:rPr>
        <w:t>” means any type of Loan determined with respect to the interest option applicable thereto, which in each case shall be a Base Rate Loan or a Term SOFR Loan.</w:t>
      </w:r>
    </w:p>
    <w:p>
      <w:pPr>
        <w:spacing w:after="0" w:line="175" w:lineRule="exact"/>
        <w:rPr>
          <w:sz w:val="20"/>
          <w:szCs w:val="20"/>
          <w:color w:val="auto"/>
        </w:rPr>
      </w:pPr>
    </w:p>
    <w:p>
      <w:pPr>
        <w:ind w:left="640" w:firstLine="32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68" w:lineRule="exact"/>
        <w:rPr>
          <w:sz w:val="20"/>
          <w:szCs w:val="20"/>
          <w:color w:val="auto"/>
        </w:rPr>
      </w:pPr>
    </w:p>
    <w:p>
      <w:pPr>
        <w:ind w:firstLine="644"/>
        <w:spacing w:after="0" w:line="263" w:lineRule="auto"/>
        <w:tabs>
          <w:tab w:leader="none" w:pos="120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to delete the definitions of “Adjusted LIBO Rate”, “Eurodollar”, “LIBO Rate” and “Statutory Reserve Adjustment” therefrom.</w:t>
      </w:r>
    </w:p>
    <w:p>
      <w:pPr>
        <w:spacing w:after="0" w:line="174" w:lineRule="exact"/>
        <w:rPr>
          <w:rFonts w:ascii="Arial" w:cs="Arial" w:eastAsia="Arial" w:hAnsi="Arial"/>
          <w:sz w:val="22"/>
          <w:szCs w:val="22"/>
          <w:color w:val="auto"/>
        </w:rPr>
      </w:pPr>
    </w:p>
    <w:p>
      <w:pPr>
        <w:ind w:left="1280" w:hanging="636"/>
        <w:spacing w:after="0"/>
        <w:tabs>
          <w:tab w:leader="none" w:pos="128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All references to “Eurodollar” in the Credit Agreement are hereby amended to refer to “SOFR” in lieu</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thereof.</w:t>
      </w:r>
    </w:p>
    <w:p>
      <w:pPr>
        <w:spacing w:after="0" w:line="215" w:lineRule="exact"/>
        <w:rPr>
          <w:rFonts w:ascii="Arial" w:cs="Arial" w:eastAsia="Arial" w:hAnsi="Arial"/>
          <w:sz w:val="21"/>
          <w:szCs w:val="21"/>
          <w:color w:val="auto"/>
        </w:rPr>
      </w:pPr>
    </w:p>
    <w:p>
      <w:pPr>
        <w:ind w:firstLine="644"/>
        <w:spacing w:after="0" w:line="263" w:lineRule="auto"/>
        <w:tabs>
          <w:tab w:leader="none" w:pos="115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All references to “Adjusted LIBO Rate” in the Credit Agreement are hereby amended to refer to “Adjusted Term SOFR” in lieu thereof.</w:t>
      </w:r>
    </w:p>
    <w:p>
      <w:pPr>
        <w:spacing w:after="0" w:line="174" w:lineRule="exact"/>
        <w:rPr>
          <w:rFonts w:ascii="Arial" w:cs="Arial" w:eastAsia="Arial" w:hAnsi="Arial"/>
          <w:sz w:val="22"/>
          <w:szCs w:val="22"/>
          <w:color w:val="auto"/>
        </w:rPr>
      </w:pPr>
    </w:p>
    <w:p>
      <w:pPr>
        <w:ind w:firstLine="644"/>
        <w:spacing w:after="0" w:line="263" w:lineRule="auto"/>
        <w:tabs>
          <w:tab w:leader="none" w:pos="117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All references to the “London interbank market” in the Credit Agreement are hereby amended to refer to the “applicable interbank market” in lieu thereof.</w:t>
      </w:r>
    </w:p>
    <w:p>
      <w:pPr>
        <w:spacing w:after="0" w:line="174" w:lineRule="exact"/>
        <w:rPr>
          <w:rFonts w:ascii="Arial" w:cs="Arial" w:eastAsia="Arial" w:hAnsi="Arial"/>
          <w:sz w:val="22"/>
          <w:szCs w:val="22"/>
          <w:color w:val="auto"/>
        </w:rPr>
      </w:pPr>
    </w:p>
    <w:p>
      <w:pPr>
        <w:ind w:left="1220" w:hanging="576"/>
        <w:spacing w:after="0"/>
        <w:tabs>
          <w:tab w:leader="none" w:pos="12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Article 1 of the Credit Agreement is hereby amended by adding the following new Section 1.06:</w:t>
      </w:r>
    </w:p>
    <w:p>
      <w:pPr>
        <w:spacing w:after="0" w:line="233" w:lineRule="exact"/>
        <w:rPr>
          <w:sz w:val="20"/>
          <w:szCs w:val="20"/>
          <w:color w:val="auto"/>
        </w:rPr>
      </w:pPr>
    </w:p>
    <w:p>
      <w:pPr>
        <w:jc w:val="both"/>
        <w:ind w:left="320" w:firstLine="648"/>
        <w:spacing w:after="0" w:line="288"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Rates</w:t>
      </w:r>
      <w:r>
        <w:rPr>
          <w:rFonts w:ascii="Arial" w:cs="Arial" w:eastAsia="Arial" w:hAnsi="Arial"/>
          <w:sz w:val="19"/>
          <w:szCs w:val="19"/>
          <w:color w:val="auto"/>
        </w:rPr>
        <w:t>. The interest rate on Loans denominated in Dollars may be determined by reference to a benchmark rate that is, or may in the future become, the subject of regulatory reform or cessation. The Lender does not warrant or accept responsibility for, and shall not have any liability with respect to (a) the continuation of, administration of, submission of, calculation of or any other matter related to the Alternate Base Rate,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Base Rate, the Term SOFR Reference Rate, Adjusted Term SOFR or Term SOFR or any other Benchmark prior to its discontinuance or unavailability, or (b) the effect, implementation or composition of any Conforming Changes. The Lender and its affiliates or other related entities may engage in transactions that affect the calculation of the Alternate Base Rate, the Base Rate, the Term SOFR Reference Rate, Adjusted Term SOFR or Term SOFR, any alternative, successor or replacement rate (including any Benchmark Replacement) or any relevant</w:t>
      </w:r>
    </w:p>
    <w:p>
      <w:pPr>
        <w:sectPr>
          <w:pgSz w:w="11900" w:h="16838" w:orient="portrait"/>
          <w:cols w:equalWidth="0" w:num="1">
            <w:col w:w="10580"/>
          </w:cols>
          <w:pgMar w:left="980" w:top="1422" w:right="339" w:bottom="1440" w:gutter="0" w:footer="0" w:header="0"/>
        </w:sectPr>
      </w:pPr>
    </w:p>
    <w:bookmarkStart w:id="248" w:name="page249"/>
    <w:bookmarkEnd w:id="248"/>
    <w:p>
      <w:pPr>
        <w:jc w:val="both"/>
        <w:spacing w:after="0" w:line="289" w:lineRule="auto"/>
        <w:rPr>
          <w:sz w:val="20"/>
          <w:szCs w:val="20"/>
          <w:color w:val="auto"/>
        </w:rPr>
      </w:pPr>
      <w:r>
        <w:rPr>
          <w:rFonts w:ascii="Arial" w:cs="Arial" w:eastAsia="Arial" w:hAnsi="Arial"/>
          <w:sz w:val="19"/>
          <w:szCs w:val="19"/>
          <w:color w:val="auto"/>
        </w:rPr>
        <w:t>adjustments thereto, in each case, in a manner adverse to the Borrowers. The Lender may select information sources or services in its reasonable discretion to ascertain the Alternate Base Rate, the Base Rate, the Term SOFR Reference Rate, Adjusted Term SOFR or Term SOFR or any other Benchmark, in each case pursuant to the terms of this Agreement, and shall have no liability to the Borrowers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The Lender will, in keeping with industry practice, continue using its current rounding practices in connection with the Alternate Base Rate, the Base Rate, the Term SOFR Reference Rate, Adjusted Term SOFR or Term SOFR. In connection with the use or administration of Term SOFR, the Lender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Lender will promptly notify the Borrower Agent of the effectiveness of any Conforming Changes in connection with the use or administration of Term SOFR.”</w:t>
      </w:r>
    </w:p>
    <w:p>
      <w:pPr>
        <w:spacing w:after="0" w:line="200" w:lineRule="exact"/>
        <w:rPr>
          <w:sz w:val="20"/>
          <w:szCs w:val="20"/>
          <w:color w:val="auto"/>
        </w:rPr>
      </w:pPr>
    </w:p>
    <w:p>
      <w:pPr>
        <w:spacing w:after="0" w:line="227" w:lineRule="exact"/>
        <w:rPr>
          <w:sz w:val="20"/>
          <w:szCs w:val="20"/>
          <w:color w:val="auto"/>
        </w:rPr>
      </w:pPr>
    </w:p>
    <w:p>
      <w:pPr>
        <w:ind w:left="640" w:right="160" w:hanging="316"/>
        <w:spacing w:after="0" w:line="448" w:lineRule="auto"/>
        <w:tabs>
          <w:tab w:leader="none" w:pos="964"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Section 2.14 of the Credit Agreement is hereby amended and restated in its entirety to provide as follows: “Section 2.14 </w:t>
      </w:r>
      <w:r>
        <w:rPr>
          <w:rFonts w:ascii="Arial" w:cs="Arial" w:eastAsia="Arial" w:hAnsi="Arial"/>
          <w:sz w:val="22"/>
          <w:szCs w:val="22"/>
          <w:i w:val="1"/>
          <w:iCs w:val="1"/>
          <w:color w:val="auto"/>
        </w:rPr>
        <w:t>Benchmark Replacement Setting</w:t>
      </w:r>
      <w:r>
        <w:rPr>
          <w:rFonts w:ascii="Arial" w:cs="Arial" w:eastAsia="Arial" w:hAnsi="Arial"/>
          <w:sz w:val="22"/>
          <w:szCs w:val="22"/>
          <w:color w:val="auto"/>
        </w:rPr>
        <w:t>.</w:t>
      </w:r>
    </w:p>
    <w:p>
      <w:pPr>
        <w:jc w:val="both"/>
        <w:ind w:firstLine="1296"/>
        <w:spacing w:after="0" w:line="289" w:lineRule="auto"/>
        <w:tabs>
          <w:tab w:leader="none" w:pos="1809"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Temporary Inability to Determine Rate. If (a) the Lender determines (which determination shall be conclusive and binding absent manifest error) that Adjusted Term SOFR cannot be determined pursuant to the definition thereof or (b) the Lender determines that for any reason in connection with any request for a SOFR Loan or a conversion thereto or a continuation thereof that Adjusted Term SOFR for any requested Interest Period with respect to a proposed SOFR Loan does not adequately and fairly reflect the cost to the Lender of funding such Loan, in each case of (a) and (b), on or prior to the first day of any Interest Period, the Lender will promptly so notify the Borrower Agent. Upon notice thereof by the Lender to the Borrower Agent, (i) any obligation of the Lender to make or continue the applicable SOFR Loans or to convert Base Rate Loans to SOFR Loans shall be suspended (to the extent of the affected Interest Periods) until the Lender revokes such notice and (ii) if such determination affects the calculation of the Alternate Base Rate, the Lender shall during the period of such suspension compute the Alternate Base Rate without reference to clause (c) of the definition of “Alternate Base Rate” until the Lender revokes such notice. Upon receipt of such notice, (A) the Borrower Agent may revoke any pending request for a Borrowing of, conversion to or continuation of any applicable SOFR Loans (to the extent of the affected SOFR Loans or affected Interest Periods) or, failing that, the Borrower Agent will be deemed</w:t>
      </w:r>
    </w:p>
    <w:p>
      <w:pPr>
        <w:sectPr>
          <w:pgSz w:w="11900" w:h="16838" w:orient="portrait"/>
          <w:cols w:equalWidth="0" w:num="1">
            <w:col w:w="10260"/>
          </w:cols>
          <w:pgMar w:left="1300" w:top="1428" w:right="339" w:bottom="1440" w:gutter="0" w:footer="0" w:header="0"/>
        </w:sectPr>
      </w:pPr>
    </w:p>
    <w:bookmarkStart w:id="249" w:name="page250"/>
    <w:bookmarkEnd w:id="249"/>
    <w:p>
      <w:pPr>
        <w:jc w:val="both"/>
        <w:spacing w:after="0" w:line="292" w:lineRule="auto"/>
        <w:rPr>
          <w:sz w:val="20"/>
          <w:szCs w:val="20"/>
          <w:color w:val="auto"/>
        </w:rPr>
      </w:pPr>
      <w:r>
        <w:rPr>
          <w:rFonts w:ascii="Arial" w:cs="Arial" w:eastAsia="Arial" w:hAnsi="Arial"/>
          <w:sz w:val="19"/>
          <w:szCs w:val="19"/>
          <w:color w:val="auto"/>
        </w:rPr>
        <w:t>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conversion, the Borrower Agent shall also pay accrued interest on the amount so converted, together with any additional amounts required pursuant to Section 2.16. If the Lender determines (which determination shall be conclusive and binding absent manifest error) that “Adjusted Term SOFR” cannot be determined pursuant to the definition thereof on any given day, the interest rate on Base Rate Loans shall be determined by the Lender without reference to clause (c) of the definition of “Alternate Base Rate” until the Lender revokes such determination.</w:t>
      </w:r>
    </w:p>
    <w:p>
      <w:pPr>
        <w:spacing w:after="0" w:line="168" w:lineRule="exact"/>
        <w:rPr>
          <w:sz w:val="20"/>
          <w:szCs w:val="20"/>
          <w:color w:val="auto"/>
        </w:rPr>
      </w:pPr>
    </w:p>
    <w:p>
      <w:pPr>
        <w:jc w:val="both"/>
        <w:ind w:firstLine="1296"/>
        <w:spacing w:after="0" w:line="292" w:lineRule="auto"/>
        <w:tabs>
          <w:tab w:leader="none" w:pos="182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Benchmark Replacement. Notwithstanding anything to the contrary herein or in any other Loan Document, upon the occurrence of a Benchmark Transition Event, the Lender and the Borrower Agent may amend this Agreement to replace the then-current Benchmark with a Benchmark Replacement. Any such amendment with respect to a Benchmark Transition Event will become effective at 5:00 p.m. on the fifth (5th) Business Day after the Lender has posted such proposed amendment to the Borrower Agent. No replacement of the then-current Benchmark with a Benchmark Replacement pursuant to this Section 2.14 will occur prior to the applicable Benchmark Transition Start Date. Unless and until a Benchmark Replacement is effective in accordance with this clause (b), all Loans shall be converted into Base Rate Loans in accordance with the provisions of clause (a) above.</w:t>
      </w:r>
    </w:p>
    <w:p>
      <w:pPr>
        <w:spacing w:after="0" w:line="154" w:lineRule="exact"/>
        <w:rPr>
          <w:rFonts w:ascii="Arial" w:cs="Arial" w:eastAsia="Arial" w:hAnsi="Arial"/>
          <w:sz w:val="19"/>
          <w:szCs w:val="19"/>
          <w:color w:val="auto"/>
        </w:rPr>
      </w:pPr>
    </w:p>
    <w:p>
      <w:pPr>
        <w:jc w:val="both"/>
        <w:ind w:firstLine="1296"/>
        <w:spacing w:after="0" w:line="266" w:lineRule="auto"/>
        <w:tabs>
          <w:tab w:leader="none" w:pos="1943" w:val="left"/>
        </w:tabs>
        <w:numPr>
          <w:ilvl w:val="0"/>
          <w:numId w:val="170"/>
        </w:numPr>
        <w:rPr>
          <w:rFonts w:ascii="Arial" w:cs="Arial" w:eastAsia="Arial" w:hAnsi="Arial"/>
          <w:sz w:val="21"/>
          <w:szCs w:val="21"/>
          <w:color w:val="auto"/>
        </w:rPr>
      </w:pPr>
      <w:r>
        <w:rPr>
          <w:rFonts w:ascii="Arial" w:cs="Arial" w:eastAsia="Arial" w:hAnsi="Arial"/>
          <w:sz w:val="21"/>
          <w:szCs w:val="21"/>
          <w:color w:val="auto"/>
        </w:rPr>
        <w:t>Benchmark Replacement Conforming Changes. In connection with the use, administration, adoption or implementation of a Benchmark Replacement, the Lender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3" w:lineRule="exact"/>
        <w:rPr>
          <w:rFonts w:ascii="Arial" w:cs="Arial" w:eastAsia="Arial" w:hAnsi="Arial"/>
          <w:sz w:val="21"/>
          <w:szCs w:val="21"/>
          <w:color w:val="auto"/>
        </w:rPr>
      </w:pPr>
    </w:p>
    <w:p>
      <w:pPr>
        <w:jc w:val="both"/>
        <w:ind w:firstLine="1296"/>
        <w:spacing w:after="0" w:line="292" w:lineRule="auto"/>
        <w:tabs>
          <w:tab w:leader="none" w:pos="19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Notices; Standards for Decisions and Determinations. The Lender will promptly notify the Borrower Agent of the implementation of any Benchmark Replacement and the effectiveness of any Conforming Changes. The Lender will notify the Borrower Agent and the removal or reinstatement of any tenor of a Benchmark. Any determination, decision or election that may be made by the Lender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ectPr>
          <w:pgSz w:w="11900" w:h="16838" w:orient="portrait"/>
          <w:cols w:equalWidth="0" w:num="1">
            <w:col w:w="10260"/>
          </w:cols>
          <w:pgMar w:left="1300" w:top="1428" w:right="339" w:bottom="1440" w:gutter="0" w:footer="0" w:header="0"/>
        </w:sectPr>
      </w:pPr>
    </w:p>
    <w:bookmarkStart w:id="250" w:name="page251"/>
    <w:bookmarkEnd w:id="250"/>
    <w:p>
      <w:pPr>
        <w:jc w:val="both"/>
        <w:ind w:firstLine="1296"/>
        <w:spacing w:after="0" w:line="291" w:lineRule="auto"/>
        <w:tabs>
          <w:tab w:leader="none" w:pos="1777" w:val="left"/>
        </w:tabs>
        <w:numPr>
          <w:ilvl w:val="1"/>
          <w:numId w:val="171"/>
        </w:numPr>
        <w:rPr>
          <w:rFonts w:ascii="Arial" w:cs="Arial" w:eastAsia="Arial" w:hAnsi="Arial"/>
          <w:sz w:val="19"/>
          <w:szCs w:val="19"/>
          <w:color w:val="auto"/>
        </w:rPr>
      </w:pPr>
      <w:r>
        <w:rPr>
          <w:rFonts w:ascii="Arial" w:cs="Arial" w:eastAsia="Arial" w:hAnsi="Arial"/>
          <w:sz w:val="19"/>
          <w:szCs w:val="19"/>
          <w:color w:val="auto"/>
        </w:rPr>
        <w:t>Unavailability of Tenor of Benchmark. Notwithstanding anything to the contrary herein or in any other Loan Document, at any time (including in connection with the implementation of a Benchmark Replacement),</w:t>
      </w:r>
    </w:p>
    <w:p>
      <w:pPr>
        <w:spacing w:after="0" w:line="1" w:lineRule="exact"/>
        <w:rPr>
          <w:rFonts w:ascii="Arial" w:cs="Arial" w:eastAsia="Arial" w:hAnsi="Arial"/>
          <w:sz w:val="19"/>
          <w:szCs w:val="19"/>
          <w:color w:val="auto"/>
        </w:rPr>
      </w:pPr>
    </w:p>
    <w:p>
      <w:pPr>
        <w:jc w:val="both"/>
        <w:spacing w:after="0" w:line="288" w:lineRule="auto"/>
        <w:tabs>
          <w:tab w:leader="none" w:pos="26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if any then-current Benchmark is a term rate (including the Term SOFR Reference Rate) and either (A) any tenor for such Benchmark is not displayed on a screen or other information service that publishes such rate from time to time as selected by the Lender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Lender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incompliance with or aligned with the International Organization of Securities Commissions (IOSCO) Principles for Financial Benchmarks for a Benchmark (including a Benchmark Replacement), then the Lender may modify the definition of “Interest Period” (or any similar or analogous definition) for all Benchmark settings at or after such time to reinstate such previously removed tenor.</w:t>
      </w:r>
    </w:p>
    <w:p>
      <w:pPr>
        <w:spacing w:after="0" w:line="158" w:lineRule="exact"/>
        <w:rPr>
          <w:rFonts w:ascii="Arial" w:cs="Arial" w:eastAsia="Arial" w:hAnsi="Arial"/>
          <w:sz w:val="19"/>
          <w:szCs w:val="19"/>
          <w:color w:val="auto"/>
        </w:rPr>
      </w:pPr>
    </w:p>
    <w:p>
      <w:pPr>
        <w:jc w:val="both"/>
        <w:ind w:firstLine="1296"/>
        <w:spacing w:after="0" w:line="248" w:lineRule="auto"/>
        <w:tabs>
          <w:tab w:leader="none" w:pos="2019" w:val="left"/>
        </w:tabs>
        <w:numPr>
          <w:ilvl w:val="1"/>
          <w:numId w:val="172"/>
        </w:numPr>
        <w:rPr>
          <w:rFonts w:ascii="Arial" w:cs="Arial" w:eastAsia="Arial" w:hAnsi="Arial"/>
          <w:sz w:val="22"/>
          <w:szCs w:val="22"/>
          <w:color w:val="auto"/>
        </w:rPr>
      </w:pPr>
      <w:r>
        <w:rPr>
          <w:rFonts w:ascii="Arial" w:cs="Arial" w:eastAsia="Arial" w:hAnsi="Arial"/>
          <w:sz w:val="22"/>
          <w:szCs w:val="22"/>
          <w:color w:val="auto"/>
        </w:rPr>
        <w:t>Benchmark Unavailability Period. Upon the Borrower Agent’s receipt of notice of the commencement of a Benchmark Unavailability Period, the Borrower Agent may revoke any request for the applicable SOFR Borrowing of, conversion to or continuation of SOFR Loans to be made, converted or continued during any Benchmark Unavailability Period and, failing that, the Borrower Agent will be deemed to have converted any such request into a request for a Borrowing of or conversion to Base Rate Loans. During any Benchmark Unavailability Period or at any time that a tenor for the then-current Benchmark is not an Available Tenor, the component of Alternate Base Rate based upon Adjusted Term SOFR (or then-current Benchmark) will not be used in any determination of Alternate Base Rate.”</w:t>
      </w:r>
    </w:p>
    <w:p>
      <w:pPr>
        <w:spacing w:after="0" w:line="204"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22"/>
          <w:szCs w:val="22"/>
          <w:color w:val="auto"/>
        </w:rPr>
        <w:t>(ix)</w:t>
      </w:r>
      <w:r>
        <w:rPr>
          <w:sz w:val="20"/>
          <w:szCs w:val="20"/>
          <w:color w:val="auto"/>
        </w:rPr>
        <w:tab/>
      </w:r>
      <w:r>
        <w:rPr>
          <w:rFonts w:ascii="Arial" w:cs="Arial" w:eastAsia="Arial" w:hAnsi="Arial"/>
          <w:sz w:val="19"/>
          <w:szCs w:val="19"/>
          <w:color w:val="auto"/>
        </w:rPr>
        <w:t>Section 3.05 of the Credit Agreement is hereby amended and restated in its entirety to provide as follows:</w:t>
      </w:r>
    </w:p>
    <w:p>
      <w:pPr>
        <w:spacing w:after="0" w:line="220" w:lineRule="exact"/>
        <w:rPr>
          <w:sz w:val="20"/>
          <w:szCs w:val="20"/>
          <w:color w:val="auto"/>
        </w:rPr>
      </w:pPr>
    </w:p>
    <w:p>
      <w:pPr>
        <w:jc w:val="both"/>
        <w:ind w:left="320"/>
        <w:spacing w:after="0" w:line="302"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i w:val="1"/>
          <w:iCs w:val="1"/>
          <w:color w:val="auto"/>
        </w:rPr>
        <w:t>Insurance Licenses</w:t>
      </w:r>
      <w:r>
        <w:rPr>
          <w:rFonts w:ascii="Arial" w:cs="Arial" w:eastAsia="Arial" w:hAnsi="Arial"/>
          <w:sz w:val="19"/>
          <w:szCs w:val="19"/>
          <w:color w:val="auto"/>
        </w:rPr>
        <w:t>. Schedule T to the most recent annual Statutory Statement of each Domestic Insurance Subsidiary lists all of the jurisdictions in which such Domestic Insurance Subsidiary holds active licenses (including, without limitation, licenses or certificates of authority from Applicable Insurance Regulatory Authorities), permits or authorizations to transact insurance and reinsurance business or to act as an</w:t>
      </w:r>
    </w:p>
    <w:p>
      <w:pPr>
        <w:sectPr>
          <w:pgSz w:w="11900" w:h="16838" w:orient="portrait"/>
          <w:cols w:equalWidth="0" w:num="1">
            <w:col w:w="10260"/>
          </w:cols>
          <w:pgMar w:left="1300" w:top="1428" w:right="339" w:bottom="1440" w:gutter="0" w:footer="0" w:header="0"/>
        </w:sectPr>
      </w:pPr>
    </w:p>
    <w:bookmarkStart w:id="251" w:name="page252"/>
    <w:bookmarkEnd w:id="251"/>
    <w:p>
      <w:pPr>
        <w:jc w:val="both"/>
        <w:ind w:left="644"/>
        <w:spacing w:after="0" w:line="295" w:lineRule="auto"/>
        <w:rPr>
          <w:sz w:val="20"/>
          <w:szCs w:val="20"/>
          <w:color w:val="auto"/>
        </w:rPr>
      </w:pPr>
      <w:r>
        <w:rPr>
          <w:rFonts w:ascii="Arial" w:cs="Arial" w:eastAsia="Arial" w:hAnsi="Arial"/>
          <w:sz w:val="19"/>
          <w:szCs w:val="19"/>
          <w:color w:val="auto"/>
        </w:rPr>
        <w:t>insurance agent or broker (collectively, the “</w:t>
      </w:r>
      <w:r>
        <w:rPr>
          <w:rFonts w:ascii="Arial" w:cs="Arial" w:eastAsia="Arial" w:hAnsi="Arial"/>
          <w:sz w:val="19"/>
          <w:szCs w:val="19"/>
          <w:b w:val="1"/>
          <w:bCs w:val="1"/>
          <w:color w:val="auto"/>
        </w:rPr>
        <w:t>Licenses</w:t>
      </w:r>
      <w:r>
        <w:rPr>
          <w:rFonts w:ascii="Arial" w:cs="Arial" w:eastAsia="Arial" w:hAnsi="Arial"/>
          <w:sz w:val="19"/>
          <w:szCs w:val="19"/>
          <w:color w:val="auto"/>
        </w:rPr>
        <w:t>”), and Schedule 3.05 hereto lists all of the jurisdictions in which JRG Reinsurance holds active Licenses (including, without limitation, Licenses from Applicable Insurance Regulatory Authorities). Each Insurance Subsidiary is in compliance in all material respects with each License held by it. No License (to the extent material) is the subject of a proceeding for suspension or revocation or any similar proceedings, there is no sustainable basis for such a suspension or revocation, and to the knowledge of each Borrower no such suspension or revocation has been threatened by any Applicable Insurance Regulatory Authority except in any such case where such proceedings would not have a Material Adverse Effect.”</w:t>
      </w:r>
    </w:p>
    <w:p>
      <w:pPr>
        <w:spacing w:after="0" w:line="151" w:lineRule="exact"/>
        <w:rPr>
          <w:sz w:val="20"/>
          <w:szCs w:val="20"/>
          <w:color w:val="auto"/>
        </w:rPr>
      </w:pPr>
    </w:p>
    <w:p>
      <w:pPr>
        <w:ind w:left="1184" w:hanging="536"/>
        <w:spacing w:after="0"/>
        <w:tabs>
          <w:tab w:leader="none" w:pos="118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Section 6.16(b) of the Credit Agreement is hereby amended by adding the following proviso to the end of</w:t>
      </w:r>
    </w:p>
    <w:p>
      <w:pPr>
        <w:spacing w:after="0" w:line="55"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such Section:</w:t>
      </w:r>
    </w:p>
    <w:p>
      <w:pPr>
        <w:spacing w:after="0" w:line="215" w:lineRule="exact"/>
        <w:rPr>
          <w:sz w:val="20"/>
          <w:szCs w:val="20"/>
          <w:color w:val="auto"/>
        </w:rPr>
      </w:pPr>
    </w:p>
    <w:p>
      <w:pPr>
        <w:jc w:val="both"/>
        <w:ind w:left="324" w:firstLine="972"/>
        <w:spacing w:after="0" w:line="253" w:lineRule="auto"/>
        <w:rPr>
          <w:sz w:val="20"/>
          <w:szCs w:val="20"/>
          <w:color w:val="auto"/>
        </w:rPr>
      </w:pPr>
      <w:r>
        <w:rPr>
          <w:rFonts w:ascii="Arial" w:cs="Arial" w:eastAsia="Arial" w:hAnsi="Arial"/>
          <w:sz w:val="22"/>
          <w:szCs w:val="22"/>
          <w:color w:val="auto"/>
        </w:rPr>
        <w:t>“; provided, however, that this Section 6.16(b) shall not prohibit any amendment, waiver or other modification if the effect of such amendment, waiver or other modification is to replace any benchmark interest rate of such Debt based on LIBOR with a benchmark interest rate based on SOFR.”</w:t>
      </w:r>
    </w:p>
    <w:p>
      <w:pPr>
        <w:spacing w:after="0" w:line="185" w:lineRule="exact"/>
        <w:rPr>
          <w:sz w:val="20"/>
          <w:szCs w:val="20"/>
          <w:color w:val="auto"/>
        </w:rPr>
      </w:pPr>
    </w:p>
    <w:p>
      <w:pPr>
        <w:jc w:val="both"/>
        <w:ind w:left="4" w:firstLine="644"/>
        <w:spacing w:after="0" w:line="259" w:lineRule="auto"/>
        <w:tabs>
          <w:tab w:leader="none" w:pos="118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Exhibit B of the Credit Agreement is hereby amended by deleting the following sentence: “Traded bonds are only those listed on the NY, American or NASDAQ Stock Exchanges and eligible to be settled by the Depository Trust Company”.</w:t>
      </w:r>
    </w:p>
    <w:p>
      <w:pPr>
        <w:spacing w:after="0" w:line="180" w:lineRule="exact"/>
        <w:rPr>
          <w:sz w:val="20"/>
          <w:szCs w:val="20"/>
          <w:color w:val="auto"/>
        </w:rPr>
      </w:pPr>
    </w:p>
    <w:p>
      <w:pPr>
        <w:jc w:val="both"/>
        <w:ind w:left="324" w:firstLine="324"/>
        <w:spacing w:after="0" w:line="253" w:lineRule="auto"/>
        <w:tabs>
          <w:tab w:leader="none" w:pos="1161" w:val="left"/>
        </w:tabs>
        <w:numPr>
          <w:ilvl w:val="1"/>
          <w:numId w:val="175"/>
        </w:numPr>
        <w:rPr>
          <w:rFonts w:ascii="Arial" w:cs="Arial" w:eastAsia="Arial" w:hAnsi="Arial"/>
          <w:sz w:val="22"/>
          <w:szCs w:val="22"/>
          <w:color w:val="auto"/>
        </w:rPr>
      </w:pPr>
      <w:r>
        <w:rPr>
          <w:rFonts w:ascii="Arial" w:cs="Arial" w:eastAsia="Arial" w:hAnsi="Arial"/>
          <w:sz w:val="22"/>
          <w:szCs w:val="22"/>
          <w:color w:val="auto"/>
        </w:rPr>
        <w:t xml:space="preserve">Upon satisfaction of the conditions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each reference in the Credit Agreement to “this Agreement” and the words “hereof,” “herein,” “hereunder,” or words of like import, shall mean and be a reference to the Credit Agreement as further amended by this Third Amendment.</w:t>
      </w:r>
    </w:p>
    <w:p>
      <w:pPr>
        <w:spacing w:after="0" w:line="185" w:lineRule="exact"/>
        <w:rPr>
          <w:rFonts w:ascii="Arial" w:cs="Arial" w:eastAsia="Arial" w:hAnsi="Arial"/>
          <w:sz w:val="22"/>
          <w:szCs w:val="22"/>
          <w:color w:val="auto"/>
        </w:rPr>
      </w:pPr>
    </w:p>
    <w:p>
      <w:pPr>
        <w:jc w:val="both"/>
        <w:ind w:left="-656" w:firstLine="656"/>
        <w:spacing w:after="0" w:line="259" w:lineRule="auto"/>
        <w:tabs>
          <w:tab w:leader="none" w:pos="464"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Amendment Effective Date; Conditions Precedent</w:t>
      </w:r>
      <w:r>
        <w:rPr>
          <w:rFonts w:ascii="Arial" w:cs="Arial" w:eastAsia="Arial" w:hAnsi="Arial"/>
          <w:sz w:val="22"/>
          <w:szCs w:val="22"/>
          <w:color w:val="auto"/>
        </w:rPr>
        <w:t>. The amendments set forth in Section 2, above, shall not be effective unless and until the date on which all of the following conditions precedent have been satisfied (such date of effectiveness being the “Third Amendment Effective Date”):</w:t>
      </w:r>
    </w:p>
    <w:p>
      <w:pPr>
        <w:spacing w:after="0" w:line="180" w:lineRule="exact"/>
        <w:rPr>
          <w:sz w:val="20"/>
          <w:szCs w:val="20"/>
          <w:color w:val="auto"/>
        </w:rPr>
      </w:pPr>
    </w:p>
    <w:p>
      <w:pPr>
        <w:jc w:val="both"/>
        <w:ind w:left="-656" w:firstLine="656"/>
        <w:spacing w:after="0" w:line="294" w:lineRule="auto"/>
        <w:tabs>
          <w:tab w:leader="none" w:pos="529"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Borrowers’ Certifications</w:t>
      </w:r>
      <w:r>
        <w:rPr>
          <w:rFonts w:ascii="Arial" w:cs="Arial" w:eastAsia="Arial" w:hAnsi="Arial"/>
          <w:sz w:val="19"/>
          <w:szCs w:val="19"/>
          <w:color w:val="auto"/>
        </w:rPr>
        <w:t>. On the Third Amendment Effective Date, after giving effect to the amendments set forth in Paragraph 2, above, the Borrowers hereby certify that (i) no Default exists, (ii) the representations and warranties of the Borrowers under Article 3 of the Credit Agreement are true and correct in all material respects as of the Third Amendment Effective Date (unless and to the extent that any such representation and warranty is stated to relate solely to an earlier date, in which case such representation and warranty shall have been true and correct in all material respects as of such earlier date), (iii) the execution, delivery and performance of this Third Amendment has been authorized by all necessary corporate or company action, and (iv) the Regulatory Condition Satisfaction remains effective.</w:t>
      </w:r>
    </w:p>
    <w:p>
      <w:pPr>
        <w:spacing w:after="0" w:line="151" w:lineRule="exact"/>
        <w:rPr>
          <w:rFonts w:ascii="Arial" w:cs="Arial" w:eastAsia="Arial" w:hAnsi="Arial"/>
          <w:sz w:val="19"/>
          <w:szCs w:val="19"/>
          <w:color w:val="auto"/>
        </w:rPr>
      </w:pPr>
    </w:p>
    <w:p>
      <w:pPr>
        <w:ind w:left="-656" w:firstLine="656"/>
        <w:spacing w:after="0" w:line="263" w:lineRule="auto"/>
        <w:tabs>
          <w:tab w:leader="none" w:pos="50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Third Amendment</w:t>
      </w:r>
      <w:r>
        <w:rPr>
          <w:rFonts w:ascii="Arial" w:cs="Arial" w:eastAsia="Arial" w:hAnsi="Arial"/>
          <w:sz w:val="22"/>
          <w:szCs w:val="22"/>
          <w:color w:val="auto"/>
        </w:rPr>
        <w:t>. The Lender shall have received from each Borrower a counterpart of this Third Amendment signed on behalf of such party.</w:t>
      </w:r>
    </w:p>
    <w:p>
      <w:pPr>
        <w:sectPr>
          <w:pgSz w:w="11900" w:h="16838" w:orient="portrait"/>
          <w:cols w:equalWidth="0" w:num="1">
            <w:col w:w="10584"/>
          </w:cols>
          <w:pgMar w:left="976" w:top="1422" w:right="339" w:bottom="1440" w:gutter="0" w:footer="0" w:header="0"/>
        </w:sectPr>
      </w:pPr>
    </w:p>
    <w:bookmarkStart w:id="252" w:name="page253"/>
    <w:bookmarkEnd w:id="252"/>
    <w:p>
      <w:pPr>
        <w:ind w:left="-656" w:firstLine="656"/>
        <w:spacing w:after="0" w:line="263" w:lineRule="auto"/>
        <w:tabs>
          <w:tab w:leader="none" w:pos="569"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Guarantor Confirmation</w:t>
      </w:r>
      <w:r>
        <w:rPr>
          <w:rFonts w:ascii="Arial" w:cs="Arial" w:eastAsia="Arial" w:hAnsi="Arial"/>
          <w:sz w:val="22"/>
          <w:szCs w:val="22"/>
          <w:color w:val="auto"/>
        </w:rPr>
        <w:t>. James River shall have executed and delivered to the Lender a confirmation of its Payment Guaranty in form and substance reasonably satisfactory to the Lender.</w:t>
      </w:r>
    </w:p>
    <w:p>
      <w:pPr>
        <w:spacing w:after="0" w:line="174" w:lineRule="exact"/>
        <w:rPr>
          <w:rFonts w:ascii="Arial" w:cs="Arial" w:eastAsia="Arial" w:hAnsi="Arial"/>
          <w:sz w:val="22"/>
          <w:szCs w:val="22"/>
          <w:color w:val="auto"/>
        </w:rPr>
      </w:pPr>
    </w:p>
    <w:p>
      <w:pPr>
        <w:jc w:val="both"/>
        <w:ind w:left="-656" w:firstLine="656"/>
        <w:spacing w:after="0" w:line="307" w:lineRule="auto"/>
        <w:tabs>
          <w:tab w:leader="none" w:pos="487"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The Borrowers shall have paid or caused to be paid to the Lender all fees and other amounts due and payable on or prior to the Third Amendment Effective Date, including, to the extent invoiced, reimbursement or payment of all reasonable out-of-pocket expenses (including reasonable and documented fees, charges and disbursements of counsel to the Lender) required to be reimbursed or paid by the Borrowers hereunder or under any other Loan Document.</w:t>
      </w:r>
    </w:p>
    <w:p>
      <w:pPr>
        <w:spacing w:after="0" w:line="138" w:lineRule="exact"/>
        <w:rPr>
          <w:sz w:val="20"/>
          <w:szCs w:val="20"/>
          <w:color w:val="auto"/>
        </w:rPr>
      </w:pPr>
    </w:p>
    <w:p>
      <w:pPr>
        <w:ind w:left="-656" w:firstLine="656"/>
        <w:spacing w:after="0" w:line="263" w:lineRule="auto"/>
        <w:tabs>
          <w:tab w:leader="none" w:pos="383"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No Other Modifications</w:t>
      </w:r>
      <w:r>
        <w:rPr>
          <w:rFonts w:ascii="Arial" w:cs="Arial" w:eastAsia="Arial" w:hAnsi="Arial"/>
          <w:sz w:val="22"/>
          <w:szCs w:val="22"/>
          <w:color w:val="auto"/>
        </w:rPr>
        <w:t>. Except as expressly provided in this Third Amendment, all of the terms and conditions of the Credit Agreement and the other Loan Documents remain unchanged and in full force and effect.</w:t>
      </w:r>
    </w:p>
    <w:p>
      <w:pPr>
        <w:spacing w:after="0" w:line="188" w:lineRule="exact"/>
        <w:rPr>
          <w:rFonts w:ascii="Arial" w:cs="Arial" w:eastAsia="Arial" w:hAnsi="Arial"/>
          <w:sz w:val="22"/>
          <w:szCs w:val="22"/>
          <w:color w:val="auto"/>
        </w:rPr>
      </w:pPr>
    </w:p>
    <w:p>
      <w:pPr>
        <w:jc w:val="both"/>
        <w:ind w:left="-656" w:firstLine="656"/>
        <w:spacing w:after="0" w:line="263" w:lineRule="auto"/>
        <w:tabs>
          <w:tab w:leader="none" w:pos="37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Confirmation of Obligations</w:t>
      </w:r>
      <w:r>
        <w:rPr>
          <w:rFonts w:ascii="Arial" w:cs="Arial" w:eastAsia="Arial" w:hAnsi="Arial"/>
          <w:sz w:val="21"/>
          <w:szCs w:val="21"/>
          <w:color w:val="auto"/>
        </w:rPr>
        <w:t>. Each Borrower hereby affirms as of the date hereof all of its respective Debt and other obligations to the Lender under and pursuant to the Credit Agreement and each of the other Loan Documents and that such Debt and other obligations are owed to the Lender according to their respective terms. Each Borrower hereby affirms as of the date hereof that there are no claims or defenses to the enforcement by the Lender of the Debt and other obligations of such Borrower to it under and pursuant to the Credit Agreement or any of the other Loan Documents.</w:t>
      </w:r>
    </w:p>
    <w:p>
      <w:pPr>
        <w:spacing w:after="0" w:line="175" w:lineRule="exact"/>
        <w:rPr>
          <w:rFonts w:ascii="Arial" w:cs="Arial" w:eastAsia="Arial" w:hAnsi="Arial"/>
          <w:sz w:val="21"/>
          <w:szCs w:val="21"/>
          <w:color w:val="auto"/>
        </w:rPr>
      </w:pPr>
    </w:p>
    <w:p>
      <w:pPr>
        <w:ind w:left="-656" w:firstLine="656"/>
        <w:spacing w:after="0" w:line="276" w:lineRule="auto"/>
        <w:tabs>
          <w:tab w:leader="none" w:pos="667"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Governing Law; Binding Effect</w:t>
      </w:r>
      <w:r>
        <w:rPr>
          <w:rFonts w:ascii="Arial" w:cs="Arial" w:eastAsia="Arial" w:hAnsi="Arial"/>
          <w:sz w:val="22"/>
          <w:szCs w:val="22"/>
          <w:color w:val="auto"/>
        </w:rPr>
        <w:t>. THIS THIRD AMENDMENT SHALL BE GOVERNED BY AND CONSTRUED IN ACCORDANCE WITH THE LAWS OF THE STATE OF NEW YORK.</w:t>
      </w:r>
    </w:p>
    <w:p>
      <w:pPr>
        <w:spacing w:after="0" w:line="160" w:lineRule="exact"/>
        <w:rPr>
          <w:rFonts w:ascii="Arial" w:cs="Arial" w:eastAsia="Arial" w:hAnsi="Arial"/>
          <w:sz w:val="22"/>
          <w:szCs w:val="22"/>
          <w:color w:val="auto"/>
        </w:rPr>
      </w:pPr>
    </w:p>
    <w:p>
      <w:pPr>
        <w:jc w:val="both"/>
        <w:ind w:left="-656" w:firstLine="656"/>
        <w:spacing w:after="0" w:line="262" w:lineRule="auto"/>
        <w:tabs>
          <w:tab w:leader="none" w:pos="451"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Third Amendment may be executed in any number of counterparts, each of which when so executed shall be deemed to be an original, but all such counterparts shall constitute one and the same instrument, and all signatures need not appear on any one counterpart. Any party hereto may execute and deliver a counterpart of this Third Amendment by delivering by facsimile or email transmission a signature page of this Third Amendment signed by such party, and any such facsimile or email signature shall be treated in all respects as having the same effect as an original signature. Any party delivering by facsimile or email transmission a counterpart executed by it shall promptly thereafter also deliver a manually signed counterpart of this Third Amendment.</w:t>
      </w:r>
    </w:p>
    <w:p>
      <w:pPr>
        <w:spacing w:after="0" w:line="180" w:lineRule="exact"/>
        <w:rPr>
          <w:sz w:val="20"/>
          <w:szCs w:val="20"/>
          <w:color w:val="auto"/>
        </w:rPr>
      </w:pPr>
    </w:p>
    <w:p>
      <w:pPr>
        <w:ind w:left="384" w:hanging="384"/>
        <w:spacing w:after="0"/>
        <w:tabs>
          <w:tab w:leader="none" w:pos="384"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left="464" w:hanging="464"/>
        <w:spacing w:after="0"/>
        <w:tabs>
          <w:tab w:leader="none" w:pos="46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Upon the effectiveness of this Third Amendment, this Third Amendment shall be a Loan Document.</w:t>
      </w:r>
    </w:p>
    <w:p>
      <w:pPr>
        <w:spacing w:after="0" w:line="233" w:lineRule="exact"/>
        <w:rPr>
          <w:rFonts w:ascii="Arial" w:cs="Arial" w:eastAsia="Arial" w:hAnsi="Arial"/>
          <w:sz w:val="22"/>
          <w:szCs w:val="22"/>
          <w:color w:val="auto"/>
        </w:rPr>
      </w:pPr>
    </w:p>
    <w:p>
      <w:pPr>
        <w:jc w:val="both"/>
        <w:ind w:left="-656" w:firstLine="656"/>
        <w:spacing w:after="0" w:line="253" w:lineRule="auto"/>
        <w:tabs>
          <w:tab w:leader="none" w:pos="51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invalidity, illegality, or unenforceability of any provision in or obligation under this Third Amendment in any jurisdiction shall not affect or impair the validity, legality, or enforceability of the remaining provisions or obligations under this Third Amendment or of such provision or obligation in any other jurisdiction.</w:t>
      </w:r>
    </w:p>
    <w:p>
      <w:pPr>
        <w:sectPr>
          <w:pgSz w:w="11900" w:h="16838" w:orient="portrait"/>
          <w:cols w:equalWidth="0" w:num="1">
            <w:col w:w="10584"/>
          </w:cols>
          <w:pgMar w:left="976" w:top="1428" w:right="339" w:bottom="1440" w:gutter="0" w:footer="0" w:header="0"/>
        </w:sectPr>
      </w:pPr>
    </w:p>
    <w:bookmarkStart w:id="253" w:name="page254"/>
    <w:bookmarkEnd w:id="253"/>
    <w:p>
      <w:pPr>
        <w:jc w:val="both"/>
        <w:ind w:left="-20" w:firstLine="656"/>
        <w:spacing w:after="0" w:line="261" w:lineRule="auto"/>
        <w:tabs>
          <w:tab w:leader="none" w:pos="1254"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This Third Amendment and all other agreements and documents executed in connection herewith have been prepared through the joint efforts of all of the parties. Neither the provisions of this Third Amendment or any such other agreements and documents nor any alleged ambiguity shall be interpreted or resolved against any party on the ground that such party’s counsel drafted this Third Amendment or such other agreements and documents, or based on any other rule of strict construction. Each of the parties hereto represents and declares that such party has carefully read this Third Amendment and all other agreements and documents executed in connection herewith and therewith, and that such party knows the contents thereof and signs the same freely and voluntarily. The parties hereby acknowledge that they have been represented by legal counsel of their own choosing in negotiations for and preparation of this Third Amendment and all other agreements and documents executed in connection therewith and that each of them has read the same and had their contents fully explained by such counsel and is fully aware of their contents and legal effect.</w:t>
      </w:r>
    </w:p>
    <w:p>
      <w:pPr>
        <w:spacing w:after="0" w:line="181" w:lineRule="exact"/>
        <w:rPr>
          <w:rFonts w:ascii="Arial" w:cs="Arial" w:eastAsia="Arial" w:hAnsi="Arial"/>
          <w:sz w:val="21"/>
          <w:szCs w:val="21"/>
          <w:color w:val="auto"/>
        </w:rPr>
      </w:pPr>
    </w:p>
    <w:p>
      <w:pPr>
        <w:ind w:left="-20" w:right="20" w:firstLine="656"/>
        <w:spacing w:after="0" w:line="263" w:lineRule="auto"/>
        <w:tabs>
          <w:tab w:leader="none" w:pos="118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obligations of the Borrowers hereunder are joint and several, all as more fully set forth in Article 10 of the Credit Agreement.</w:t>
      </w:r>
    </w:p>
    <w:p>
      <w:pPr>
        <w:spacing w:after="0" w:line="174" w:lineRule="exact"/>
        <w:rPr>
          <w:rFonts w:ascii="Arial" w:cs="Arial" w:eastAsia="Arial" w:hAnsi="Arial"/>
          <w:sz w:val="22"/>
          <w:szCs w:val="22"/>
          <w:color w:val="auto"/>
        </w:rPr>
      </w:pPr>
    </w:p>
    <w:p>
      <w:pPr>
        <w:ind w:left="-20" w:firstLine="656"/>
        <w:spacing w:after="0" w:line="263" w:lineRule="auto"/>
        <w:tabs>
          <w:tab w:leader="none" w:pos="1135" w:val="left"/>
        </w:tabs>
        <w:numPr>
          <w:ilvl w:val="0"/>
          <w:numId w:val="182"/>
        </w:numPr>
        <w:rPr>
          <w:rFonts w:ascii="Arial" w:cs="Arial" w:eastAsia="Arial" w:hAnsi="Arial"/>
          <w:sz w:val="22"/>
          <w:szCs w:val="22"/>
          <w:color w:val="auto"/>
        </w:rPr>
      </w:pPr>
      <w:r>
        <w:rPr>
          <w:rFonts w:ascii="Arial" w:cs="Arial" w:eastAsia="Arial" w:hAnsi="Arial"/>
          <w:sz w:val="22"/>
          <w:szCs w:val="22"/>
          <w:color w:val="auto"/>
        </w:rPr>
        <w:t>Section headings herein are for convenience of reference only, are not part of this Third Amendment and shall not affect the construction of, or be taken into consideration in interpreting, this Third Amendment.</w:t>
      </w:r>
    </w:p>
    <w:p>
      <w:pPr>
        <w:spacing w:after="0" w:line="188" w:lineRule="exact"/>
        <w:rPr>
          <w:sz w:val="20"/>
          <w:szCs w:val="20"/>
          <w:color w:val="auto"/>
        </w:rPr>
      </w:pPr>
    </w:p>
    <w:p>
      <w:pPr>
        <w:jc w:val="both"/>
        <w:ind w:left="-20" w:firstLine="656"/>
        <w:spacing w:after="0" w:line="260" w:lineRule="auto"/>
        <w:tabs>
          <w:tab w:leader="none" w:pos="1235" w:val="left"/>
        </w:tabs>
        <w:numPr>
          <w:ilvl w:val="0"/>
          <w:numId w:val="183"/>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WAIVES, TO THE FULLEST EXTENT PERMITTED BY APPLICABLE LAW, ANY RIGHT IT MAY HAVE TO A TRIAL BY JURY IN ANY LEGAL PROCEEDING DIRECTLY OR INDIRECTLY ARISING OUT OF OR RELATING TO THIS THIRD AMENDMENT AND ANY LOAN DOCUMENT OR ANY TRANSACTION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 additional provisions are on this page; the page next following is the signature page.]</w:t>
      </w:r>
    </w:p>
    <w:p>
      <w:pPr>
        <w:sectPr>
          <w:pgSz w:w="11900" w:h="16838" w:orient="portrait"/>
          <w:cols w:equalWidth="0" w:num="1">
            <w:col w:w="11220"/>
          </w:cols>
          <w:pgMar w:left="340" w:top="1428" w:right="339" w:bottom="1440" w:gutter="0" w:footer="0" w:header="0"/>
        </w:sectPr>
      </w:pPr>
    </w:p>
    <w:bookmarkStart w:id="254" w:name="page255"/>
    <w:bookmarkEnd w:id="254"/>
    <w:p>
      <w:pPr>
        <w:spacing w:after="0"/>
        <w:rPr>
          <w:sz w:val="20"/>
          <w:szCs w:val="20"/>
          <w:color w:val="auto"/>
        </w:rPr>
      </w:pPr>
      <w:r>
        <w:rPr>
          <w:rFonts w:ascii="Arial" w:cs="Arial" w:eastAsia="Arial" w:hAnsi="Arial"/>
          <w:sz w:val="19"/>
          <w:szCs w:val="19"/>
          <w:color w:val="auto"/>
        </w:rPr>
        <w:t>IN WITNESS WHEREOF, the Borrowers and the Lender have hereunto set their hands as of the date first above written.</w:t>
      </w:r>
    </w:p>
    <w:p>
      <w:pPr>
        <w:sectPr>
          <w:pgSz w:w="11900" w:h="16838" w:orient="portrait"/>
          <w:cols w:equalWidth="0" w:num="1">
            <w:col w:w="10440"/>
          </w:cols>
          <w:pgMar w:left="980" w:top="1428" w:right="479" w:bottom="1440" w:gutter="0" w:footer="0" w:header="0"/>
        </w:sectPr>
      </w:pP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BORROWERS</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JAMES RIVER GROUP HOLDINGS, LTD.</w:t>
      </w:r>
    </w:p>
    <w:p>
      <w:pPr>
        <w:spacing w:after="0" w:line="200" w:lineRule="exact"/>
        <w:rPr>
          <w:sz w:val="20"/>
          <w:szCs w:val="20"/>
          <w:color w:val="auto"/>
        </w:rPr>
      </w:pPr>
    </w:p>
    <w:p>
      <w:pPr>
        <w:spacing w:after="0" w:line="28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Sarah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-17780</wp:posOffset>
            </wp:positionV>
            <wp:extent cx="14020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Sarah Doran</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Chief Financial Officer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JRG REINSURANCE COMPANY LTD.</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By:/s/ Allan Defante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-17780</wp:posOffset>
            </wp:positionV>
            <wp:extent cx="14859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Allan Defante</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440"/>
          </w:cols>
          <w:pgMar w:left="980" w:top="1428" w:right="479" w:bottom="1440" w:gutter="0" w:footer="0" w:header="0"/>
          <w:type w:val="continuous"/>
        </w:sectPr>
      </w:pPr>
    </w:p>
    <w:bookmarkStart w:id="255" w:name="page256"/>
    <w:bookmarkEnd w:id="255"/>
    <w:p>
      <w:pPr>
        <w:spacing w:after="0" w:line="204" w:lineRule="exact"/>
        <w:rPr>
          <w:sz w:val="20"/>
          <w:szCs w:val="20"/>
          <w:color w:val="auto"/>
        </w:rPr>
      </w:pPr>
    </w:p>
    <w:p>
      <w:pPr>
        <w:ind w:left="2780"/>
        <w:spacing w:after="0"/>
        <w:rPr>
          <w:sz w:val="20"/>
          <w:szCs w:val="20"/>
          <w:color w:val="auto"/>
        </w:rPr>
      </w:pPr>
      <w:r>
        <w:rPr>
          <w:rFonts w:ascii="Arial" w:cs="Arial" w:eastAsia="Arial" w:hAnsi="Arial"/>
          <w:sz w:val="22"/>
          <w:szCs w:val="22"/>
          <w:u w:val="single" w:color="auto"/>
          <w:color w:val="auto"/>
        </w:rPr>
        <w:t>LENDER</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BMO HARRIS BANK N.A.</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Benjamin Mlot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409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9"/>
          <w:szCs w:val="19"/>
          <w:color w:val="auto"/>
        </w:rPr>
        <w:t>Name: Benjamin Mlot</w:t>
      </w:r>
    </w:p>
    <w:p>
      <w:pPr>
        <w:spacing w:after="0" w:line="2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9019"/>
          </w:cols>
          <w:pgMar w:left="1440" w:top="1440"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22"/>
          <w:szCs w:val="22"/>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SHARE UNIT AGREEMENT</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This PERFORMANCE RESTRICTED SHARE UNIT AWARD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dated as of the Grant Date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 attached hereto and incorporated herein by reference, is made by and between James River Group Holdings, Ltd., an exempted company registered under the laws of Bermuda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and the Grantee listed in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 E C I T A L S</w:t>
      </w:r>
      <w:r>
        <w:rPr>
          <w:rFonts w:ascii="Arial" w:cs="Arial" w:eastAsia="Arial" w:hAnsi="Arial"/>
          <w:sz w:val="22"/>
          <w:szCs w:val="22"/>
          <w:b w:val="1"/>
          <w:bCs w:val="1"/>
          <w:color w:val="auto"/>
        </w:rPr>
        <w:t>:</w:t>
      </w:r>
    </w:p>
    <w:p>
      <w:pPr>
        <w:spacing w:after="0" w:line="3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the Company has adopted the James River Group Holdings, Ltd. 2014 Long-Term Incentive Plan, as amended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the Company desires to grant to the Grantee Restricted Share Units pursuant to the Plan and on the terms and conditions set forth herein (the “</w:t>
      </w:r>
      <w:r>
        <w:rPr>
          <w:rFonts w:ascii="Arial" w:cs="Arial" w:eastAsia="Arial" w:hAnsi="Arial"/>
          <w:sz w:val="22"/>
          <w:szCs w:val="22"/>
          <w:b w:val="1"/>
          <w:bCs w:val="1"/>
          <w:color w:val="auto"/>
        </w:rPr>
        <w:t>Award</w:t>
      </w:r>
      <w:r>
        <w:rPr>
          <w:rFonts w:ascii="Arial" w:cs="Arial" w:eastAsia="Arial" w:hAnsi="Arial"/>
          <w:sz w:val="22"/>
          <w:szCs w:val="22"/>
          <w:color w:val="auto"/>
        </w:rPr>
        <w: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NOW, THEREFORE, for good and valuable consideration, the receipt and adequacy of which is hereby acknowledged, the Company and the Grantee hereby agree as follows:</w:t>
      </w:r>
    </w:p>
    <w:p>
      <w:pPr>
        <w:spacing w:after="0" w:line="17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Grant of Restricted Share Units</w:t>
      </w:r>
      <w:r>
        <w:rPr>
          <w:rFonts w:ascii="Arial" w:cs="Arial" w:eastAsia="Arial" w:hAnsi="Arial"/>
          <w:sz w:val="21"/>
          <w:szCs w:val="21"/>
          <w:color w:val="auto"/>
        </w:rPr>
        <w:t xml:space="preserve">. The Company hereby grants to the Grantee, pursuant to the Plan and on the terms and conditions set forth herein, the number of Restricted Share Units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Each Restricted Share Unit represents the right to receive one Share to be issued and delivered pursuant to the terms hereof, subject to the Restricted Share Unit becoming an Earned Share Unit (as defined herein), subject to that Earned Share Unit becoming a Vested Share Unit (as defined herein), and subject to the other terms described herein.</w:t>
      </w:r>
    </w:p>
    <w:p>
      <w:pPr>
        <w:spacing w:after="0" w:line="174"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Becoming an Earned Share Unit</w:t>
      </w:r>
      <w:r>
        <w:rPr>
          <w:rFonts w:ascii="Arial" w:cs="Arial" w:eastAsia="Arial" w:hAnsi="Arial"/>
          <w:sz w:val="19"/>
          <w:szCs w:val="19"/>
          <w:color w:val="auto"/>
        </w:rPr>
        <w:t>. Each Restricted Share Unit shall become an Earned Share Unit if and to the extent of the achievement of the performance criteria set forth on Appendix 1 for the Performance Period (as defined herein). The measurement of the achievement of the performance criteria and the amount payable to the extent the performance criteria are achieved shall be determined in accordance with Schedule A and the table set forth on Appendix 1.</w:t>
      </w:r>
    </w:p>
    <w:p>
      <w:pPr>
        <w:spacing w:after="0" w:line="138"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The Committee is authorized, in its sole discretion, to adjust or modify the calculation of any performance goal in connection with any one or more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as described in accounting principles and/or in management’s discussion and analysis of financial condition and results of operations appearing in the Company’s annual or other periodic report to shareholders; acquisitions or divestitures; any other specific unusual or nonrecurring events or objectively determinable category thereof; and/or a change in the Company’s fiscal year.</w:t>
      </w:r>
    </w:p>
    <w:p>
      <w:pPr>
        <w:spacing w:after="0" w:line="151" w:lineRule="exact"/>
        <w:rPr>
          <w:sz w:val="20"/>
          <w:szCs w:val="20"/>
          <w:color w:val="auto"/>
        </w:rPr>
      </w:pPr>
    </w:p>
    <w:p>
      <w:pPr>
        <w:ind w:right="20"/>
        <w:spacing w:after="0" w:line="301" w:lineRule="auto"/>
        <w:rPr>
          <w:sz w:val="20"/>
          <w:szCs w:val="20"/>
          <w:color w:val="auto"/>
        </w:rPr>
      </w:pPr>
      <w:r>
        <w:rPr>
          <w:rFonts w:ascii="Arial" w:cs="Arial" w:eastAsia="Arial" w:hAnsi="Arial"/>
          <w:sz w:val="21"/>
          <w:szCs w:val="21"/>
          <w:color w:val="auto"/>
        </w:rPr>
        <w:t>Upon or following completion of the Performance Period, the degree of achievement of the performance criteria shall be determined by the Committee in its discretion though guided by such relevant information as may then be available.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6" w:right="339" w:bottom="1440" w:gutter="0" w:footer="0" w:header="0"/>
        </w:sectPr>
      </w:pPr>
    </w:p>
    <w:bookmarkStart w:id="257" w:name="page258"/>
    <w:bookmarkEnd w:id="257"/>
    <w:p>
      <w:pPr>
        <w:jc w:val="both"/>
        <w:spacing w:after="0" w:line="263" w:lineRule="auto"/>
        <w:rPr>
          <w:sz w:val="20"/>
          <w:szCs w:val="20"/>
          <w:color w:val="auto"/>
        </w:rPr>
      </w:pPr>
      <w:r>
        <w:rPr>
          <w:rFonts w:ascii="Arial" w:cs="Arial" w:eastAsia="Arial" w:hAnsi="Arial"/>
          <w:sz w:val="22"/>
          <w:szCs w:val="22"/>
          <w:color w:val="auto"/>
        </w:rPr>
        <w:t>Notwithstanding the foregoing, the Committee’s determinations of the extent to which the performance criteria have been achieved is subject to the approval of the Board.</w:t>
      </w:r>
    </w:p>
    <w:p>
      <w:pPr>
        <w:spacing w:after="0" w:line="175"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The Restricted Share Units shall be considered earned only to the level of achievement of the performance criteria collectively, except as provided in Section 3(b)(i) (each, an “</w:t>
      </w:r>
      <w:r>
        <w:rPr>
          <w:rFonts w:ascii="Arial" w:cs="Arial" w:eastAsia="Arial" w:hAnsi="Arial"/>
          <w:sz w:val="19"/>
          <w:szCs w:val="19"/>
          <w:b w:val="1"/>
          <w:bCs w:val="1"/>
          <w:color w:val="auto"/>
        </w:rPr>
        <w:t>Earned Share Unit</w:t>
      </w:r>
      <w:r>
        <w:rPr>
          <w:rFonts w:ascii="Arial" w:cs="Arial" w:eastAsia="Arial" w:hAnsi="Arial"/>
          <w:sz w:val="19"/>
          <w:szCs w:val="19"/>
          <w:color w:val="auto"/>
        </w:rPr>
        <w:t>” and, collectively, the “</w:t>
      </w:r>
      <w:r>
        <w:rPr>
          <w:rFonts w:ascii="Arial" w:cs="Arial" w:eastAsia="Arial" w:hAnsi="Arial"/>
          <w:sz w:val="19"/>
          <w:szCs w:val="19"/>
          <w:b w:val="1"/>
          <w:bCs w:val="1"/>
          <w:color w:val="auto"/>
        </w:rPr>
        <w:t>Earned Share Units</w:t>
      </w:r>
      <w:r>
        <w:rPr>
          <w:rFonts w:ascii="Arial" w:cs="Arial" w:eastAsia="Arial" w:hAnsi="Arial"/>
          <w:sz w:val="19"/>
          <w:szCs w:val="19"/>
          <w:color w:val="auto"/>
        </w:rPr>
        <w:t>”).</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All Restricted Share Units that are not earned (or deemed earned pursuant to Section 3(b)(i)) shall immediately be forfeited as of the last day of the Performance Period. Upon forfeiture of Restricted Share Units, the Grantee will have no further rights with respect to those Restricted Share Units, and the Restricted Share Units shall become forfeited for no value and without any issuance of Shares.</w:t>
      </w:r>
    </w:p>
    <w:p>
      <w:pPr>
        <w:spacing w:after="0" w:line="201"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Becoming a Vested Share Unit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1" w:lineRule="auto"/>
        <w:tabs>
          <w:tab w:leader="none" w:pos="1765"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Vesting of Earned Share Units; General Rule</w:t>
      </w:r>
      <w:r>
        <w:rPr>
          <w:rFonts w:ascii="Arial" w:cs="Arial" w:eastAsia="Arial" w:hAnsi="Arial"/>
          <w:sz w:val="21"/>
          <w:szCs w:val="21"/>
          <w:color w:val="auto"/>
        </w:rPr>
        <w:t xml:space="preserve">. Except as provided in this Section 3, Earned Share Units shall become Vested Share Units only if the Grantee satisfies the Service Condition. If the Grantee experiences a Separation from Service prior to the last day of the Restriction Period, the Earned Share Units shall be forfeited, except as provided in Subsections 3(b) and 3(c). In the event the Grantee satisfies the Service Condition, but a portion of the Grantee’s employment during the Performance Period includes a period of an approved leave of absence, the number of the Earned Share Units that become Vested Share Units shall be prorated in the proportion that the number of days of the Grantee’s employment during the Performance Period, minus the number of days during the leave of absence period, bears to 1,095, </w:t>
      </w:r>
      <w:r>
        <w:rPr>
          <w:rFonts w:ascii="Arial" w:cs="Arial" w:eastAsia="Arial" w:hAnsi="Arial"/>
          <w:sz w:val="21"/>
          <w:szCs w:val="21"/>
          <w:i w:val="1"/>
          <w:iCs w:val="1"/>
          <w:color w:val="auto"/>
        </w:rPr>
        <w:t>i.e</w:t>
      </w:r>
      <w:r>
        <w:rPr>
          <w:rFonts w:ascii="Arial" w:cs="Arial" w:eastAsia="Arial" w:hAnsi="Arial"/>
          <w:sz w:val="21"/>
          <w:szCs w:val="21"/>
          <w:color w:val="auto"/>
        </w:rPr>
        <w:t>., the total number of days in the Performance Period.</w:t>
      </w:r>
    </w:p>
    <w:p>
      <w:pPr>
        <w:spacing w:after="0" w:line="180" w:lineRule="exact"/>
        <w:rPr>
          <w:rFonts w:ascii="Arial" w:cs="Arial" w:eastAsia="Arial" w:hAnsi="Arial"/>
          <w:sz w:val="21"/>
          <w:szCs w:val="21"/>
          <w:color w:val="auto"/>
        </w:rPr>
      </w:pPr>
    </w:p>
    <w:p>
      <w:pPr>
        <w:ind w:left="1780" w:hanging="476"/>
        <w:spacing w:after="0"/>
        <w:tabs>
          <w:tab w:leader="none" w:pos="1780"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Vesting Prior to Settlement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64" w:lineRule="auto"/>
        <w:tabs>
          <w:tab w:leader="none" w:pos="2438" w:val="left"/>
        </w:tabs>
        <w:numPr>
          <w:ilvl w:val="1"/>
          <w:numId w:val="184"/>
        </w:numPr>
        <w:rPr>
          <w:rFonts w:ascii="Arial" w:cs="Arial" w:eastAsia="Arial" w:hAnsi="Arial"/>
          <w:sz w:val="21"/>
          <w:szCs w:val="21"/>
          <w:color w:val="auto"/>
        </w:rPr>
      </w:pPr>
      <w:r>
        <w:rPr>
          <w:rFonts w:ascii="Arial" w:cs="Arial" w:eastAsia="Arial" w:hAnsi="Arial"/>
          <w:sz w:val="21"/>
          <w:szCs w:val="21"/>
          <w:color w:val="auto"/>
        </w:rPr>
        <w:t xml:space="preserve">If prior to the settlement of Vested Share Units, the Grantee experiences a Separation from Service due to the Grantee’s death or Disability, the Grantee (or his or her estate, in the event of death) shall receive a number of Restricted Share Units payable within thirty (30) days following the Separation from Service at an assumed achievement of the performance criteria at “target” levels. If the Grantee’s death or Disability occurs prior to expiration of the Performance Period, the number of Restricted Share Units deemed to be Vested Share Units shall be prorated in the proportion that the number of days elapsed from the beginning of the Performance Period through the effective date of the Separation from Service bears to 1,095, </w:t>
      </w:r>
      <w:r>
        <w:rPr>
          <w:rFonts w:ascii="Arial" w:cs="Arial" w:eastAsia="Arial" w:hAnsi="Arial"/>
          <w:sz w:val="21"/>
          <w:szCs w:val="21"/>
          <w:i w:val="1"/>
          <w:iCs w:val="1"/>
          <w:color w:val="auto"/>
        </w:rPr>
        <w:t>i.e</w:t>
      </w:r>
      <w:r>
        <w:rPr>
          <w:rFonts w:ascii="Arial" w:cs="Arial" w:eastAsia="Arial" w:hAnsi="Arial"/>
          <w:sz w:val="21"/>
          <w:szCs w:val="21"/>
          <w:color w:val="auto"/>
        </w:rPr>
        <w:t>., the total number of days in the Performance Period.</w:t>
      </w:r>
    </w:p>
    <w:p>
      <w:pPr>
        <w:spacing w:after="0" w:line="179" w:lineRule="exact"/>
        <w:rPr>
          <w:rFonts w:ascii="Arial" w:cs="Arial" w:eastAsia="Arial" w:hAnsi="Arial"/>
          <w:sz w:val="21"/>
          <w:szCs w:val="21"/>
          <w:color w:val="auto"/>
        </w:rPr>
      </w:pPr>
    </w:p>
    <w:p>
      <w:pPr>
        <w:jc w:val="both"/>
        <w:ind w:firstLine="1952"/>
        <w:spacing w:after="0" w:line="294" w:lineRule="auto"/>
        <w:tabs>
          <w:tab w:leader="none" w:pos="2484"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If prior to the settlement of Vested Share Units, the Grantee experiences a Separation from Service due to the Grantee’s attainment of Retirement Age, then the Service Condition shall be deemed satisfied and the Grantee shall remain entitled to a payout on the date the Restricted Share Units would normally have been settled in accordance with Section 4 based on the degree of achievement of the performance criteria measured as of the last day of the Performance Period and determined pursuant to Section 2. If the Separation from Service occurs prior to the expiration of the Performance Period, the number of Earned Share Units becoming Vested Share Units shall be prorated in the proportion that the number of days elapsed from the beginning of the Performance Period through the date of the Separation from Service bears to 1,095.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117" w:right="339" w:bottom="1440" w:gutter="0" w:footer="0" w:header="0"/>
        </w:sectPr>
      </w:pPr>
    </w:p>
    <w:bookmarkStart w:id="258" w:name="page259"/>
    <w:bookmarkEnd w:id="258"/>
    <w:p>
      <w:pPr>
        <w:jc w:val="both"/>
        <w:ind w:firstLine="1304"/>
        <w:spacing w:after="0" w:line="291" w:lineRule="auto"/>
        <w:tabs>
          <w:tab w:leader="none" w:pos="1752"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a Change in Control occurs prior to the settlement of Vested Share Units and before the Grantee has experienced a Separation from Service and the Grantee subsequently experiences a Separation from Service due to an involuntary termination of employment without Cause by the Company, as a result of the Company’s election not to renew the term of any employment agreement then in effect between the Company and Grantee, or a resignation by the Grantee for Good Reason, then the Service Condition shall be deemed satisfied and the Grantee shall remain entitled to a payout on the date the Restricted Share Units would normally have been settled in accordance with Section 4 based on the degree of achievement of the performance criteria measured as of the last day of the Performance Period and determined pursuant to Section 2. If the Separation from Service occurs prior to the expiration of the Performance Period, the number of Earned Share Units becoming Vested Share Units shall be prorated in the proportion that the number of days elapsed from the beginning of the Performance Period through the date of the Separation from Service bears to 1,095.</w:t>
      </w:r>
    </w:p>
    <w:p>
      <w:pPr>
        <w:spacing w:after="0" w:line="158" w:lineRule="exact"/>
        <w:rPr>
          <w:rFonts w:ascii="Arial" w:cs="Arial" w:eastAsia="Arial" w:hAnsi="Arial"/>
          <w:sz w:val="19"/>
          <w:szCs w:val="19"/>
          <w:color w:val="auto"/>
        </w:rPr>
      </w:pPr>
    </w:p>
    <w:p>
      <w:pPr>
        <w:ind w:firstLine="1304"/>
        <w:spacing w:after="0" w:line="263" w:lineRule="auto"/>
        <w:tabs>
          <w:tab w:leader="none" w:pos="1791"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Vested Share Units</w:t>
      </w:r>
      <w:r>
        <w:rPr>
          <w:rFonts w:ascii="Arial" w:cs="Arial" w:eastAsia="Arial" w:hAnsi="Arial"/>
          <w:sz w:val="22"/>
          <w:szCs w:val="22"/>
          <w:color w:val="auto"/>
        </w:rPr>
        <w:t>. Earned Share Units that become vested pursuant to this Section 3 are referred to herein as a “</w:t>
      </w:r>
      <w:r>
        <w:rPr>
          <w:rFonts w:ascii="Arial" w:cs="Arial" w:eastAsia="Arial" w:hAnsi="Arial"/>
          <w:sz w:val="22"/>
          <w:szCs w:val="22"/>
          <w:b w:val="1"/>
          <w:bCs w:val="1"/>
          <w:color w:val="auto"/>
        </w:rPr>
        <w:t>Vested Share Unit</w:t>
      </w:r>
      <w:r>
        <w:rPr>
          <w:rFonts w:ascii="Arial" w:cs="Arial" w:eastAsia="Arial" w:hAnsi="Arial"/>
          <w:sz w:val="22"/>
          <w:szCs w:val="22"/>
          <w:color w:val="auto"/>
        </w:rPr>
        <w:t>” or, collectively, as “</w:t>
      </w:r>
      <w:r>
        <w:rPr>
          <w:rFonts w:ascii="Arial" w:cs="Arial" w:eastAsia="Arial" w:hAnsi="Arial"/>
          <w:sz w:val="22"/>
          <w:szCs w:val="22"/>
          <w:b w:val="1"/>
          <w:bCs w:val="1"/>
          <w:color w:val="auto"/>
        </w:rPr>
        <w:t>Vested Share Units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54" w:lineRule="auto"/>
        <w:tabs>
          <w:tab w:leader="none" w:pos="1752"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Forfeitures</w:t>
      </w:r>
      <w:r>
        <w:rPr>
          <w:rFonts w:ascii="Arial" w:cs="Arial" w:eastAsia="Arial" w:hAnsi="Arial"/>
          <w:sz w:val="22"/>
          <w:szCs w:val="22"/>
          <w:color w:val="auto"/>
        </w:rPr>
        <w:t>. Except as provided in this Section 3, upon the Grantee’s Separation from Service prior to the last day of the Restriction Period, all Earned Share Units shall immediately be forfeited. Upon forfeiture of Earned Share Units, the Grantee will have no further rights with respect to those Earned Share Units, and the Earned Share Units shall become forfeited for no value and without any issuance of Shares.</w:t>
      </w:r>
    </w:p>
    <w:p>
      <w:pPr>
        <w:spacing w:after="0" w:line="18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Settlement of Vested Share Units</w:t>
      </w:r>
      <w:r>
        <w:rPr>
          <w:rFonts w:ascii="Arial" w:cs="Arial" w:eastAsia="Arial" w:hAnsi="Arial"/>
          <w:sz w:val="22"/>
          <w:szCs w:val="22"/>
          <w:color w:val="auto"/>
        </w:rPr>
        <w:t>. Except as provided in Section 3(b), Vested Share Units shall be settled after the end of the Performance Period but no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following the expiration of the Performance Period and shall be distributed in the form of Shares. The value of any Shares distributed in settlement of the Agreement are subject to any Company clawback policy or applicable law as in effect from time to time and, in accordance with such policy or law, may be subject to the requirement that any value delivered pursuant to the Agreement be repaid to the Company. The action permitted to be taken by the Committee under this Section is in addition to, and not in lieu of, any and all other rights of the Committee and/or the Company under applicable law and shall apply notwithstanding anything to the contrary in the Plan.</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Shareholder Rights</w:t>
      </w:r>
      <w:r>
        <w:rPr>
          <w:rFonts w:ascii="Arial" w:cs="Arial" w:eastAsia="Arial" w:hAnsi="Arial"/>
          <w:sz w:val="21"/>
          <w:szCs w:val="21"/>
          <w:color w:val="auto"/>
        </w:rPr>
        <w:t>. No rights of a shareholder shall exist with respect to the Restricted Share Units as a result of the mere grant of the Restricted Share Units or as a result of the Restricted Share Units becoming earned or vested. Such rights shall exist only after issuance of any Shares. Without limiting the foregoing, the Grantee shall not be entitled to receive currently any dividends issued on Shares prior to the issuance of any Shares. However, the Grantee shall be credited with dividend equivalents with respect to any outstanding Restricted Share Units, and such dividend equivalents shall be subject to the same restrictions, conditions, and risks of forfeiture that apply to the Restricted Share Units to which they relate and shall be vested, payable and otherwise settled, if at all, at the same time that any underlying Restricted Share Units to which they relate are vested, payable and otherwise settled.</w:t>
      </w:r>
    </w:p>
    <w:p>
      <w:pPr>
        <w:spacing w:after="0" w:line="18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Withholding; Offset</w:t>
      </w:r>
      <w:r>
        <w:rPr>
          <w:rFonts w:ascii="Arial" w:cs="Arial" w:eastAsia="Arial" w:hAnsi="Arial"/>
          <w:sz w:val="21"/>
          <w:szCs w:val="21"/>
          <w:color w:val="auto"/>
        </w:rPr>
        <w:t>. The Company shall deduct from any payment, or otherwise collect from the Grantee, any taxes required to be withheld by federal, state, or local governments in connection with the Agreement. No opinion is expressed nor warranties made as to the effect for federal, state, or local tax purposes of the Agreement. If at any time prior to any payment the Grantee is indebted to the Company, by accepting the Award, the Grantee grants the Company the right to offset against the payment amount the amount of the Grantee’s indebtedness, but only to the extent such offset is permissible under and would not trigger adverse tax consequences under Code Section 409A.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117" w:right="339" w:bottom="1440" w:gutter="0" w:footer="0" w:header="0"/>
        </w:sectPr>
      </w:pPr>
    </w:p>
    <w:bookmarkStart w:id="259" w:name="page260"/>
    <w:bookmarkEnd w:id="259"/>
    <w:p>
      <w:pPr>
        <w:jc w:val="both"/>
        <w:ind w:firstLine="1296"/>
        <w:spacing w:after="0" w:line="254"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Nothing contained herein shall be construed to confer on the Grantee any right to continue in service with the Company or to derogate from any right of the Company to retire, request the resignation of or discharge the Grantee, or to require a leave of absence of the Grantee, with or without pay, at any time, with or without Cause.</w:t>
      </w:r>
    </w:p>
    <w:p>
      <w:pPr>
        <w:spacing w:after="0" w:line="18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 Fractional Shares</w:t>
      </w:r>
      <w:r>
        <w:rPr>
          <w:rFonts w:ascii="Arial" w:cs="Arial" w:eastAsia="Arial" w:hAnsi="Arial"/>
          <w:sz w:val="22"/>
          <w:szCs w:val="22"/>
          <w:color w:val="auto"/>
        </w:rPr>
        <w:t>. No fractional Shares shall be issued in respect of Restricted Share Units, and any fractional Shares will be rounded down to the nearest whole Share.</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Restricted Share Units may not be assigned, transferred, or in any way encumbered except by will or the laws of descent and distribution.</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contain the entire agreement between the parties hereto with respect to the matters contemplated herein and supersede all prior agreements or understandings among the parties related to such matters.</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Binding Effect</w:t>
      </w:r>
      <w:r>
        <w:rPr>
          <w:rFonts w:ascii="Arial" w:cs="Arial" w:eastAsia="Arial" w:hAnsi="Arial"/>
          <w:sz w:val="22"/>
          <w:szCs w:val="22"/>
          <w:color w:val="auto"/>
        </w:rPr>
        <w:t>. Subject to the restrictions on transfer herein set forth, this Agreement shall be binding upon and inure to the benefit of the Company and its successors and assigns and upon the Grantee and the Grantee’s assigns, heirs, executors, administrators and legal representatives.</w:t>
      </w:r>
    </w:p>
    <w:p>
      <w:pPr>
        <w:spacing w:after="0" w:line="19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Committee reserves the right to amend or terminate the Agreement at any time, provided that no amendment or termination (a) shall deprive the Grantee of any Restricted Share Units that have become Earned Share Units or Vested Share Units as of the amendment or termination, provided the Grantee has not experienced a Separation from Service prior to such time, except under circumstances contemplated by Sections 3(b) and 3(c), or</w:t>
      </w:r>
    </w:p>
    <w:p>
      <w:pPr>
        <w:spacing w:after="0" w:line="3" w:lineRule="exact"/>
        <w:rPr>
          <w:sz w:val="20"/>
          <w:szCs w:val="20"/>
          <w:color w:val="auto"/>
        </w:rPr>
      </w:pPr>
    </w:p>
    <w:p>
      <w:pPr>
        <w:ind w:right="20" w:firstLine="8"/>
        <w:spacing w:after="0" w:line="259" w:lineRule="auto"/>
        <w:tabs>
          <w:tab w:leader="none" w:pos="31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shall result in the acceleration of any settlement of the Agreement if such acceleration would result in the Grantee incurring a tax under Section 409A of the Code.</w:t>
      </w:r>
    </w:p>
    <w:p>
      <w:pPr>
        <w:spacing w:after="0" w:line="179" w:lineRule="exact"/>
        <w:rPr>
          <w:sz w:val="20"/>
          <w:szCs w:val="20"/>
          <w:color w:val="auto"/>
        </w:rPr>
      </w:pPr>
    </w:p>
    <w:p>
      <w:pPr>
        <w:ind w:right="380" w:firstLine="1296"/>
        <w:spacing w:after="0" w:line="250"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internal laws of New York, except for those matters subject to The Companies Act, 1981 of Bermuda (as amended), which shall be governed by such law, without giving effect to principles of conflicts of laws, and construed accordingly, and by applicable federal tax law.</w:t>
      </w:r>
    </w:p>
    <w:p>
      <w:pPr>
        <w:spacing w:after="0" w:line="20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in this Agreement and not otherwise defined herein have the meaning ascribed to them in the Plan. The following words and phrases shall, when used herein, have the meanings set forth below:</w:t>
      </w:r>
    </w:p>
    <w:p>
      <w:pPr>
        <w:spacing w:after="0" w:line="185" w:lineRule="exact"/>
        <w:rPr>
          <w:sz w:val="20"/>
          <w:szCs w:val="20"/>
          <w:color w:val="auto"/>
        </w:rPr>
      </w:pPr>
    </w:p>
    <w:p>
      <w:pPr>
        <w:jc w:val="both"/>
        <w:ind w:firstLine="1304"/>
        <w:spacing w:after="0" w:line="271" w:lineRule="auto"/>
        <w:tabs>
          <w:tab w:leader="none" w:pos="1752"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has the meaning ascribed to it in the Plan unless an employment agreement between the Grantee and the Company is in effect immediately prior to the Separation from Service having the same or similar term in which event such meaning provided in the employment agreement shall control for purposes of the Award.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117" w:right="339" w:bottom="1440" w:gutter="0" w:footer="0" w:header="0"/>
        </w:sectPr>
      </w:pPr>
    </w:p>
    <w:bookmarkStart w:id="260" w:name="page261"/>
    <w:bookmarkEnd w:id="260"/>
    <w:p>
      <w:pPr>
        <w:jc w:val="both"/>
        <w:ind w:firstLine="1304"/>
        <w:spacing w:after="0" w:line="288" w:lineRule="auto"/>
        <w:tabs>
          <w:tab w:leader="none" w:pos="181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any of the following: (i) 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(ii) 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fifty percent (50%) of, respectively, the Shares and the combined voting power entitled to vote generally in the election of directors of the reorganized, merged, amalgamated, or consolidated corporation’s then-outstanding voting securities; or (iii) a liquidation or dissolution of the Company, or the sale of all or substantially all of the assets of the Company. 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4"/>
        <w:spacing w:after="0" w:line="261" w:lineRule="auto"/>
        <w:tabs>
          <w:tab w:leader="none" w:pos="1833" w:val="left"/>
        </w:tabs>
        <w:numPr>
          <w:ilvl w:val="0"/>
          <w:numId w:val="1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that the Grantee is unable to engage in any substantial gainful activity by reason of a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or disability insurance benefit plan covering Company employees. The determination of whether the Grantee has a Disability shall be determined under procedures established by the Committee. The Committee may rely on any determination that the Grantee is disabled for purposes of benefits under any long-term disability plan maintained by the Company or any Affiliate in which the Grantee participates, provided that the definition of disability applied under such disability plan meets the requirements of a Disability in the first sentence hereof.</w:t>
      </w:r>
    </w:p>
    <w:p>
      <w:pPr>
        <w:spacing w:after="0" w:line="181" w:lineRule="exact"/>
        <w:rPr>
          <w:rFonts w:ascii="Arial" w:cs="Arial" w:eastAsia="Arial" w:hAnsi="Arial"/>
          <w:sz w:val="21"/>
          <w:szCs w:val="21"/>
          <w:color w:val="auto"/>
        </w:rPr>
      </w:pPr>
    </w:p>
    <w:p>
      <w:pPr>
        <w:jc w:val="both"/>
        <w:ind w:firstLine="1304"/>
        <w:spacing w:after="0" w:line="291" w:lineRule="auto"/>
        <w:tabs>
          <w:tab w:leader="none" w:pos="1777"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the occurrence of one or more of the following without the Grantee’s express written consent, which circumstances are not remedied by the Company within thirty (30) days after its receipt of a written notice from the Grantee describing the applicable circumstances (which notice must be provided by the Grantee within ninety (90) days after the Grantee’s knowledge of the applicable circumstances): (i) any material, adverse change in the Grantee’s duties, responsibilities, authority, status, or reporting structure; (ii) a material reduction in the Grantee’s base salary; or (iii) a geographical relocation of the Grantee’s principal office location by more than fifty (50) miles; provided that, in each case, the Company has failed to cure the circumstance and the Grantee actually terminates the Grantee’s employment within thirty (30) days following the Company’s thirty (30)-day cure period; provided, however, if an employment agreement between the Grantee and the Company is in effect immediately prior to the Separation from Service having the same or similar term as “Good Reason,” then the meaning provided in the employment agreement shall control for purposes of the Award.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117" w:right="339" w:bottom="1440" w:gutter="0" w:footer="0" w:header="0"/>
        </w:sectPr>
      </w:pPr>
    </w:p>
    <w:bookmarkStart w:id="261" w:name="page262"/>
    <w:bookmarkEnd w:id="261"/>
    <w:p>
      <w:pPr>
        <w:ind w:left="1760" w:hanging="456"/>
        <w:spacing w:after="0"/>
        <w:tabs>
          <w:tab w:leader="none" w:pos="176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the period from and including January 1, 20__ through December 31, 20__.</w:t>
      </w:r>
    </w:p>
    <w:p>
      <w:pPr>
        <w:spacing w:after="0" w:line="254" w:lineRule="exact"/>
        <w:rPr>
          <w:rFonts w:ascii="Arial" w:cs="Arial" w:eastAsia="Arial" w:hAnsi="Arial"/>
          <w:sz w:val="19"/>
          <w:szCs w:val="19"/>
          <w:color w:val="auto"/>
        </w:rPr>
      </w:pPr>
    </w:p>
    <w:p>
      <w:pPr>
        <w:ind w:firstLine="1304"/>
        <w:spacing w:after="0" w:line="263" w:lineRule="auto"/>
        <w:tabs>
          <w:tab w:leader="none" w:pos="1728" w:val="left"/>
        </w:tabs>
        <w:numPr>
          <w:ilvl w:val="0"/>
          <w:numId w:val="1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 Period</w:t>
      </w:r>
      <w:r>
        <w:rPr>
          <w:rFonts w:ascii="Arial" w:cs="Arial" w:eastAsia="Arial" w:hAnsi="Arial"/>
          <w:sz w:val="22"/>
          <w:szCs w:val="22"/>
          <w:color w:val="auto"/>
        </w:rPr>
        <w:t>” means the period from and including January 1 through the date the Agreement is settled by the distribution of Shares in respect of Vested Share Units in accordance with Section 4.</w:t>
      </w:r>
    </w:p>
    <w:p>
      <w:pPr>
        <w:spacing w:after="0" w:line="188" w:lineRule="exact"/>
        <w:rPr>
          <w:rFonts w:ascii="Arial" w:cs="Arial" w:eastAsia="Arial" w:hAnsi="Arial"/>
          <w:sz w:val="22"/>
          <w:szCs w:val="22"/>
          <w:color w:val="auto"/>
        </w:rPr>
      </w:pPr>
    </w:p>
    <w:p>
      <w:pPr>
        <w:jc w:val="both"/>
        <w:ind w:firstLine="1304"/>
        <w:spacing w:after="0" w:line="250" w:lineRule="auto"/>
        <w:tabs>
          <w:tab w:leader="none" w:pos="1777" w:val="left"/>
        </w:tabs>
        <w:numPr>
          <w:ilvl w:val="0"/>
          <w:numId w:val="1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Age</w:t>
      </w:r>
      <w:r>
        <w:rPr>
          <w:rFonts w:ascii="Arial" w:cs="Arial" w:eastAsia="Arial" w:hAnsi="Arial"/>
          <w:sz w:val="22"/>
          <w:szCs w:val="22"/>
          <w:color w:val="auto"/>
        </w:rPr>
        <w:t>” means the Grantee’s attainment of (i) a minimum of five whole years of employment with the Company, (ii) at least age 50 and (iii) a combined age and whole years of employment with the Company that equals or exceeds 65; provided, further, the Committee in its discretion may establish an earlier retirement age for the Grantee by communicating in writing that decision to the Grantee.</w:t>
      </w:r>
    </w:p>
    <w:p>
      <w:pPr>
        <w:spacing w:after="0" w:line="187" w:lineRule="exact"/>
        <w:rPr>
          <w:rFonts w:ascii="Arial" w:cs="Arial" w:eastAsia="Arial" w:hAnsi="Arial"/>
          <w:sz w:val="22"/>
          <w:szCs w:val="22"/>
          <w:color w:val="auto"/>
        </w:rPr>
      </w:pPr>
    </w:p>
    <w:p>
      <w:pPr>
        <w:jc w:val="both"/>
        <w:ind w:firstLine="1304"/>
        <w:spacing w:after="0" w:line="261" w:lineRule="auto"/>
        <w:tabs>
          <w:tab w:leader="none" w:pos="1777" w:val="left"/>
        </w:tabs>
        <w:numPr>
          <w:ilvl w:val="0"/>
          <w:numId w:val="1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means a termination of the Grantee’s employment relationship with the Company where either (i) the Grantee has ceased to perform any services for the Company and all affiliated companies that, together with the Company, constitute the “service recipient” within the meaning of Code Section 409A (collectively, the “</w:t>
      </w:r>
      <w:r>
        <w:rPr>
          <w:rFonts w:ascii="Arial" w:cs="Arial" w:eastAsia="Arial" w:hAnsi="Arial"/>
          <w:sz w:val="21"/>
          <w:szCs w:val="21"/>
          <w:b w:val="1"/>
          <w:bCs w:val="1"/>
          <w:color w:val="auto"/>
        </w:rPr>
        <w:t>Service Recipient</w:t>
      </w:r>
      <w:r>
        <w:rPr>
          <w:rFonts w:ascii="Arial" w:cs="Arial" w:eastAsia="Arial" w:hAnsi="Arial"/>
          <w:sz w:val="21"/>
          <w:szCs w:val="21"/>
          <w:color w:val="auto"/>
        </w:rPr>
        <w:t>”) or (ii) the level of bona fide services the Grantee performs for the Service Recipient after a given date permanently decreases (excluding a decrease as a result of military leave, sick leave, or other bona fide leave of absence if the period of such leave does not exceed six months, or if longer, so long as the Grantee retains a right to reemployment with the Service Recipient under an applicable statute or by contract) to no more than twenty percent (20%) of the average level of bona fide services performed for the Service Recipient over the immediately preceding 36-month period (or the full period of service if the Grantee has been providing services to the Service Recipient for less than 36 months) that, in either case, constitutes a “separation from service” within the meaning of Code Section 409A.</w:t>
      </w:r>
    </w:p>
    <w:p>
      <w:pPr>
        <w:spacing w:after="0" w:line="181" w:lineRule="exact"/>
        <w:rPr>
          <w:rFonts w:ascii="Arial" w:cs="Arial" w:eastAsia="Arial" w:hAnsi="Arial"/>
          <w:sz w:val="21"/>
          <w:szCs w:val="21"/>
          <w:color w:val="auto"/>
        </w:rPr>
      </w:pPr>
    </w:p>
    <w:p>
      <w:pPr>
        <w:jc w:val="both"/>
        <w:ind w:firstLine="1304"/>
        <w:spacing w:after="0" w:line="259" w:lineRule="auto"/>
        <w:tabs>
          <w:tab w:leader="none" w:pos="1743" w:val="left"/>
        </w:tabs>
        <w:numPr>
          <w:ilvl w:val="0"/>
          <w:numId w:val="1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Condition</w:t>
      </w:r>
      <w:r>
        <w:rPr>
          <w:rFonts w:ascii="Arial" w:cs="Arial" w:eastAsia="Arial" w:hAnsi="Arial"/>
          <w:sz w:val="22"/>
          <w:szCs w:val="22"/>
          <w:color w:val="auto"/>
        </w:rPr>
        <w:t>” means, except as provided in Section 3, the precondition to the vesting of Earned Share Units requiring the Grantee to remain in a material service relationship with the Company through the date the Agreement is settled in accordance with Section 4.</w:t>
      </w:r>
    </w:p>
    <w:p>
      <w:pPr>
        <w:spacing w:after="0" w:line="18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Section 409A</w:t>
      </w:r>
      <w:r>
        <w:rPr>
          <w:rFonts w:ascii="Arial" w:cs="Arial" w:eastAsia="Arial" w:hAnsi="Arial"/>
          <w:sz w:val="21"/>
          <w:szCs w:val="21"/>
          <w:color w:val="auto"/>
        </w:rPr>
        <w:t>. It is intended that this Agreement shall be administered in a manner that will comply with or meet an exception from Section 409A of the Code, and this Agreement shall be administered and interpreted in accordance with such intent. Notwithstanding anything herein to the contrary, to the extent applicable, if the Grantee is a “specified employee” within the meaning of Section 409A of the Code, and to the extent necessary to avoid the adverse tax consequences under Section 409A of the Code, no portion of any payments hereunder shall be distributed on account of a Separation from Service before the earlier of: (a) the date which is six months following the date of the Grantee’s Separation from Service, or (b) the date of death of the Grantee. Amounts that would have been paid during the delay will be paid on the first business day following the six month delay.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117" w:right="339" w:bottom="1440" w:gutter="0" w:footer="0" w:header="0"/>
        </w:sectPr>
      </w:pPr>
    </w:p>
    <w:bookmarkStart w:id="262" w:name="page263"/>
    <w:bookmarkEnd w:id="262"/>
    <w:p>
      <w:pPr>
        <w:jc w:val="both"/>
        <w:ind w:firstLine="1296"/>
        <w:spacing w:after="0" w:line="254"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The Plan</w:t>
      </w:r>
      <w:r>
        <w:rPr>
          <w:rFonts w:ascii="Arial" w:cs="Arial" w:eastAsia="Arial" w:hAnsi="Arial"/>
          <w:sz w:val="22"/>
          <w:szCs w:val="22"/>
          <w:color w:val="auto"/>
        </w:rPr>
        <w:t>. The Grantee acknowledges having received a copy of the Plan. The Restricted Share Units herein granted are subject to all of the terms and provisions of the Plan, all of which are hereby incorporated herein by reference. In the event of any inconsistency between the provisions of this Agreement and the provisions of the Plan, the provisions of the Plan shall govern.</w:t>
      </w:r>
    </w:p>
    <w:p>
      <w:pPr>
        <w:spacing w:after="0" w:line="185" w:lineRule="exact"/>
        <w:rPr>
          <w:sz w:val="20"/>
          <w:szCs w:val="20"/>
          <w:color w:val="auto"/>
        </w:rPr>
      </w:pPr>
    </w:p>
    <w:p>
      <w:pPr>
        <w:ind w:right="700" w:firstLine="1296"/>
        <w:spacing w:after="0" w:line="263" w:lineRule="auto"/>
        <w:rPr>
          <w:sz w:val="20"/>
          <w:szCs w:val="20"/>
          <w:color w:val="auto"/>
        </w:rPr>
      </w:pPr>
      <w:r>
        <w:rPr>
          <w:rFonts w:ascii="Arial" w:cs="Arial" w:eastAsia="Arial" w:hAnsi="Arial"/>
          <w:sz w:val="22"/>
          <w:szCs w:val="22"/>
          <w:color w:val="auto"/>
        </w:rPr>
        <w:t>IN WITNESS WHEREOF, the parties hereto have executed this Performance Restricted Share Unit Award Agreement as of __________________ ____, 20____.</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JAMES RIVER GROUP HOLDINGS, LTD.</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______________________________________</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____________________________________</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GRANTEE:</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_________________________________________</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117" w:right="339" w:bottom="1440" w:gutter="0" w:footer="0" w:header="0"/>
        </w:sectPr>
      </w:pPr>
    </w:p>
    <w:bookmarkStart w:id="263" w:name="page264"/>
    <w:bookmarkEnd w:id="263"/>
    <w:p>
      <w:pPr>
        <w:jc w:val="center"/>
        <w:ind w:right="-1100"/>
        <w:spacing w:after="0"/>
        <w:rPr>
          <w:sz w:val="20"/>
          <w:szCs w:val="20"/>
          <w:color w:val="auto"/>
        </w:rPr>
      </w:pPr>
      <w:r>
        <w:rPr>
          <w:rFonts w:ascii="Arial" w:cs="Arial" w:eastAsia="Arial" w:hAnsi="Arial"/>
          <w:sz w:val="22"/>
          <w:szCs w:val="22"/>
          <w:b w:val="1"/>
          <w:bCs w:val="1"/>
          <w:color w:val="auto"/>
        </w:rPr>
        <w:t>JAMES RIVER GROUP HOLDINGS, LTD.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2014 LONG-TERM INCENTIVE PLAN</w:t>
      </w:r>
    </w:p>
    <w:p>
      <w:pPr>
        <w:spacing w:after="0" w:line="196"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PERFORMANCE RESTRICTED SHARE UNIT AGREEMENT</w:t>
      </w:r>
    </w:p>
    <w:p>
      <w:pPr>
        <w:spacing w:after="0" w:line="23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2"/>
                <w:szCs w:val="22"/>
                <w:color w:val="auto"/>
              </w:rPr>
              <w:t>Name of Grantee:</w:t>
            </w:r>
          </w:p>
        </w:tc>
        <w:tc>
          <w:tcPr>
            <w:tcW w:w="1820" w:type="dxa"/>
            <w:vAlign w:val="bottom"/>
          </w:tcPr>
          <w:p>
            <w:pPr>
              <w:ind w:left="5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527"/>
        </w:trPr>
        <w:tc>
          <w:tcPr>
            <w:tcW w:w="2480" w:type="dxa"/>
            <w:vAlign w:val="bottom"/>
          </w:tcPr>
          <w:p>
            <w:pPr>
              <w:spacing w:after="0"/>
              <w:rPr>
                <w:sz w:val="20"/>
                <w:szCs w:val="20"/>
                <w:color w:val="auto"/>
              </w:rPr>
            </w:pPr>
            <w:r>
              <w:rPr>
                <w:rFonts w:ascii="Arial" w:cs="Arial" w:eastAsia="Arial" w:hAnsi="Arial"/>
                <w:sz w:val="22"/>
                <w:szCs w:val="22"/>
                <w:color w:val="auto"/>
              </w:rPr>
              <w:t>Grant Date:</w:t>
            </w:r>
          </w:p>
        </w:tc>
        <w:tc>
          <w:tcPr>
            <w:tcW w:w="1820" w:type="dxa"/>
            <w:vAlign w:val="bottom"/>
          </w:tcPr>
          <w:p>
            <w:pPr>
              <w:ind w:left="5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79"/>
        </w:trPr>
        <w:tc>
          <w:tcPr>
            <w:tcW w:w="2480" w:type="dxa"/>
            <w:vAlign w:val="bottom"/>
          </w:tcPr>
          <w:p>
            <w:pPr>
              <w:spacing w:after="0"/>
              <w:rPr>
                <w:sz w:val="20"/>
                <w:szCs w:val="20"/>
                <w:color w:val="auto"/>
              </w:rPr>
            </w:pPr>
            <w:r>
              <w:rPr>
                <w:rFonts w:ascii="Arial" w:cs="Arial" w:eastAsia="Arial" w:hAnsi="Arial"/>
                <w:sz w:val="22"/>
                <w:szCs w:val="22"/>
                <w:color w:val="auto"/>
              </w:rPr>
              <w:t>Maximum Number of</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22"/>
                <w:szCs w:val="22"/>
                <w:color w:val="auto"/>
              </w:rPr>
              <w:t>Restricted Share Units</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480" w:type="dxa"/>
            <w:vAlign w:val="bottom"/>
          </w:tcPr>
          <w:p>
            <w:pPr>
              <w:spacing w:after="0"/>
              <w:rPr>
                <w:sz w:val="20"/>
                <w:szCs w:val="20"/>
                <w:color w:val="auto"/>
              </w:rPr>
            </w:pPr>
            <w:r>
              <w:rPr>
                <w:rFonts w:ascii="Arial" w:cs="Arial" w:eastAsia="Arial" w:hAnsi="Arial"/>
                <w:sz w:val="22"/>
                <w:szCs w:val="22"/>
                <w:color w:val="auto"/>
              </w:rPr>
              <w:t>Subject to Agreement:</w:t>
            </w:r>
          </w:p>
        </w:tc>
        <w:tc>
          <w:tcPr>
            <w:tcW w:w="1820" w:type="dxa"/>
            <w:vAlign w:val="bottom"/>
            <w:vMerge w:val="restart"/>
          </w:tcPr>
          <w:p>
            <w:pPr>
              <w:ind w:left="540"/>
              <w:spacing w:after="0"/>
              <w:rPr>
                <w:sz w:val="20"/>
                <w:szCs w:val="20"/>
                <w:color w:val="auto"/>
              </w:rPr>
            </w:pPr>
            <w:r>
              <w:rPr>
                <w:rFonts w:ascii="Arial" w:cs="Arial" w:eastAsia="Arial" w:hAnsi="Arial"/>
                <w:sz w:val="22"/>
                <w:szCs w:val="22"/>
                <w:color w:val="auto"/>
                <w:w w:val="92"/>
              </w:rPr>
              <w:t>Threshold: [●]</w:t>
            </w:r>
          </w:p>
        </w:tc>
        <w:tc>
          <w:tcPr>
            <w:tcW w:w="0" w:type="dxa"/>
            <w:vAlign w:val="bottom"/>
          </w:tcPr>
          <w:p>
            <w:pPr>
              <w:spacing w:after="0"/>
              <w:rPr>
                <w:sz w:val="1"/>
                <w:szCs w:val="1"/>
                <w:color w:val="auto"/>
              </w:rPr>
            </w:pPr>
          </w:p>
        </w:tc>
      </w:tr>
      <w:tr>
        <w:trPr>
          <w:trHeight w:val="266"/>
        </w:trPr>
        <w:tc>
          <w:tcPr>
            <w:tcW w:w="2480" w:type="dxa"/>
            <w:vAlign w:val="bottom"/>
          </w:tcPr>
          <w:p>
            <w:pPr>
              <w:spacing w:after="0"/>
              <w:rPr>
                <w:sz w:val="23"/>
                <w:szCs w:val="23"/>
                <w:color w:val="auto"/>
              </w:rPr>
            </w:pPr>
          </w:p>
        </w:tc>
        <w:tc>
          <w:tcPr>
            <w:tcW w:w="1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1820" w:type="dxa"/>
            <w:vAlign w:val="bottom"/>
          </w:tcPr>
          <w:p>
            <w:pPr>
              <w:ind w:left="540"/>
              <w:spacing w:after="0"/>
              <w:rPr>
                <w:sz w:val="20"/>
                <w:szCs w:val="20"/>
                <w:color w:val="auto"/>
              </w:rPr>
            </w:pPr>
            <w:r>
              <w:rPr>
                <w:rFonts w:ascii="Arial" w:cs="Arial" w:eastAsia="Arial" w:hAnsi="Arial"/>
                <w:sz w:val="22"/>
                <w:szCs w:val="22"/>
                <w:color w:val="auto"/>
              </w:rPr>
              <w:t>Target : [●]</w:t>
            </w:r>
          </w:p>
        </w:tc>
        <w:tc>
          <w:tcPr>
            <w:tcW w:w="0" w:type="dxa"/>
            <w:vAlign w:val="bottom"/>
          </w:tcPr>
          <w:p>
            <w:pPr>
              <w:spacing w:after="0"/>
              <w:rPr>
                <w:sz w:val="1"/>
                <w:szCs w:val="1"/>
                <w:color w:val="auto"/>
              </w:rPr>
            </w:pPr>
          </w:p>
        </w:tc>
      </w:tr>
      <w:tr>
        <w:trPr>
          <w:trHeight w:val="274"/>
        </w:trPr>
        <w:tc>
          <w:tcPr>
            <w:tcW w:w="2480" w:type="dxa"/>
            <w:vAlign w:val="bottom"/>
          </w:tcPr>
          <w:p>
            <w:pPr>
              <w:spacing w:after="0"/>
              <w:rPr>
                <w:sz w:val="23"/>
                <w:szCs w:val="23"/>
                <w:color w:val="auto"/>
              </w:rPr>
            </w:pPr>
          </w:p>
        </w:tc>
        <w:tc>
          <w:tcPr>
            <w:tcW w:w="1820" w:type="dxa"/>
            <w:vAlign w:val="bottom"/>
          </w:tcPr>
          <w:p>
            <w:pPr>
              <w:ind w:left="540"/>
              <w:spacing w:after="0"/>
              <w:rPr>
                <w:sz w:val="20"/>
                <w:szCs w:val="20"/>
                <w:color w:val="auto"/>
              </w:rPr>
            </w:pPr>
            <w:r>
              <w:rPr>
                <w:rFonts w:ascii="Arial" w:cs="Arial" w:eastAsia="Arial" w:hAnsi="Arial"/>
                <w:sz w:val="22"/>
                <w:szCs w:val="22"/>
                <w:color w:val="auto"/>
                <w:w w:val="94"/>
              </w:rPr>
              <w:t>Maximum: [●]</w:t>
            </w:r>
          </w:p>
        </w:tc>
        <w:tc>
          <w:tcPr>
            <w:tcW w:w="0" w:type="dxa"/>
            <w:vAlign w:val="bottom"/>
          </w:tcPr>
          <w:p>
            <w:pPr>
              <w:spacing w:after="0"/>
              <w:rPr>
                <w:sz w:val="1"/>
                <w:szCs w:val="1"/>
                <w:color w:val="auto"/>
              </w:rPr>
            </w:pPr>
          </w:p>
        </w:tc>
      </w:tr>
    </w:tbl>
    <w:p>
      <w:pPr>
        <w:sectPr>
          <w:pgSz w:w="11900" w:h="16838" w:orient="portrait"/>
          <w:cols w:equalWidth="0" w:num="1">
            <w:col w:w="10119"/>
          </w:cols>
          <w:pgMar w:left="340" w:top="1098" w:right="1440"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20"/>
          <w:szCs w:val="20"/>
          <w:color w:val="auto"/>
        </w:rPr>
        <w:t>Appendix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Performance Criteria Table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Criteria</w:t>
      </w:r>
    </w:p>
    <w:p>
      <w:pPr>
        <w:spacing w:after="0" w:line="22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two equally-weighted performance criteria applicable to the Restricted Share Units for the Performance Period are: (i) adjusted operating return on average adjusted tangible common equity; and (ii) growth in adjusted tangible common equity per common share.</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calculates </w:t>
      </w:r>
      <w:r>
        <w:rPr>
          <w:rFonts w:ascii="Arial" w:cs="Arial" w:eastAsia="Arial" w:hAnsi="Arial"/>
          <w:sz w:val="20"/>
          <w:szCs w:val="20"/>
          <w:b w:val="1"/>
          <w:bCs w:val="1"/>
          <w:color w:val="auto"/>
        </w:rPr>
        <w:t>adjusted operating return on average adjusted tangible common equity</w:t>
      </w:r>
      <w:r>
        <w:rPr>
          <w:rFonts w:ascii="Arial" w:cs="Arial" w:eastAsia="Arial" w:hAnsi="Arial"/>
          <w:sz w:val="20"/>
          <w:szCs w:val="20"/>
          <w:color w:val="auto"/>
        </w:rPr>
        <w:t xml:space="preserve"> for the Performance Period as the three-year average adjusted net operating income divided by the four-year average adjusted tangible common equity. For purposes of this calculation:</w:t>
      </w:r>
    </w:p>
    <w:p>
      <w:pPr>
        <w:spacing w:after="0" w:line="184" w:lineRule="exact"/>
        <w:rPr>
          <w:sz w:val="20"/>
          <w:szCs w:val="20"/>
          <w:color w:val="auto"/>
        </w:rPr>
      </w:pPr>
    </w:p>
    <w:p>
      <w:pPr>
        <w:jc w:val="both"/>
        <w:ind w:left="34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net operating income</w:t>
      </w:r>
      <w:r>
        <w:rPr>
          <w:rFonts w:ascii="Arial" w:cs="Arial" w:eastAsia="Arial" w:hAnsi="Arial"/>
          <w:sz w:val="19"/>
          <w:szCs w:val="19"/>
          <w:color w:val="auto"/>
        </w:rPr>
        <w:t>” is defined as net income (loss) available to common shareholders excluding (i) net realized and unrealized gain (losses) on investments, (ii) the portion of favorable or unfavorable prior year reserve development for which the Company’s subsidiaries ceded the risk under retroactive reinsurance agreements and the related changes in the amortization of deferred gain, and (iii) certain non-operating expenses, such as professional service fees related to a purported class action lawsuit, various strategic initiatives, the filing of registration statements for the offering of securities, and severance costs associated with terminated employees, calculated as of December 31 of each fiscal year during the Performance Period.</w:t>
      </w:r>
    </w:p>
    <w:p>
      <w:pPr>
        <w:spacing w:after="0" w:line="164" w:lineRule="exact"/>
        <w:rPr>
          <w:sz w:val="20"/>
          <w:szCs w:val="20"/>
          <w:color w:val="auto"/>
        </w:rPr>
      </w:pPr>
    </w:p>
    <w:p>
      <w:pPr>
        <w:jc w:val="both"/>
        <w:ind w:left="34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tangible common equity</w:t>
      </w:r>
      <w:r>
        <w:rPr>
          <w:rFonts w:ascii="Arial" w:cs="Arial" w:eastAsia="Arial" w:hAnsi="Arial"/>
          <w:sz w:val="19"/>
          <w:szCs w:val="19"/>
          <w:color w:val="auto"/>
        </w:rPr>
        <w:t>” is defined as shareholders’ equity less goodwill and intangible assets, net of amortization, accumulated other comprehensive income, and realized and unrealized gains (losses) on investments, and plus deferred gains under retroactive reinsurance agreements entered into by the Company’s subsidiaries, calculated as of the December 31st immediately preceding the Performance Period and December 31 of each fiscal year during the Performance Period.</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The Company calculates </w:t>
      </w:r>
      <w:r>
        <w:rPr>
          <w:rFonts w:ascii="Arial" w:cs="Arial" w:eastAsia="Arial" w:hAnsi="Arial"/>
          <w:sz w:val="20"/>
          <w:szCs w:val="20"/>
          <w:b w:val="1"/>
          <w:bCs w:val="1"/>
          <w:color w:val="auto"/>
        </w:rPr>
        <w:t>growth in adjusted tangible common equity per common share</w:t>
      </w:r>
      <w:r>
        <w:rPr>
          <w:rFonts w:ascii="Arial" w:cs="Arial" w:eastAsia="Arial" w:hAnsi="Arial"/>
          <w:sz w:val="20"/>
          <w:szCs w:val="20"/>
          <w:color w:val="auto"/>
        </w:rPr>
        <w:t xml:space="preserve"> for the Performance Period as a percentage equal to the greater of (i) ((A-B)/B)/4, and (ii) 0%, where: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A </w:t>
      </w:r>
      <w:r>
        <w:rPr>
          <w:rFonts w:ascii="Arial" w:cs="Arial" w:eastAsia="Arial" w:hAnsi="Arial"/>
          <w:sz w:val="20"/>
          <w:szCs w:val="20"/>
          <w:color w:val="auto"/>
        </w:rPr>
        <w:t>= adjusted tangible common equity per common share as of the last day of the Performance Period; and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adjusted tangible common equity per common share as of the December 31st immediately preceding the Performance Period.</w:t>
      </w:r>
    </w:p>
    <w:p>
      <w:pPr>
        <w:spacing w:after="0" w:line="230" w:lineRule="exact"/>
        <w:rPr>
          <w:sz w:val="20"/>
          <w:szCs w:val="20"/>
          <w:color w:val="auto"/>
        </w:rPr>
      </w:pPr>
    </w:p>
    <w:p>
      <w:pPr>
        <w:ind w:left="34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tangible common equity per common share</w:t>
      </w:r>
      <w:r>
        <w:rPr>
          <w:rFonts w:ascii="Arial" w:cs="Arial" w:eastAsia="Arial" w:hAnsi="Arial"/>
          <w:sz w:val="20"/>
          <w:szCs w:val="20"/>
          <w:color w:val="auto"/>
        </w:rPr>
        <w:t>” is calculated as (i) adjusted tangible common equity, divided by (ii) the number of common shares outstanding.</w:t>
      </w:r>
    </w:p>
    <w:p>
      <w:pPr>
        <w:sectPr>
          <w:pgSz w:w="11900" w:h="16838" w:orient="portrait"/>
          <w:cols w:equalWidth="0" w:num="1">
            <w:col w:w="11240"/>
          </w:cols>
          <w:pgMar w:left="320" w:top="1108" w:right="339" w:bottom="1440" w:gutter="0" w:footer="0" w:header="0"/>
        </w:sectPr>
      </w:pPr>
    </w:p>
    <w:bookmarkStart w:id="265" w:name="page266"/>
    <w:bookmarkEnd w:id="265"/>
    <w:p>
      <w:pPr>
        <w:spacing w:after="0"/>
        <w:rPr>
          <w:sz w:val="20"/>
          <w:szCs w:val="20"/>
          <w:color w:val="auto"/>
        </w:rPr>
      </w:pPr>
      <w:r>
        <w:rPr>
          <w:rFonts w:ascii="Arial" w:cs="Arial" w:eastAsia="Arial" w:hAnsi="Arial"/>
          <w:sz w:val="20"/>
          <w:szCs w:val="20"/>
          <w:i w:val="1"/>
          <w:iCs w:val="1"/>
          <w:color w:val="auto"/>
        </w:rPr>
        <w:t>Measurement of Performance Criteria</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760" w:type="dxa"/>
            <w:vAlign w:val="bottom"/>
            <w:tcBorders>
              <w:top w:val="single" w:sz="8" w:color="auto"/>
              <w:left w:val="single" w:sz="8" w:color="auto"/>
              <w:right w:val="single" w:sz="8" w:color="auto"/>
            </w:tcBorders>
          </w:tcPr>
          <w:p>
            <w:pPr>
              <w:spacing w:after="0"/>
              <w:rPr>
                <w:sz w:val="20"/>
                <w:szCs w:val="20"/>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Adjusted Operating Return on Adjusted</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Growth in Adjusted Tangible Common Equity</w:t>
            </w:r>
          </w:p>
        </w:tc>
      </w:tr>
      <w:tr>
        <w:trPr>
          <w:trHeight w:val="250"/>
        </w:trPr>
        <w:tc>
          <w:tcPr>
            <w:tcW w:w="3760" w:type="dxa"/>
            <w:vAlign w:val="bottom"/>
            <w:tcBorders>
              <w:left w:val="single" w:sz="8" w:color="auto"/>
              <w:right w:val="single" w:sz="8" w:color="auto"/>
            </w:tcBorders>
          </w:tcPr>
          <w:p>
            <w:pPr>
              <w:spacing w:after="0"/>
              <w:rPr>
                <w:sz w:val="21"/>
                <w:szCs w:val="21"/>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Average Tangible Common Equity</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per Common Share</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5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Threshold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w:t>
            </w:r>
          </w:p>
        </w:tc>
      </w:tr>
      <w:tr>
        <w:trPr>
          <w:trHeight w:val="26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Target</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w:t>
            </w:r>
          </w:p>
        </w:tc>
      </w:tr>
      <w:tr>
        <w:trPr>
          <w:trHeight w:val="26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Maximum</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w:t>
            </w:r>
          </w:p>
        </w:tc>
      </w:tr>
    </w:tbl>
    <w:p>
      <w:pPr>
        <w:spacing w:after="0" w:line="280"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For purposes of making computations pursuant to the table, the following rules apply: (a) only the highest level attained under each performance criterion is credited towards the amount payable; (b) the level of performance achieved between threshold and maximum levels shall be determined by linear interpolation; (c) attainment of a performance level above each maximum level indicated does not increase the payout amount; and (d) the number of Restricted Share Units that are payable at each level, as indicated by the table, is apportioned equally between the performance criteria.</w:t>
      </w:r>
    </w:p>
    <w:p>
      <w:pPr>
        <w:sectPr>
          <w:pgSz w:w="11900" w:h="16838" w:orient="portrait"/>
          <w:cols w:equalWidth="0" w:num="1">
            <w:col w:w="11260"/>
          </w:cols>
          <w:pgMar w:left="320" w:top="1108" w:right="31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SERVICE-BASED RESTRICTED SHARE UNIT AGREEMENT</w:t>
      </w:r>
    </w:p>
    <w:p>
      <w:pPr>
        <w:spacing w:after="0" w:line="23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This SERVICE-BASED RESTRICTED SHARE UNIT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dated as of the Grant Date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 attached hereto and incorporated herein by reference, is made by and between James River Group Holdings, Ltd., an exempted company registered under the laws of Bermuda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and the Grantee listed in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 xml:space="preserve"> :</w:t>
      </w:r>
    </w:p>
    <w:p>
      <w:pPr>
        <w:spacing w:after="0" w:line="2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the Company has adopted the James River Group Holdings, Ltd. 2014 Long-Term Incentive Plan, as amended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the Company desires to grant to the Grantee Restricted Share Units pursuant to the Plan and on the terms and conditions set forth herein (the “</w:t>
      </w:r>
      <w:r>
        <w:rPr>
          <w:rFonts w:ascii="Arial" w:cs="Arial" w:eastAsia="Arial" w:hAnsi="Arial"/>
          <w:sz w:val="22"/>
          <w:szCs w:val="22"/>
          <w:b w:val="1"/>
          <w:bCs w:val="1"/>
          <w:color w:val="auto"/>
        </w:rPr>
        <w:t>Award</w:t>
      </w:r>
      <w:r>
        <w:rPr>
          <w:rFonts w:ascii="Arial" w:cs="Arial" w:eastAsia="Arial" w:hAnsi="Arial"/>
          <w:sz w:val="22"/>
          <w:szCs w:val="22"/>
          <w:color w:val="auto"/>
        </w:rPr>
        <w: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NOW, THEREFORE, for good and valuable consideration, the receipt and adequacy of which is hereby acknowledged, the Company and the Grantee hereby agree as follows:</w:t>
      </w:r>
    </w:p>
    <w:p>
      <w:pPr>
        <w:spacing w:after="0" w:line="188"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Grant of Restricted Share Units</w:t>
      </w:r>
      <w:r>
        <w:rPr>
          <w:rFonts w:ascii="Arial" w:cs="Arial" w:eastAsia="Arial" w:hAnsi="Arial"/>
          <w:sz w:val="19"/>
          <w:szCs w:val="19"/>
          <w:color w:val="auto"/>
        </w:rPr>
        <w:t xml:space="preserve">. The Company hereby grants to the Grantee, pursuant to the Plan and on the terms and conditions set forth herein, the number of Restricted Share Units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Each Restricted Share Unit represents the right to receive one Share to be issued and delivered upon becoming Vested Share Units, subject to the Restricted Share Unit becoming Vested Share Unit (as defined herein), and subject to the other terms described herein.</w:t>
      </w:r>
    </w:p>
    <w:p>
      <w:pPr>
        <w:spacing w:after="0" w:line="142"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Becoming a Vested Share Unit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2" w:lineRule="auto"/>
        <w:tabs>
          <w:tab w:leader="none" w:pos="1765"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Vesting of Restricted Share Units; General Rule</w:t>
      </w:r>
      <w:r>
        <w:rPr>
          <w:rFonts w:ascii="Arial" w:cs="Arial" w:eastAsia="Arial" w:hAnsi="Arial"/>
          <w:sz w:val="19"/>
          <w:szCs w:val="19"/>
          <w:color w:val="auto"/>
        </w:rPr>
        <w:t xml:space="preserve">. Except as provided in this Section 2, Restricted Share Units shall become Vested Share Units in accordance with the Vesting Schedule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If the Grantee experiences a Separation from Service prior to one or more Continuous Service Dates (as defined in </w:t>
      </w:r>
      <w:r>
        <w:rPr>
          <w:rFonts w:ascii="Arial" w:cs="Arial" w:eastAsia="Arial" w:hAnsi="Arial"/>
          <w:sz w:val="19"/>
          <w:szCs w:val="19"/>
          <w:u w:val="single" w:color="auto"/>
          <w:color w:val="auto"/>
        </w:rPr>
        <w:t>Schedule A</w:t>
      </w:r>
      <w:r>
        <w:rPr>
          <w:rFonts w:ascii="Arial" w:cs="Arial" w:eastAsia="Arial" w:hAnsi="Arial"/>
          <w:sz w:val="19"/>
          <w:szCs w:val="19"/>
          <w:color w:val="auto"/>
        </w:rPr>
        <w:t>), the Restricted Share Units that have not become Vested Share Units prior thereto shall be forfeited, except as provided in Subsections 2(b) and 2(c).</w:t>
      </w:r>
    </w:p>
    <w:p>
      <w:pPr>
        <w:spacing w:after="0" w:line="142" w:lineRule="exact"/>
        <w:rPr>
          <w:rFonts w:ascii="Arial" w:cs="Arial" w:eastAsia="Arial" w:hAnsi="Arial"/>
          <w:sz w:val="19"/>
          <w:szCs w:val="19"/>
          <w:color w:val="auto"/>
        </w:rPr>
      </w:pPr>
    </w:p>
    <w:p>
      <w:pPr>
        <w:ind w:left="1780" w:hanging="476"/>
        <w:spacing w:after="0"/>
        <w:tabs>
          <w:tab w:leader="none" w:pos="1780"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Vesting Prior to Continuous Service Date(s)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53" w:lineRule="auto"/>
        <w:tabs>
          <w:tab w:leader="none" w:pos="2392" w:val="left"/>
        </w:tabs>
        <w:numPr>
          <w:ilvl w:val="1"/>
          <w:numId w:val="190"/>
        </w:numPr>
        <w:rPr>
          <w:rFonts w:ascii="Arial" w:cs="Arial" w:eastAsia="Arial" w:hAnsi="Arial"/>
          <w:sz w:val="22"/>
          <w:szCs w:val="22"/>
          <w:color w:val="auto"/>
        </w:rPr>
      </w:pPr>
      <w:r>
        <w:rPr>
          <w:rFonts w:ascii="Arial" w:cs="Arial" w:eastAsia="Arial" w:hAnsi="Arial"/>
          <w:sz w:val="22"/>
          <w:szCs w:val="22"/>
          <w:color w:val="auto"/>
        </w:rPr>
        <w:t>If prior to one or more Continuous Service Dates, the Grantee experiences a Separation from Service due to the Grantee’s death or Disability, the Restricted Share Units that have not become Vested Share Units prior thereto shall become Vested Share Units as of the date of death or Disability,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6" w:right="339" w:bottom="1440" w:gutter="0" w:footer="0" w:header="0"/>
        </w:sectPr>
      </w:pPr>
    </w:p>
    <w:bookmarkStart w:id="267" w:name="page268"/>
    <w:bookmarkEnd w:id="267"/>
    <w:p>
      <w:pPr>
        <w:jc w:val="both"/>
        <w:ind w:firstLine="1952"/>
        <w:spacing w:after="0" w:line="307" w:lineRule="auto"/>
        <w:tabs>
          <w:tab w:leader="none" w:pos="2441" w:val="left"/>
        </w:tabs>
        <w:numPr>
          <w:ilvl w:val="1"/>
          <w:numId w:val="191"/>
        </w:numPr>
        <w:rPr>
          <w:rFonts w:ascii="Arial" w:cs="Arial" w:eastAsia="Arial" w:hAnsi="Arial"/>
          <w:sz w:val="19"/>
          <w:szCs w:val="19"/>
          <w:color w:val="auto"/>
        </w:rPr>
      </w:pPr>
      <w:r>
        <w:rPr>
          <w:rFonts w:ascii="Arial" w:cs="Arial" w:eastAsia="Arial" w:hAnsi="Arial"/>
          <w:sz w:val="19"/>
          <w:szCs w:val="19"/>
          <w:color w:val="auto"/>
        </w:rPr>
        <w:t>If prior to one or more Continuous Service Dates, the Grantee experiences a Separation from Service due to the Grantee’s attainment of Retirement Age, the Grantee will be deemed vested as of the date of the Separation from Service in those Restricted Share Units that would have become Vested Share Units as of the immediately succeeding Continuous Service Date had the Grantee not experienced a Separation from Service prior thereto.</w:t>
      </w:r>
    </w:p>
    <w:p>
      <w:pPr>
        <w:spacing w:after="0" w:line="83" w:lineRule="exact"/>
        <w:rPr>
          <w:rFonts w:ascii="Arial" w:cs="Arial" w:eastAsia="Arial" w:hAnsi="Arial"/>
          <w:sz w:val="19"/>
          <w:szCs w:val="19"/>
          <w:color w:val="auto"/>
        </w:rPr>
      </w:pPr>
    </w:p>
    <w:p>
      <w:pPr>
        <w:jc w:val="both"/>
        <w:ind w:firstLine="1304"/>
        <w:spacing w:after="0" w:line="300" w:lineRule="auto"/>
        <w:tabs>
          <w:tab w:leader="none" w:pos="1914"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Change in Control Prior to Service Condition Being Met</w:t>
      </w:r>
      <w:r>
        <w:rPr>
          <w:rFonts w:ascii="Arial" w:cs="Arial" w:eastAsia="Arial" w:hAnsi="Arial"/>
          <w:sz w:val="19"/>
          <w:szCs w:val="19"/>
          <w:color w:val="auto"/>
        </w:rPr>
        <w:t>. If a Change in Control occurs prior to any Continuous Service Dates and before the Grantee has experienced a Separation from Service and the Grantee later experiences a Separation from Service due to an involuntary termination of employment without Cause, the Company’s election not to renew the term of any employment agreement then in effect between the Company and Grantee, or a resignation by the Grantee for Good Reason, the Restricted Share Units that have not become Vested Share Units prior thereto shall become Vested Share Units.</w:t>
      </w:r>
    </w:p>
    <w:p>
      <w:pPr>
        <w:spacing w:after="0" w:line="146" w:lineRule="exact"/>
        <w:rPr>
          <w:rFonts w:ascii="Arial" w:cs="Arial" w:eastAsia="Arial" w:hAnsi="Arial"/>
          <w:sz w:val="19"/>
          <w:szCs w:val="19"/>
          <w:color w:val="auto"/>
        </w:rPr>
      </w:pPr>
    </w:p>
    <w:p>
      <w:pPr>
        <w:ind w:right="20" w:firstLine="1304"/>
        <w:spacing w:after="0" w:line="263" w:lineRule="auto"/>
        <w:tabs>
          <w:tab w:leader="none" w:pos="1858"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Vested Share Units</w:t>
      </w:r>
      <w:r>
        <w:rPr>
          <w:rFonts w:ascii="Arial" w:cs="Arial" w:eastAsia="Arial" w:hAnsi="Arial"/>
          <w:sz w:val="22"/>
          <w:szCs w:val="22"/>
          <w:color w:val="auto"/>
        </w:rPr>
        <w:t>. Restricted Share Units that become vested pursuant to this Section 2 are referred to herein as a “</w:t>
      </w:r>
      <w:r>
        <w:rPr>
          <w:rFonts w:ascii="Arial" w:cs="Arial" w:eastAsia="Arial" w:hAnsi="Arial"/>
          <w:sz w:val="22"/>
          <w:szCs w:val="22"/>
          <w:b w:val="1"/>
          <w:bCs w:val="1"/>
          <w:color w:val="auto"/>
        </w:rPr>
        <w:t>Vested Share Unit</w:t>
      </w:r>
      <w:r>
        <w:rPr>
          <w:rFonts w:ascii="Arial" w:cs="Arial" w:eastAsia="Arial" w:hAnsi="Arial"/>
          <w:sz w:val="22"/>
          <w:szCs w:val="22"/>
          <w:color w:val="auto"/>
        </w:rPr>
        <w:t>” or, collectively, as “</w:t>
      </w:r>
      <w:r>
        <w:rPr>
          <w:rFonts w:ascii="Arial" w:cs="Arial" w:eastAsia="Arial" w:hAnsi="Arial"/>
          <w:sz w:val="22"/>
          <w:szCs w:val="22"/>
          <w:b w:val="1"/>
          <w:bCs w:val="1"/>
          <w:color w:val="auto"/>
        </w:rPr>
        <w:t>Vested Share Units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70" w:lineRule="auto"/>
        <w:tabs>
          <w:tab w:leader="none" w:pos="1819"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Forfeitures</w:t>
      </w:r>
      <w:r>
        <w:rPr>
          <w:rFonts w:ascii="Arial" w:cs="Arial" w:eastAsia="Arial" w:hAnsi="Arial"/>
          <w:sz w:val="21"/>
          <w:szCs w:val="21"/>
          <w:color w:val="auto"/>
        </w:rPr>
        <w:t>. Except as provided in this Section 2, upon the Grantee’s Separation from Service prior to any Restricted Shares Units becoming Vested Share Units, such Restricted Share Units shall immediately be forfeited. Upon forfeiture of Restricted Share Units, the Grantee will have no further rights with respect to those Restricted Share Units, and the Restricted Share Units shall become forfeited for no value and without any issuance of Shares.</w:t>
      </w:r>
    </w:p>
    <w:p>
      <w:pPr>
        <w:spacing w:after="0" w:line="16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Settlement of Vested Share Units</w:t>
      </w:r>
      <w:r>
        <w:rPr>
          <w:rFonts w:ascii="Arial" w:cs="Arial" w:eastAsia="Arial" w:hAnsi="Arial"/>
          <w:sz w:val="21"/>
          <w:szCs w:val="21"/>
          <w:color w:val="auto"/>
        </w:rPr>
        <w:t>. Vested Share Units shall be settled on or within thirty (30) days following the date they become Vested Share Units and shall be distributed in the form of Shares. The value of any Shares distributed in settlement of the Agreement are subject to any Company clawback policy or applicable law as in effect from time to time and, in accordance with such policy or law, may be subject to the requirement that any value delivered pursuant to the Agreement be repaid to the Company. The action permitted to be taken by the Committee under this Section is in addition to, and not in lieu of, any and all other rights of the Committee and/or the Company under applicable law and shall apply notwithstanding anything to the contrary in the Plan.</w:t>
      </w:r>
    </w:p>
    <w:p>
      <w:pPr>
        <w:spacing w:after="0" w:line="18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Shareholder Rights</w:t>
      </w:r>
      <w:r>
        <w:rPr>
          <w:rFonts w:ascii="Arial" w:cs="Arial" w:eastAsia="Arial" w:hAnsi="Arial"/>
          <w:sz w:val="21"/>
          <w:szCs w:val="21"/>
          <w:color w:val="auto"/>
        </w:rPr>
        <w:t>. No rights of a shareholder shall exist with respect to the Restricted Share Units as a result of the mere grant of the Restricted Share Units or as a result of the Restricted Share Units becoming earned or vested. Such rights shall exist only after issuance of any Shares. Without limiting the foregoing, the Grantee shall not be entitled to receive currently any dividends issued on Shares prior to the issuance of any Shares. However, the Grantee shall be credited with dividend equivalents with respect to any outstanding Restricted Share Units, and such dividend equivalents shall be subject to the same restrictions, conditions, and risks of forfeiture that apply to the Restricted Share Units to which they relate and shall be vested, payable and otherwise settled, if at all, at the same time that any underlying Restricted Share Units to which they relate are vested, payable and otherwise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28" w:right="339" w:bottom="1440" w:gutter="0" w:footer="0" w:header="0"/>
        </w:sectPr>
      </w:pPr>
    </w:p>
    <w:bookmarkStart w:id="268" w:name="page269"/>
    <w:bookmarkEnd w:id="268"/>
    <w:p>
      <w:pPr>
        <w:jc w:val="both"/>
        <w:ind w:firstLine="1296"/>
        <w:spacing w:after="0" w:line="264"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Withholding; Offset</w:t>
      </w:r>
      <w:r>
        <w:rPr>
          <w:rFonts w:ascii="Arial" w:cs="Arial" w:eastAsia="Arial" w:hAnsi="Arial"/>
          <w:sz w:val="21"/>
          <w:szCs w:val="21"/>
          <w:color w:val="auto"/>
        </w:rPr>
        <w:t>. The Company shall deduct from any payment, or otherwise collect from the Grantee, any taxes required to be withheld by federal, state, or local governments in connection with the Agreement. No opinion is expressed nor warranties made as to the effect for federal, state, or local tax purposes of the Agreement. If at any time prior to any payment the Grantee is indebted to the Company, by accepting the Award, the Grantee grants the Company the right to offset against the payment amount the amount of the Grantee’s indebtedness, but only to the extent such offset is permissible under and would not trigger adverse tax consequences under Code Section 409A.</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Nothing contained herein shall be construed to confer on the Grantee any right to continue in service with the Company or to derogate from any right of the Company to retire, request the resignation of or discharge the Grantee, or to require a leave of absence of the Grantee, with or without pay, at any time, with or without Cause.</w:t>
      </w:r>
    </w:p>
    <w:p>
      <w:pPr>
        <w:spacing w:after="0" w:line="18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No Fractional Shares</w:t>
      </w:r>
      <w:r>
        <w:rPr>
          <w:rFonts w:ascii="Arial" w:cs="Arial" w:eastAsia="Arial" w:hAnsi="Arial"/>
          <w:sz w:val="22"/>
          <w:szCs w:val="22"/>
          <w:color w:val="auto"/>
        </w:rPr>
        <w:t>. No fractional Shares shall be issued in respect of Restricted Share Units, and any fractional Shares will be rounded down to the nearest whole Share.</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Restricted Share Units may not be assigned, transferred, or in any way encumbered except by will or the laws of descent and distribution.</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contain the entire agreement between the parties hereto with respect to the matters contemplated herein and supersede all prior agreements or understandings among the parties related to such matters.</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Binding Effect</w:t>
      </w:r>
      <w:r>
        <w:rPr>
          <w:rFonts w:ascii="Arial" w:cs="Arial" w:eastAsia="Arial" w:hAnsi="Arial"/>
          <w:sz w:val="22"/>
          <w:szCs w:val="22"/>
          <w:color w:val="auto"/>
        </w:rPr>
        <w:t>. Subject to the restrictions on transfer herein set forth, this Agreement shall be binding upon and inure to the benefit of the Company and its successors and assigns and upon the Grantee and the Grantee’s assigns, heirs, executors, administrators and legal representatives.</w:t>
      </w:r>
    </w:p>
    <w:p>
      <w:pPr>
        <w:spacing w:after="0" w:line="18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Committee reserves the right to amend or terminate the Agreement at any time, provided that no amendment or termination (a) shall deprive the Grantee of any Restricted Share Units that have become Vested Share Units as of the amendment or termination, provided the Grantee has not experienced a Separation from Service prior to such time, except under circumstances contemplated by Sections 2(b) and 2(c), or (b) shall result in the acceleration of any settlement of the Agreement if such acceleration would result in the Grantee incurring a tax under Section 409A of the Code.</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internal laws of New York, except for those matters subject to The Companies Act, 1981 of Bermuda (as amended), which shall be governed by such law, without giving effect to principles of conflicts of laws, and construed accordingly, and by applicable federal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28" w:right="339" w:bottom="1440" w:gutter="0" w:footer="0" w:header="0"/>
        </w:sectPr>
      </w:pPr>
    </w:p>
    <w:bookmarkStart w:id="269" w:name="page270"/>
    <w:bookmarkEnd w:id="269"/>
    <w:p>
      <w:pPr>
        <w:jc w:val="both"/>
        <w:ind w:firstLine="1296"/>
        <w:spacing w:after="0" w:line="25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in this Agreement and not otherwise defined herein have the meaning ascribed to them in the Plan. The following words and phrases shall, when used herein, have the meanings set forth below:</w:t>
      </w:r>
    </w:p>
    <w:p>
      <w:pPr>
        <w:spacing w:after="0" w:line="199" w:lineRule="exact"/>
        <w:rPr>
          <w:sz w:val="20"/>
          <w:szCs w:val="20"/>
          <w:color w:val="auto"/>
        </w:rPr>
      </w:pPr>
    </w:p>
    <w:p>
      <w:pPr>
        <w:jc w:val="both"/>
        <w:ind w:firstLine="1304"/>
        <w:spacing w:after="0" w:line="271" w:lineRule="auto"/>
        <w:tabs>
          <w:tab w:leader="none" w:pos="1752" w:val="left"/>
        </w:tabs>
        <w:numPr>
          <w:ilvl w:val="0"/>
          <w:numId w:val="1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has the meaning ascribed to it in the Plan unless an employment agreement between the Grantee and the Company is in effect immediately prior to the Separation from Service having the same or similar term in which event such meaning provided in the employment agreement shall control for purposes of the Award.</w:t>
      </w:r>
    </w:p>
    <w:p>
      <w:pPr>
        <w:spacing w:after="0" w:line="167" w:lineRule="exact"/>
        <w:rPr>
          <w:rFonts w:ascii="Arial" w:cs="Arial" w:eastAsia="Arial" w:hAnsi="Arial"/>
          <w:sz w:val="21"/>
          <w:szCs w:val="21"/>
          <w:color w:val="auto"/>
        </w:rPr>
      </w:pPr>
    </w:p>
    <w:p>
      <w:pPr>
        <w:jc w:val="both"/>
        <w:ind w:firstLine="1304"/>
        <w:spacing w:after="0" w:line="288" w:lineRule="auto"/>
        <w:tabs>
          <w:tab w:leader="none" w:pos="181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any of the following: (i) 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(ii) 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fifty percent (50%) of, respectively, the Shares and the combined voting power entitled to vote generally in the election of directors of the reorganized, merged, amalgamated, or consolidated corporation’s then-outstanding voting securities; or (iii) a liquidation or dissolution of the Company, or the sale of all or substantially all of the assets of the Company. 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304"/>
        <w:spacing w:after="0" w:line="261" w:lineRule="auto"/>
        <w:tabs>
          <w:tab w:leader="none" w:pos="1833" w:val="left"/>
        </w:tabs>
        <w:numPr>
          <w:ilvl w:val="0"/>
          <w:numId w:val="1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that the Grantee is unable to engage in any substantial gainful activity by reason of a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or disability insurance benefit plan covering Company employees. The determination of whether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28" w:right="339" w:bottom="1440" w:gutter="0" w:footer="0" w:header="0"/>
        </w:sectPr>
      </w:pPr>
    </w:p>
    <w:bookmarkStart w:id="270" w:name="page271"/>
    <w:bookmarkEnd w:id="270"/>
    <w:p>
      <w:pPr>
        <w:jc w:val="both"/>
        <w:spacing w:after="0" w:line="254" w:lineRule="auto"/>
        <w:rPr>
          <w:sz w:val="20"/>
          <w:szCs w:val="20"/>
          <w:color w:val="auto"/>
        </w:rPr>
      </w:pPr>
      <w:r>
        <w:rPr>
          <w:rFonts w:ascii="Arial" w:cs="Arial" w:eastAsia="Arial" w:hAnsi="Arial"/>
          <w:sz w:val="22"/>
          <w:szCs w:val="22"/>
          <w:color w:val="auto"/>
        </w:rPr>
        <w:t>Grantee has a Disability shall be determined under procedures established by the Committee. The Committee may rely on any determination that the Grantee is disabled for purposes of benefits under any long-term disability plan maintained by the Company or any Affiliate in which the Grantee, provided that the definition of disability applied under such disability plan meets the requirements of a Disability in the first sentence hereof.</w:t>
      </w:r>
    </w:p>
    <w:p>
      <w:pPr>
        <w:spacing w:after="0" w:line="185" w:lineRule="exact"/>
        <w:rPr>
          <w:sz w:val="20"/>
          <w:szCs w:val="20"/>
          <w:color w:val="auto"/>
        </w:rPr>
      </w:pPr>
    </w:p>
    <w:p>
      <w:pPr>
        <w:jc w:val="both"/>
        <w:ind w:firstLine="1304"/>
        <w:spacing w:after="0" w:line="290" w:lineRule="auto"/>
        <w:tabs>
          <w:tab w:leader="none" w:pos="1777" w:val="left"/>
        </w:tabs>
        <w:numPr>
          <w:ilvl w:val="0"/>
          <w:numId w:val="1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the occurrence of one or more of the following without the Grantee’s express written consent, which circumstances are not remedied by the Company within thirty (30) days after its receipt of a written notice from the Grantee describing the applicable circumstances (which notice must be provided by the Grantee within ninety (90) days after the Grantee’s knowledge of the applicable circumstances): (i) any material, adverse change in the Grantee’s duties, responsibilities, authority, status, or reporting structure; (ii) a material reduction in the Grantee’s base salary; or (iii) a geographical relocation of the Grantee’s principal office location by more than fifty (50) miles; provided that, in each case, the Company has failed to cure the circumstance and the Grantee actually terminates the Grantee’s employment within thirty (30) days following the Company’s thirty (30)-day cure period; provided, however, if an employment agreement between the Grantee and the Company is in effect immediately prior to the Separation from Service having the same or similar term as “Good Reason,” then the meaning provided in the employment agreement shall control for purposes of the Award.</w:t>
      </w:r>
    </w:p>
    <w:p>
      <w:pPr>
        <w:spacing w:after="0" w:line="167" w:lineRule="exact"/>
        <w:rPr>
          <w:rFonts w:ascii="Arial" w:cs="Arial" w:eastAsia="Arial" w:hAnsi="Arial"/>
          <w:sz w:val="19"/>
          <w:szCs w:val="19"/>
          <w:color w:val="auto"/>
        </w:rPr>
      </w:pPr>
    </w:p>
    <w:p>
      <w:pPr>
        <w:jc w:val="both"/>
        <w:ind w:firstLine="1304"/>
        <w:spacing w:after="0" w:line="250" w:lineRule="auto"/>
        <w:tabs>
          <w:tab w:leader="none" w:pos="1765"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Age</w:t>
      </w:r>
      <w:r>
        <w:rPr>
          <w:rFonts w:ascii="Arial" w:cs="Arial" w:eastAsia="Arial" w:hAnsi="Arial"/>
          <w:sz w:val="22"/>
          <w:szCs w:val="22"/>
          <w:color w:val="auto"/>
        </w:rPr>
        <w:t>” means the Grantee’s attainment of (i) a minimum of five whole years of employment with the Company, (ii) at least age 50 and (iii) a combined age and whole years of employment with the Company that equals or exceeds 65; provided, further, the Committee in its discretion may establish an earlier retirement age for the Grantee by communicating in writing that decision to the Grantee.</w:t>
      </w:r>
    </w:p>
    <w:p>
      <w:pPr>
        <w:spacing w:after="0" w:line="187" w:lineRule="exact"/>
        <w:rPr>
          <w:rFonts w:ascii="Arial" w:cs="Arial" w:eastAsia="Arial" w:hAnsi="Arial"/>
          <w:sz w:val="22"/>
          <w:szCs w:val="22"/>
          <w:color w:val="auto"/>
        </w:rPr>
      </w:pPr>
    </w:p>
    <w:p>
      <w:pPr>
        <w:jc w:val="both"/>
        <w:ind w:firstLine="1304"/>
        <w:spacing w:after="0" w:line="261" w:lineRule="auto"/>
        <w:tabs>
          <w:tab w:leader="none" w:pos="1755" w:val="left"/>
        </w:tabs>
        <w:numPr>
          <w:ilvl w:val="0"/>
          <w:numId w:val="1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means a termination of the Grantee’s employment relationship with the Company where either (i) the Grantee has ceased to perform any services for the Company and all affiliated companies that, together with the Company, constitute the “service recipient” within the meaning of Code Section 409A (collectively, the “</w:t>
      </w:r>
      <w:r>
        <w:rPr>
          <w:rFonts w:ascii="Arial" w:cs="Arial" w:eastAsia="Arial" w:hAnsi="Arial"/>
          <w:sz w:val="21"/>
          <w:szCs w:val="21"/>
          <w:b w:val="1"/>
          <w:bCs w:val="1"/>
          <w:color w:val="auto"/>
        </w:rPr>
        <w:t>Service Recipient</w:t>
      </w:r>
      <w:r>
        <w:rPr>
          <w:rFonts w:ascii="Arial" w:cs="Arial" w:eastAsia="Arial" w:hAnsi="Arial"/>
          <w:sz w:val="21"/>
          <w:szCs w:val="21"/>
          <w:color w:val="auto"/>
        </w:rPr>
        <w:t>”) or (ii) the level of bona fide services the Grantee performs for the Service Recipient after a given date permanently decreases (excluding a decrease as a result of military leave, sick leave, or other bona fide leave of absence if the period of such leave does not exceed six months, or if longer, so long as the Grantee retains a right to reemployment with the Service Recipient under an applicable statute or by contract) to no more than twenty percent (20%) of the average level of bona fide services performed for the Service Recipient over the immediately preceding 36-month period (or the full period of service if the Grantee has been providing services to the Service Recipient for less than 36 months) that, in either case, constitutes a “separation from service” within the meaning of Code Section 409A.</w:t>
      </w:r>
    </w:p>
    <w:p>
      <w:pPr>
        <w:spacing w:after="0" w:line="181" w:lineRule="exact"/>
        <w:rPr>
          <w:rFonts w:ascii="Arial" w:cs="Arial" w:eastAsia="Arial" w:hAnsi="Arial"/>
          <w:sz w:val="21"/>
          <w:szCs w:val="21"/>
          <w:color w:val="auto"/>
        </w:rPr>
      </w:pPr>
    </w:p>
    <w:p>
      <w:pPr>
        <w:ind w:left="1780" w:hanging="476"/>
        <w:spacing w:after="0"/>
        <w:tabs>
          <w:tab w:leader="none" w:pos="178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Condition</w:t>
      </w:r>
      <w:r>
        <w:rPr>
          <w:rFonts w:ascii="Arial" w:cs="Arial" w:eastAsia="Arial" w:hAnsi="Arial"/>
          <w:sz w:val="22"/>
          <w:szCs w:val="22"/>
          <w:color w:val="auto"/>
        </w:rPr>
        <w:t>” has the meaning ascribed to it in 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28" w:right="339" w:bottom="1440" w:gutter="0" w:footer="0" w:header="0"/>
        </w:sectPr>
      </w:pPr>
    </w:p>
    <w:bookmarkStart w:id="271" w:name="page272"/>
    <w:bookmarkEnd w:id="271"/>
    <w:p>
      <w:pPr>
        <w:jc w:val="both"/>
        <w:ind w:firstLine="1296"/>
        <w:spacing w:after="0" w:line="261"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Section 409A</w:t>
      </w:r>
      <w:r>
        <w:rPr>
          <w:rFonts w:ascii="Arial" w:cs="Arial" w:eastAsia="Arial" w:hAnsi="Arial"/>
          <w:sz w:val="21"/>
          <w:szCs w:val="21"/>
          <w:color w:val="auto"/>
        </w:rPr>
        <w:t>. It is intended that this Agreement shall be administered in a manner that will comply with or meet an exception from Section 409A of the Code, and this Agreement shall be administered and interpreted in accordance with such intent. Notwithstanding anything herein to the contrary, to the extent applicable, if the Grantee is a “specified employee” within the meaning of Section 409A of the Code, and to the extent necessary to avoid the adverse tax consequences under Section 409A of the Code, no portion of any payments hereunder shall be distributed on account of a Separation from Service before the earlier of: (a) the date which is six months following the date of the Grantee’s Separation from Service, or (b) the date of death of the Grantee. Amounts that would have been paid during the delay will be paid on the first business day following the six month delay.</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The Plan</w:t>
      </w:r>
      <w:r>
        <w:rPr>
          <w:rFonts w:ascii="Arial" w:cs="Arial" w:eastAsia="Arial" w:hAnsi="Arial"/>
          <w:sz w:val="22"/>
          <w:szCs w:val="22"/>
          <w:color w:val="auto"/>
        </w:rPr>
        <w:t>. The Grantee acknowledges having received a copy of the Plan. The Restricted Share Units herein granted are subject to all of the terms and provisions of the Plan, all of which are hereby incorporated herein by reference. In the event of any inconsistency between the provisions of this Agreement and the provisions of the Plan, the provisions of the Plan shall govern.</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WITNESS WHEREOF, the parties hereto have executed this Service-Based Restricted Share Unit Award Agreement as of the Grant Date.</w:t>
      </w:r>
    </w:p>
    <w:p>
      <w:pPr>
        <w:spacing w:after="0" w:line="200" w:lineRule="exact"/>
        <w:rPr>
          <w:sz w:val="20"/>
          <w:szCs w:val="20"/>
          <w:color w:val="auto"/>
        </w:rPr>
      </w:pPr>
    </w:p>
    <w:p>
      <w:pPr>
        <w:spacing w:after="0" w:line="28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JAMES RIVER GROUP HOLDINGS, LTD.</w:t>
      </w:r>
    </w:p>
    <w:p>
      <w:pPr>
        <w:spacing w:after="0" w:line="287"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 _________________________________</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Title: _______________________________</w:t>
      </w:r>
    </w:p>
    <w:p>
      <w:pPr>
        <w:spacing w:after="0" w:line="200" w:lineRule="exact"/>
        <w:rPr>
          <w:sz w:val="20"/>
          <w:szCs w:val="20"/>
          <w:color w:val="auto"/>
        </w:rPr>
      </w:pPr>
    </w:p>
    <w:p>
      <w:pPr>
        <w:spacing w:after="0" w:line="35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GRANTEE:</w:t>
      </w:r>
    </w:p>
    <w:p>
      <w:pPr>
        <w:spacing w:after="0" w:line="287"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_______________________________________</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28" w:right="33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22"/>
          <w:szCs w:val="22"/>
          <w:b w:val="1"/>
          <w:bCs w:val="1"/>
          <w:color w:val="auto"/>
        </w:rPr>
        <w:t>JAMES RIVER GROUP HOLDINGS,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LONG-TERM INCENTIVE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SERVICE-BASED RESTRICTED SHARE UNIT AGREEMENT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A</w:t>
      </w:r>
    </w:p>
    <w:p>
      <w:pPr>
        <w:spacing w:after="0" w:line="253" w:lineRule="exact"/>
        <w:rPr>
          <w:sz w:val="20"/>
          <w:szCs w:val="20"/>
          <w:color w:val="auto"/>
        </w:rPr>
      </w:pPr>
    </w:p>
    <w:tbl>
      <w:tblPr>
        <w:tblLayout w:type="fixed"/>
        <w:tblInd w:w="54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Name of Grantee:</w:t>
            </w:r>
          </w:p>
        </w:tc>
        <w:tc>
          <w:tcPr>
            <w:tcW w:w="900" w:type="dxa"/>
            <w:vAlign w:val="bottom"/>
          </w:tcPr>
          <w:p>
            <w:pPr>
              <w:ind w:left="6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6"/>
        </w:trPr>
        <w:tc>
          <w:tcPr>
            <w:tcW w:w="2580" w:type="dxa"/>
            <w:vAlign w:val="bottom"/>
          </w:tcPr>
          <w:p>
            <w:pPr>
              <w:spacing w:after="0"/>
              <w:rPr>
                <w:sz w:val="20"/>
                <w:szCs w:val="20"/>
                <w:color w:val="auto"/>
              </w:rPr>
            </w:pPr>
            <w:r>
              <w:rPr>
                <w:rFonts w:ascii="Arial" w:cs="Arial" w:eastAsia="Arial" w:hAnsi="Arial"/>
                <w:sz w:val="22"/>
                <w:szCs w:val="22"/>
                <w:color w:val="auto"/>
              </w:rPr>
              <w:t>Grant Date:</w:t>
            </w:r>
          </w:p>
        </w:tc>
        <w:tc>
          <w:tcPr>
            <w:tcW w:w="900" w:type="dxa"/>
            <w:vAlign w:val="bottom"/>
          </w:tcPr>
          <w:p>
            <w:pPr>
              <w:ind w:left="6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28"/>
        </w:trPr>
        <w:tc>
          <w:tcPr>
            <w:tcW w:w="2580" w:type="dxa"/>
            <w:vAlign w:val="bottom"/>
          </w:tcPr>
          <w:p>
            <w:pPr>
              <w:spacing w:after="0"/>
              <w:rPr>
                <w:sz w:val="20"/>
                <w:szCs w:val="20"/>
                <w:color w:val="auto"/>
              </w:rPr>
            </w:pPr>
            <w:r>
              <w:rPr>
                <w:rFonts w:ascii="Arial" w:cs="Arial" w:eastAsia="Arial" w:hAnsi="Arial"/>
                <w:sz w:val="22"/>
                <w:szCs w:val="22"/>
                <w:color w:val="auto"/>
              </w:rPr>
              <w:t>Number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Arial" w:cs="Arial" w:eastAsia="Arial" w:hAnsi="Arial"/>
                <w:sz w:val="22"/>
                <w:szCs w:val="22"/>
                <w:color w:val="auto"/>
              </w:rPr>
              <w:t>Restricted Share Units</w:t>
            </w:r>
          </w:p>
        </w:tc>
        <w:tc>
          <w:tcPr>
            <w:tcW w:w="900" w:type="dxa"/>
            <w:vAlign w:val="bottom"/>
            <w:vMerge w:val="restart"/>
          </w:tcPr>
          <w:p>
            <w:pPr>
              <w:ind w:left="6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66"/>
        </w:trPr>
        <w:tc>
          <w:tcPr>
            <w:tcW w:w="2580" w:type="dxa"/>
            <w:vAlign w:val="bottom"/>
            <w:vMerge w:val="restart"/>
          </w:tcPr>
          <w:p>
            <w:pPr>
              <w:spacing w:after="0"/>
              <w:rPr>
                <w:sz w:val="20"/>
                <w:szCs w:val="20"/>
                <w:color w:val="auto"/>
              </w:rPr>
            </w:pPr>
            <w:r>
              <w:rPr>
                <w:rFonts w:ascii="Arial" w:cs="Arial" w:eastAsia="Arial" w:hAnsi="Arial"/>
                <w:sz w:val="22"/>
                <w:szCs w:val="22"/>
                <w:color w:val="auto"/>
              </w:rPr>
              <w:t>Subject to Agreement:</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22"/>
          <w:szCs w:val="22"/>
          <w:color w:val="auto"/>
        </w:rPr>
        <w:t>Vesting Schedule: The Restricted Share Units shall become Vested Share Units, as and to the extent indicated below, only if and to the extent the Grantee provides continuous service to the Company and/or any Affiliate for the period beginning with the Grant Date through the date described in the following Vesting Schedule without experiencing a Separation from Service (the “</w:t>
      </w:r>
      <w:r>
        <w:rPr>
          <w:rFonts w:ascii="Arial" w:cs="Arial" w:eastAsia="Arial" w:hAnsi="Arial"/>
          <w:sz w:val="22"/>
          <w:szCs w:val="22"/>
          <w:b w:val="1"/>
          <w:bCs w:val="1"/>
          <w:color w:val="auto"/>
        </w:rPr>
        <w:t>Service</w:t>
      </w:r>
      <w:r>
        <w:rPr>
          <w:rFonts w:ascii="Arial" w:cs="Arial" w:eastAsia="Arial" w:hAnsi="Arial"/>
          <w:sz w:val="22"/>
          <w:szCs w:val="22"/>
          <w:color w:val="auto"/>
        </w:rPr>
        <w:t xml:space="preserve"> </w:t>
      </w:r>
      <w:r>
        <w:rPr>
          <w:rFonts w:ascii="Arial" w:cs="Arial" w:eastAsia="Arial" w:hAnsi="Arial"/>
          <w:sz w:val="22"/>
          <w:szCs w:val="22"/>
          <w:b w:val="1"/>
          <w:bCs w:val="1"/>
          <w:color w:val="auto"/>
        </w:rPr>
        <w:t>Condition</w:t>
      </w:r>
      <w:r>
        <w:rPr>
          <w:rFonts w:ascii="Arial" w:cs="Arial" w:eastAsia="Arial" w:hAnsi="Arial"/>
          <w:sz w:val="22"/>
          <w:szCs w:val="22"/>
          <w:color w:val="auto"/>
        </w:rPr>
        <w:t>”):</w:t>
      </w:r>
    </w:p>
    <w:p>
      <w:pPr>
        <w:spacing w:after="0" w:line="175"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2160" w:type="dxa"/>
            <w:vAlign w:val="bottom"/>
            <w:vMerge w:val="restart"/>
          </w:tcPr>
          <w:p>
            <w:pPr>
              <w:spacing w:after="0"/>
              <w:rPr>
                <w:sz w:val="20"/>
                <w:szCs w:val="20"/>
                <w:color w:val="auto"/>
              </w:rPr>
            </w:pPr>
            <w:r>
              <w:rPr>
                <w:rFonts w:ascii="Arial" w:cs="Arial" w:eastAsia="Arial" w:hAnsi="Arial"/>
                <w:sz w:val="22"/>
                <w:szCs w:val="22"/>
                <w:color w:val="auto"/>
                <w:w w:val="87"/>
              </w:rPr>
              <w:t>Continuous Service Date</w:t>
            </w:r>
          </w:p>
        </w:tc>
        <w:tc>
          <w:tcPr>
            <w:tcW w:w="1640" w:type="dxa"/>
            <w:vAlign w:val="bottom"/>
            <w:vMerge w:val="restart"/>
          </w:tcPr>
          <w:p>
            <w:pPr>
              <w:spacing w:after="0"/>
              <w:rPr>
                <w:sz w:val="21"/>
                <w:szCs w:val="21"/>
                <w:color w:val="auto"/>
              </w:rPr>
            </w:pPr>
          </w:p>
        </w:tc>
        <w:tc>
          <w:tcPr>
            <w:tcW w:w="4080" w:type="dxa"/>
            <w:vAlign w:val="bottom"/>
            <w:gridSpan w:val="3"/>
          </w:tcPr>
          <w:p>
            <w:pPr>
              <w:jc w:val="center"/>
              <w:ind w:left="792"/>
              <w:spacing w:after="0"/>
              <w:rPr>
                <w:sz w:val="20"/>
                <w:szCs w:val="20"/>
                <w:color w:val="auto"/>
              </w:rPr>
            </w:pPr>
            <w:r>
              <w:rPr>
                <w:rFonts w:ascii="Arial" w:cs="Arial" w:eastAsia="Arial" w:hAnsi="Arial"/>
                <w:sz w:val="22"/>
                <w:szCs w:val="22"/>
                <w:color w:val="auto"/>
                <w:w w:val="87"/>
              </w:rPr>
              <w:t>Percentage of Restricted Share Units</w:t>
            </w: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860" w:type="dxa"/>
            <w:vAlign w:val="bottom"/>
            <w:gridSpan w:val="2"/>
          </w:tcPr>
          <w:p>
            <w:pPr>
              <w:jc w:val="center"/>
              <w:ind w:right="320"/>
              <w:spacing w:after="0" w:line="224" w:lineRule="exact"/>
              <w:rPr>
                <w:sz w:val="20"/>
                <w:szCs w:val="20"/>
                <w:color w:val="auto"/>
              </w:rPr>
            </w:pPr>
            <w:r>
              <w:rPr>
                <w:rFonts w:ascii="Arial" w:cs="Arial" w:eastAsia="Arial" w:hAnsi="Arial"/>
                <w:sz w:val="22"/>
                <w:szCs w:val="22"/>
                <w:color w:val="auto"/>
                <w:w w:val="87"/>
              </w:rPr>
              <w:t>which are Vested Share Units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020" w:type="dxa"/>
            <w:vAlign w:val="bottom"/>
            <w:gridSpan w:val="3"/>
          </w:tcPr>
          <w:p>
            <w:pPr>
              <w:jc w:val="center"/>
              <w:ind w:right="920"/>
              <w:spacing w:after="0"/>
              <w:rPr>
                <w:sz w:val="20"/>
                <w:szCs w:val="20"/>
                <w:color w:val="auto"/>
              </w:rPr>
            </w:pPr>
            <w:r>
              <w:rPr>
                <w:rFonts w:ascii="Arial" w:cs="Arial" w:eastAsia="Arial" w:hAnsi="Arial"/>
                <w:sz w:val="22"/>
                <w:szCs w:val="22"/>
                <w:color w:val="auto"/>
                <w:w w:val="89"/>
              </w:rPr>
              <w:t>Prior to the first anniversary of the Grant Date</w:t>
            </w:r>
          </w:p>
        </w:tc>
        <w:tc>
          <w:tcPr>
            <w:tcW w:w="3760" w:type="dxa"/>
            <w:vAlign w:val="bottom"/>
            <w:gridSpan w:val="2"/>
          </w:tcPr>
          <w:p>
            <w:pPr>
              <w:jc w:val="center"/>
              <w:ind w:left="1112"/>
              <w:spacing w:after="0"/>
              <w:rPr>
                <w:sz w:val="20"/>
                <w:szCs w:val="20"/>
                <w:color w:val="auto"/>
              </w:rPr>
            </w:pPr>
            <w:r>
              <w:rPr>
                <w:rFonts w:ascii="Arial" w:cs="Arial" w:eastAsia="Arial" w:hAnsi="Arial"/>
                <w:sz w:val="22"/>
                <w:szCs w:val="22"/>
                <w:color w:val="auto"/>
                <w:w w:val="94"/>
              </w:rPr>
              <w:t>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020" w:type="dxa"/>
            <w:vAlign w:val="bottom"/>
            <w:gridSpan w:val="3"/>
          </w:tcPr>
          <w:p>
            <w:pPr>
              <w:jc w:val="center"/>
              <w:ind w:right="920"/>
              <w:spacing w:after="0"/>
              <w:rPr>
                <w:sz w:val="20"/>
                <w:szCs w:val="20"/>
                <w:color w:val="auto"/>
              </w:rPr>
            </w:pPr>
            <w:r>
              <w:rPr>
                <w:rFonts w:ascii="Arial" w:cs="Arial" w:eastAsia="Arial" w:hAnsi="Arial"/>
                <w:sz w:val="22"/>
                <w:szCs w:val="22"/>
                <w:color w:val="auto"/>
                <w:w w:val="89"/>
              </w:rPr>
              <w:t>First anniversary of the Grant Date, but prior</w:t>
            </w:r>
          </w:p>
        </w:tc>
        <w:tc>
          <w:tcPr>
            <w:tcW w:w="3760" w:type="dxa"/>
            <w:vAlign w:val="bottom"/>
            <w:gridSpan w:val="2"/>
          </w:tcPr>
          <w:p>
            <w:pPr>
              <w:jc w:val="center"/>
              <w:ind w:left="1112"/>
              <w:spacing w:after="0"/>
              <w:rPr>
                <w:sz w:val="20"/>
                <w:szCs w:val="20"/>
                <w:color w:val="auto"/>
              </w:rPr>
            </w:pPr>
            <w:r>
              <w:rPr>
                <w:rFonts w:ascii="Arial" w:cs="Arial" w:eastAsia="Arial" w:hAnsi="Arial"/>
                <w:sz w:val="22"/>
                <w:szCs w:val="22"/>
                <w:color w:val="auto"/>
                <w:w w:val="82"/>
              </w:rPr>
              <w:t>33</w:t>
            </w:r>
            <w:r>
              <w:rPr>
                <w:rFonts w:ascii="Arial" w:cs="Arial" w:eastAsia="Arial" w:hAnsi="Arial"/>
                <w:sz w:val="28"/>
                <w:szCs w:val="28"/>
                <w:color w:val="auto"/>
                <w:w w:val="82"/>
                <w:vertAlign w:val="superscript"/>
              </w:rPr>
              <w:t>1/3</w:t>
            </w:r>
            <w:r>
              <w:rPr>
                <w:rFonts w:ascii="Arial" w:cs="Arial" w:eastAsia="Arial" w:hAnsi="Arial"/>
                <w:sz w:val="22"/>
                <w:szCs w:val="22"/>
                <w:color w:val="auto"/>
                <w:w w:val="82"/>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20" w:type="dxa"/>
            <w:vAlign w:val="bottom"/>
            <w:gridSpan w:val="3"/>
          </w:tcPr>
          <w:p>
            <w:pPr>
              <w:jc w:val="center"/>
              <w:ind w:right="920"/>
              <w:spacing w:after="0"/>
              <w:rPr>
                <w:sz w:val="20"/>
                <w:szCs w:val="20"/>
                <w:color w:val="auto"/>
              </w:rPr>
            </w:pPr>
            <w:r>
              <w:rPr>
                <w:rFonts w:ascii="Arial" w:cs="Arial" w:eastAsia="Arial" w:hAnsi="Arial"/>
                <w:sz w:val="22"/>
                <w:szCs w:val="22"/>
                <w:color w:val="auto"/>
                <w:w w:val="88"/>
              </w:rPr>
              <w:t>to the second anniversary</w:t>
            </w:r>
          </w:p>
        </w:tc>
        <w:tc>
          <w:tcPr>
            <w:tcW w:w="12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5020" w:type="dxa"/>
            <w:vAlign w:val="bottom"/>
            <w:gridSpan w:val="3"/>
          </w:tcPr>
          <w:p>
            <w:pPr>
              <w:jc w:val="center"/>
              <w:ind w:right="920"/>
              <w:spacing w:after="0"/>
              <w:rPr>
                <w:sz w:val="20"/>
                <w:szCs w:val="20"/>
                <w:color w:val="auto"/>
              </w:rPr>
            </w:pPr>
            <w:r>
              <w:rPr>
                <w:rFonts w:ascii="Arial" w:cs="Arial" w:eastAsia="Arial" w:hAnsi="Arial"/>
                <w:sz w:val="22"/>
                <w:szCs w:val="22"/>
                <w:color w:val="auto"/>
                <w:w w:val="88"/>
              </w:rPr>
              <w:t>Second anniversary of the Grant Date, but prior</w:t>
            </w:r>
          </w:p>
        </w:tc>
        <w:tc>
          <w:tcPr>
            <w:tcW w:w="3760" w:type="dxa"/>
            <w:vAlign w:val="bottom"/>
            <w:gridSpan w:val="2"/>
          </w:tcPr>
          <w:p>
            <w:pPr>
              <w:jc w:val="center"/>
              <w:ind w:left="1112"/>
              <w:spacing w:after="0"/>
              <w:rPr>
                <w:sz w:val="20"/>
                <w:szCs w:val="20"/>
                <w:color w:val="auto"/>
              </w:rPr>
            </w:pPr>
            <w:r>
              <w:rPr>
                <w:rFonts w:ascii="Arial" w:cs="Arial" w:eastAsia="Arial" w:hAnsi="Arial"/>
                <w:sz w:val="22"/>
                <w:szCs w:val="22"/>
                <w:color w:val="auto"/>
                <w:w w:val="82"/>
              </w:rPr>
              <w:t>66</w:t>
            </w:r>
            <w:r>
              <w:rPr>
                <w:rFonts w:ascii="Arial" w:cs="Arial" w:eastAsia="Arial" w:hAnsi="Arial"/>
                <w:sz w:val="28"/>
                <w:szCs w:val="28"/>
                <w:color w:val="auto"/>
                <w:w w:val="82"/>
                <w:vertAlign w:val="superscript"/>
              </w:rPr>
              <w:t>2/3</w:t>
            </w:r>
            <w:r>
              <w:rPr>
                <w:rFonts w:ascii="Arial" w:cs="Arial" w:eastAsia="Arial" w:hAnsi="Arial"/>
                <w:sz w:val="22"/>
                <w:szCs w:val="22"/>
                <w:color w:val="auto"/>
                <w:w w:val="82"/>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20" w:type="dxa"/>
            <w:vAlign w:val="bottom"/>
            <w:gridSpan w:val="3"/>
          </w:tcPr>
          <w:p>
            <w:pPr>
              <w:jc w:val="center"/>
              <w:ind w:right="920"/>
              <w:spacing w:after="0"/>
              <w:rPr>
                <w:sz w:val="20"/>
                <w:szCs w:val="20"/>
                <w:color w:val="auto"/>
              </w:rPr>
            </w:pPr>
            <w:r>
              <w:rPr>
                <w:rFonts w:ascii="Arial" w:cs="Arial" w:eastAsia="Arial" w:hAnsi="Arial"/>
                <w:sz w:val="22"/>
                <w:szCs w:val="22"/>
                <w:color w:val="auto"/>
                <w:w w:val="90"/>
              </w:rPr>
              <w:t>to the third anniversary</w:t>
            </w:r>
          </w:p>
        </w:tc>
        <w:tc>
          <w:tcPr>
            <w:tcW w:w="12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5020" w:type="dxa"/>
            <w:vAlign w:val="bottom"/>
            <w:gridSpan w:val="3"/>
          </w:tcPr>
          <w:p>
            <w:pPr>
              <w:jc w:val="center"/>
              <w:ind w:right="920"/>
              <w:spacing w:after="0"/>
              <w:rPr>
                <w:sz w:val="20"/>
                <w:szCs w:val="20"/>
                <w:color w:val="auto"/>
              </w:rPr>
            </w:pPr>
            <w:r>
              <w:rPr>
                <w:rFonts w:ascii="Arial" w:cs="Arial" w:eastAsia="Arial" w:hAnsi="Arial"/>
                <w:sz w:val="22"/>
                <w:szCs w:val="22"/>
                <w:color w:val="auto"/>
                <w:w w:val="89"/>
              </w:rPr>
              <w:t>Third anniversary of the Grant Date</w:t>
            </w:r>
          </w:p>
        </w:tc>
        <w:tc>
          <w:tcPr>
            <w:tcW w:w="3760" w:type="dxa"/>
            <w:vAlign w:val="bottom"/>
            <w:gridSpan w:val="2"/>
          </w:tcPr>
          <w:p>
            <w:pPr>
              <w:jc w:val="center"/>
              <w:ind w:left="1112"/>
              <w:spacing w:after="0"/>
              <w:rPr>
                <w:sz w:val="20"/>
                <w:szCs w:val="20"/>
                <w:color w:val="auto"/>
              </w:rPr>
            </w:pPr>
            <w:r>
              <w:rPr>
                <w:rFonts w:ascii="Arial" w:cs="Arial" w:eastAsia="Arial" w:hAnsi="Arial"/>
                <w:sz w:val="22"/>
                <w:szCs w:val="22"/>
                <w:color w:val="auto"/>
                <w:w w:val="88"/>
              </w:rPr>
              <w:t>100%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Notwithstanding the foregoing, the Service Condition will be deemed satisfied as to all or a portion of the Restricted Share Units, as provided in Section 2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22"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JAMES RIVER GROUP HOLDINGS, LTD.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SHORT-TERM INCENTIVE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2022)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INTRODUCTION</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Purpose</w:t>
      </w:r>
      <w:r>
        <w:rPr>
          <w:rFonts w:ascii="Arial" w:cs="Arial" w:eastAsia="Arial" w:hAnsi="Arial"/>
          <w:sz w:val="19"/>
          <w:szCs w:val="19"/>
          <w:color w:val="auto"/>
        </w:rPr>
        <w:t>. The purposes of the James River Group Holdings, Ltd. Short-Term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as set forth herein, are to allow the Company the opportunity to provide incentives to designated key employees to achieve certain performance targets and to link further executive compensation to shareholder results by rewarding competitive and superior performance. In furtherance of those purposes, the Plan is designed to provide short-term incentive compensation to eligible participants, the amount, if any, of which is dependent on the degree of attainment of certain performance goals of the Company over a Performance Period (as defined herein), unless earlier terminated in accordance with the provisions of the Plan.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Overview</w:t>
      </w:r>
      <w:r>
        <w:rPr>
          <w:rFonts w:ascii="Arial" w:cs="Arial" w:eastAsia="Arial" w:hAnsi="Arial"/>
          <w:sz w:val="22"/>
          <w:szCs w:val="22"/>
          <w:color w:val="auto"/>
        </w:rPr>
        <w:t>. Each award contemplated by the Plan will be comprised of both quantitative and qualitative Performance Criteria (as defined below) and, to the extent earned and vested, will be settled in cash or cash equivalents promptly following the end of a Performance Period.</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Effective Date</w:t>
      </w:r>
      <w:r>
        <w:rPr>
          <w:rFonts w:ascii="Arial" w:cs="Arial" w:eastAsia="Arial" w:hAnsi="Arial"/>
          <w:sz w:val="19"/>
          <w:szCs w:val="19"/>
          <w:color w:val="auto"/>
        </w:rPr>
        <w:t>. This Plan is effective as of January 1, 2022; was approved by the Compensation Committee of the Board of Directors of the Company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on July 26, 2022 and by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on July 26, 2022; and amended upon the approval of the Committee on February 16, 2023.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DEFINITIONS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Wherever used herein, the masculine pronoun shall be deemed to include the feminine, and the singular to include the plural, unless the context clearly indicates otherwise, and the following words and phrases shall, when used herein, have the meanings set forth below:</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2.1 “</w:t>
      </w:r>
      <w:r>
        <w:rPr>
          <w:rFonts w:ascii="Arial" w:cs="Arial" w:eastAsia="Arial" w:hAnsi="Arial"/>
          <w:sz w:val="19"/>
          <w:szCs w:val="19"/>
          <w:u w:val="single" w:color="auto"/>
          <w:color w:val="auto"/>
        </w:rPr>
        <w:t>Affiliate</w:t>
      </w:r>
      <w:r>
        <w:rPr>
          <w:rFonts w:ascii="Arial" w:cs="Arial" w:eastAsia="Arial" w:hAnsi="Arial"/>
          <w:sz w:val="19"/>
          <w:szCs w:val="19"/>
          <w:color w:val="auto"/>
        </w:rPr>
        <w:t>” means any corporation that is a Subsidiary of the Company, any limited liability company, partnership, corporation, joint venture, or any other entity in which the Company or any such Subsidiary owns an equity interest.</w:t>
      </w:r>
    </w:p>
    <w:p>
      <w:pPr>
        <w:spacing w:after="0" w:line="11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Award</w:t>
      </w:r>
      <w:r>
        <w:rPr>
          <w:rFonts w:ascii="Arial" w:cs="Arial" w:eastAsia="Arial" w:hAnsi="Arial"/>
          <w:sz w:val="22"/>
          <w:szCs w:val="22"/>
          <w:color w:val="auto"/>
        </w:rPr>
        <w:t>” means an award to a Participant to be settled in cash or cash equivalents, subject to being earned and becoming vested, as provided herein.</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 of the Company or, if applicable, the governing body of any successor entity.</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Cause</w:t>
      </w:r>
      <w:r>
        <w:rPr>
          <w:rFonts w:ascii="Arial" w:cs="Arial" w:eastAsia="Arial" w:hAnsi="Arial"/>
          <w:sz w:val="22"/>
          <w:szCs w:val="22"/>
          <w:color w:val="auto"/>
        </w:rPr>
        <w:t>” means, except as otherwise provided in an Award or in a Participant’s employment agreement with the Company having the same or similar term in which event such other meaning shall control for Plan purposes, (a) the commission of, or plea of guilty or no contest to, a felony or a crime involving moral turpitude or the commission of any other act involving willful malfeasance or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the material failure to perform duties, or (e) violation of state or federal securities laws.</w:t>
      </w:r>
    </w:p>
    <w:p>
      <w:pPr>
        <w:sectPr>
          <w:pgSz w:w="11900" w:h="16838" w:orient="portrait"/>
          <w:cols w:equalWidth="0" w:num="1">
            <w:col w:w="11240"/>
          </w:cols>
          <w:pgMar w:left="320" w:top="126" w:right="339" w:bottom="1440" w:gutter="0" w:footer="0" w:header="0"/>
        </w:sectPr>
      </w:pPr>
    </w:p>
    <w:bookmarkStart w:id="274" w:name="page275"/>
    <w:bookmarkEnd w:id="274"/>
    <w:p>
      <w:pPr>
        <w:jc w:val="both"/>
        <w:ind w:firstLine="648"/>
        <w:spacing w:after="0" w:line="287" w:lineRule="auto"/>
        <w:rPr>
          <w:sz w:val="20"/>
          <w:szCs w:val="20"/>
          <w:color w:val="auto"/>
        </w:rPr>
      </w:pPr>
      <w:r>
        <w:rPr>
          <w:rFonts w:ascii="Arial" w:cs="Arial" w:eastAsia="Arial" w:hAnsi="Arial"/>
          <w:sz w:val="19"/>
          <w:szCs w:val="19"/>
          <w:color w:val="auto"/>
        </w:rPr>
        <w:t>2.5 “</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except as otherwise provided in an Award in which event such other meaning shall control for Plan purposes, any of the following: (a) 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(b) 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fifty percent (50%) of, respectively, the Shares and the combined voting power entitled to vote generally in the election of directors of the reorganized, merged, amalgamated, or consolidated corporation’s then-outstanding voting securities; or (c) a liquidation or dissolution of the Company, or the sale of all or substantially all of the assets of the Company. 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spacing w:after="0" w:line="200" w:lineRule="exact"/>
        <w:rPr>
          <w:sz w:val="20"/>
          <w:szCs w:val="20"/>
          <w:color w:val="auto"/>
        </w:rPr>
      </w:pPr>
    </w:p>
    <w:p>
      <w:pPr>
        <w:spacing w:after="0" w:line="24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and in effect from time to time, or any successor thereto. Any reference to a section of the Code shall be deemed to include a reference to any regulations or subregulatory guidance promulgated thereunder.</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2.7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of Director of the Company or, if applicable, the governing body, or portion thereof, of any successor entity.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2.8 “</w:t>
      </w:r>
      <w:r>
        <w:rPr>
          <w:rFonts w:ascii="Arial" w:cs="Arial" w:eastAsia="Arial" w:hAnsi="Arial"/>
          <w:sz w:val="22"/>
          <w:szCs w:val="22"/>
          <w:u w:val="single" w:color="auto"/>
          <w:color w:val="auto"/>
        </w:rPr>
        <w:t>Company</w:t>
      </w:r>
      <w:r>
        <w:rPr>
          <w:rFonts w:ascii="Arial" w:cs="Arial" w:eastAsia="Arial" w:hAnsi="Arial"/>
          <w:sz w:val="22"/>
          <w:szCs w:val="22"/>
          <w:color w:val="auto"/>
        </w:rPr>
        <w:t>” means James River Group Holdings, Ltd., an exempted company registered under the laws of Bermuda, or any successor to all or substantially all of its businesses by merger, amalgamation, consolidation, purchase of assets, or otherwise.</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2.9 “</w:t>
      </w:r>
      <w:r>
        <w:rPr>
          <w:rFonts w:ascii="Arial" w:cs="Arial" w:eastAsia="Arial" w:hAnsi="Arial"/>
          <w:sz w:val="21"/>
          <w:szCs w:val="21"/>
          <w:u w:val="single" w:color="auto"/>
          <w:color w:val="auto"/>
        </w:rPr>
        <w:t>Disability</w:t>
      </w:r>
      <w:r>
        <w:rPr>
          <w:rFonts w:ascii="Arial" w:cs="Arial" w:eastAsia="Arial" w:hAnsi="Arial"/>
          <w:sz w:val="21"/>
          <w:szCs w:val="21"/>
          <w:color w:val="auto"/>
        </w:rPr>
        <w:t>” means that a Participant is unable to engage in any substantial gainful activity by reason of a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or disability insurance benefit plan covering Company employees. The determination of whether an individual has a Disability shall be determined under procedures established by the Committee.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all pertinent regulations, rules, and other less formal guidance promulgated thereunder.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820" w:right="339" w:bottom="1440" w:gutter="0" w:footer="0" w:header="0"/>
        </w:sectPr>
      </w:pPr>
    </w:p>
    <w:bookmarkStart w:id="275" w:name="page276"/>
    <w:bookmarkEnd w:id="275"/>
    <w:p>
      <w:pPr>
        <w:jc w:val="both"/>
        <w:ind w:firstLine="648"/>
        <w:spacing w:after="0" w:line="261" w:lineRule="auto"/>
        <w:rPr>
          <w:sz w:val="20"/>
          <w:szCs w:val="20"/>
          <w:color w:val="auto"/>
        </w:rPr>
      </w:pPr>
      <w:r>
        <w:rPr>
          <w:rFonts w:ascii="Arial" w:cs="Arial" w:eastAsia="Arial" w:hAnsi="Arial"/>
          <w:sz w:val="21"/>
          <w:szCs w:val="21"/>
          <w:color w:val="auto"/>
        </w:rPr>
        <w:t>2.11 “</w:t>
      </w:r>
      <w:r>
        <w:rPr>
          <w:rFonts w:ascii="Arial" w:cs="Arial" w:eastAsia="Arial" w:hAnsi="Arial"/>
          <w:sz w:val="21"/>
          <w:szCs w:val="21"/>
          <w:u w:val="single" w:color="auto"/>
          <w:color w:val="auto"/>
        </w:rPr>
        <w:t>Good Reason</w:t>
      </w:r>
      <w:r>
        <w:rPr>
          <w:rFonts w:ascii="Arial" w:cs="Arial" w:eastAsia="Arial" w:hAnsi="Arial"/>
          <w:sz w:val="21"/>
          <w:szCs w:val="21"/>
          <w:color w:val="auto"/>
        </w:rPr>
        <w:t>” means, except as otherwise provided in an Award or in a Participant’s employment agreement with the Company having the same or similar term in which event such other meaning shall control for Plan purposes, the occurrence of one or more of the following without the Participant’s express written consent, which circumstances are not remedied by the Company within thirty (30) days after its receipt of a written notice from the Participant describing the applicable circumstances (which notice must be provided by the Participant within ninety (90) days after the Participant’s knowledge of the applicable circumstances): (a) any material, adverse change in the Participant’s duties, responsibilities, authority, status, or reporting structure; (b) a material reduction in the Participant’s base salary; or (c) a geographical relocation of the Participant’s principal office location by more than fifty (50) miles; provided that, in each case, the Company has failed to cure the circumstance and the Participant actually terminates his or her employment within thirty (30) days following the Company’s thirty (30)-day cure period specified herein.</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Participant</w:t>
      </w:r>
      <w:r>
        <w:rPr>
          <w:rFonts w:ascii="Arial" w:cs="Arial" w:eastAsia="Arial" w:hAnsi="Arial"/>
          <w:sz w:val="22"/>
          <w:szCs w:val="22"/>
          <w:color w:val="auto"/>
        </w:rPr>
        <w:t>” means each of the individuals designated as eligible for participation in the Plan prior to or during a Performance Period in written resolutions or minutes approved and adopted by the Board upon the recommendation of the Committee.</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a calendar year beginning on or after January 1, 2022.</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Retirement Age</w:t>
      </w:r>
      <w:r>
        <w:rPr>
          <w:rFonts w:ascii="Arial" w:cs="Arial" w:eastAsia="Arial" w:hAnsi="Arial"/>
          <w:sz w:val="19"/>
          <w:szCs w:val="19"/>
          <w:color w:val="auto"/>
        </w:rPr>
        <w:t>” the age at which a Participant may be eligible for an Award amount despite a failure to satisfy the Service Condition due to an earlier Separation from Service. The Retirement Age for each Participant shall be the attainment of (i) a minimum of five whole years of employment with the Company, (ii) at least age 50 and (iii) a combined age and whole years of employment with the Company that equals or exceeds 65; provided, however, the Committee in its discretion may establish an earlier retirement age for any Participant by communicating in writing that decision to the Participant.</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2.15 “</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means a termination of a Participant’s employment relationship with the Company where either (a) the Participant has ceased to perform any services for the Company and all affiliated companies that, together with the Company, constitute the “service recipient” within the meaning of Code Section 409A (collectively, the “Service Recipient”) or (b) the level of bona fide services the Participant performs for the Service Recipient after a given date permanently decreases (excluding a decrease as a result of military leave, sick leave, or other bona fide leave of absence if the period of such leave does not exceed six months, or if longer, so long as the Participant retains a right to reemployment with the Service Recipient under an applicable statute or by contract) to no more than twenty percent (20%) of the average level of bona fide services performed for the Service Recipient over the immediately preceding 36-month period (or the full period of service if the Participant has been providing services to the Service Recipient for less than 36 months) that, in either case, constitutes a “separation from service” within the meaning of Code Section 409A.</w:t>
      </w:r>
    </w:p>
    <w:p>
      <w:pPr>
        <w:spacing w:after="0" w:line="178"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2.16 “</w:t>
      </w:r>
      <w:r>
        <w:rPr>
          <w:rFonts w:ascii="Arial" w:cs="Arial" w:eastAsia="Arial" w:hAnsi="Arial"/>
          <w:sz w:val="19"/>
          <w:szCs w:val="19"/>
          <w:u w:val="single" w:color="auto"/>
          <w:color w:val="auto"/>
        </w:rPr>
        <w:t>Service Condition</w:t>
      </w:r>
      <w:r>
        <w:rPr>
          <w:rFonts w:ascii="Arial" w:cs="Arial" w:eastAsia="Arial" w:hAnsi="Arial"/>
          <w:sz w:val="19"/>
          <w:szCs w:val="19"/>
          <w:color w:val="auto"/>
        </w:rPr>
        <w:t>” means, except as provided in Article IV, the precondition to the settlement of any Award requiring a Participant to remain in a material service relationship with the Company through the date the Award is settled.</w:t>
      </w:r>
    </w:p>
    <w:p>
      <w:pPr>
        <w:spacing w:after="0" w:line="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2.17 “</w:t>
      </w:r>
      <w:r>
        <w:rPr>
          <w:rFonts w:ascii="Arial" w:cs="Arial" w:eastAsia="Arial" w:hAnsi="Arial"/>
          <w:sz w:val="22"/>
          <w:szCs w:val="22"/>
          <w:u w:val="single" w:color="auto"/>
          <w:color w:val="auto"/>
        </w:rPr>
        <w:t>Subsidiary</w:t>
      </w:r>
      <w:r>
        <w:rPr>
          <w:rFonts w:ascii="Arial" w:cs="Arial" w:eastAsia="Arial" w:hAnsi="Arial"/>
          <w:sz w:val="22"/>
          <w:szCs w:val="22"/>
          <w:color w:val="auto"/>
        </w:rPr>
        <w:t>” means a “subsidiary corporation,” as that term is defined in Section 424(f) of the Code, or any successor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20" w:right="3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22"/>
          <w:szCs w:val="22"/>
          <w:b w:val="1"/>
          <w:bCs w:val="1"/>
          <w:color w:val="auto"/>
        </w:rPr>
        <w:t>ARTICLE III. ELIGIBILITY, PARTICIPATION AND ADMINISTRATION</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Eligibility</w:t>
      </w:r>
      <w:r>
        <w:rPr>
          <w:rFonts w:ascii="Arial" w:cs="Arial" w:eastAsia="Arial" w:hAnsi="Arial"/>
          <w:sz w:val="21"/>
          <w:szCs w:val="21"/>
          <w:color w:val="auto"/>
        </w:rPr>
        <w:t>. Each individual identified as a Participant pursuant to Section 2.12 shall be a Participant in the Plan for a particular Performance Period. Each Participant shall be provided with notice of his or her eligibility and the terms of the incentive opportunity in such manner as the Committee deems suitable. If an individual becomes a Participant after the first day of the Performance Period pursuant to Section 2.12, unless otherwise specified by the Committee, the Award for any such Participant shall be prorated in the proportion that the number of days the Participant is employed by the Company in his or her eligible position during the Performance Period bears to the number of days in the Performance Period. Once an individual becomes a Participant in the Plan, the Participant shall remain a Participant until the earlier of (a) the date the Committee determines that the Award will not result in any payout, whether by reason of the failure to achieve any of the applicable Performance Criteria (as defined below) at threshold levels, a failure to satisfy the Service Condition, or the early termination of the Plan pursuant to Section 5.9; or (b) the date the Award is settled after it becomes vested and the Committee has determined the extent to which it has been earned.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Administration</w:t>
      </w:r>
      <w:r>
        <w:rPr>
          <w:rFonts w:ascii="Arial" w:cs="Arial" w:eastAsia="Arial" w:hAnsi="Arial"/>
          <w:sz w:val="19"/>
          <w:szCs w:val="19"/>
          <w:color w:val="auto"/>
        </w:rPr>
        <w:t>. The Plan is administered by the Committee. The Committee has full authority in its discretion to determine whether any otherwise qualifying individual becomes a Participant after the first day of a Performance Period. Subject to the provisions of the Plan, the Committee has full and conclusive authority to interpret the Plan; to prescribe, amend, and rescind rules and regulations relating to the Plan; to determine the form of Awards, and to make all other determinations necessary or advisable for the proper administration of the Plan. The Committee’s determinations under the Plan need not be uniform and may be made by it selectively among persons who receive, or are eligible to receive, Awards under the Plan (whether or not such persons are similarly situated). Subject to the approval or ratification of the Board, the Committee’s decisions are final and binding on all Participants and any other interested parties. No member of the Committee shall be subject to individual liability with respect to the Plan or any Awards thereunder.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 AWARDS</w:t>
      </w:r>
    </w:p>
    <w:p>
      <w:pPr>
        <w:spacing w:after="0" w:line="226" w:lineRule="exact"/>
        <w:rPr>
          <w:sz w:val="20"/>
          <w:szCs w:val="20"/>
          <w:color w:val="auto"/>
        </w:rPr>
      </w:pPr>
    </w:p>
    <w:p>
      <w:pPr>
        <w:jc w:val="both"/>
        <w:ind w:right="40" w:firstLine="648"/>
        <w:spacing w:after="0" w:line="293"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Award Opportunity</w:t>
      </w:r>
      <w:r>
        <w:rPr>
          <w:rFonts w:ascii="Arial" w:cs="Arial" w:eastAsia="Arial" w:hAnsi="Arial"/>
          <w:sz w:val="19"/>
          <w:szCs w:val="19"/>
          <w:color w:val="auto"/>
        </w:rPr>
        <w:t>. For each Participant, the Award opportunity shall measure one or more performance criteria as set forth in Appendix 1 and the strategic initiatives (collectively, the “Performance Criteria”) adopted in the written resolutions or minutes approved and adopted by the Board upon the recommendation of the Committee (the “Adopted Resolutions”).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Measurement of the achievement of the Performance Criteria and the amount payable shall be determined in accordance with the Adopted Resolutions.</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Committee is authorized, in its sole discretion, to adjust or modify the calculation of any performance criterion in connection with any one or more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as described in accounting principles and/or in management’s discussion and analysis of financial condition and results of operations appearing in the Company’s annual or other periodic report to shareholders; acquisitions or divestitures; any other specific unusual or nonrecurring events or objectively determinable category thereof; and/or a change in the Company’s fiscal year.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814" w:right="339" w:bottom="1440" w:gutter="0" w:footer="0" w:header="0"/>
        </w:sectPr>
      </w:pPr>
    </w:p>
    <w:bookmarkStart w:id="277" w:name="page278"/>
    <w:bookmarkEnd w:id="277"/>
    <w:p>
      <w:pPr>
        <w:jc w:val="both"/>
        <w:spacing w:after="0" w:line="254" w:lineRule="auto"/>
        <w:rPr>
          <w:sz w:val="20"/>
          <w:szCs w:val="20"/>
          <w:color w:val="auto"/>
        </w:rPr>
      </w:pPr>
      <w:r>
        <w:rPr>
          <w:rFonts w:ascii="Arial" w:cs="Arial" w:eastAsia="Arial" w:hAnsi="Arial"/>
          <w:sz w:val="22"/>
          <w:szCs w:val="22"/>
          <w:color w:val="auto"/>
        </w:rPr>
        <w:t>Upon or following completion of the Performance Period, the degree of achievement of the Performance Criteria shall be determined by the Committee in its discretion though guided by such relevant factual information as may then be available. In evaluating any qualitative Performance Criteria applicable to a Participant, the Committee may consult with those individuals with personal knowledge of the Participant’s performance.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the Committee’s determinations of the extent to which Awards are payable shall be subject to the approval of the Board.</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Eligibility for, Timing and Form of Payment of Award</w:t>
      </w:r>
      <w:r>
        <w:rPr>
          <w:rFonts w:ascii="Arial" w:cs="Arial" w:eastAsia="Arial" w:hAnsi="Arial"/>
          <w:sz w:val="19"/>
          <w:szCs w:val="19"/>
          <w:color w:val="auto"/>
        </w:rPr>
        <w:t>. Except as provided in Sections 4.3 and 4.4, the Participant must achieve at least the threshold level of performance for at least one of the performance criterion for the Performance Period and satisfy the Service Condition to receive any payout that might otherwise be due on account of the level of achievement of the Performance Criteria. Except as provided in Sections 4.3, the cash value of any Award, as determined by the Committee in its sole discretion, that becomes payable shall be paid in the calendar year following the Performance Period, but no later than March 15th of such calendar year. The Award of a Participant who experiences a Separation from Service prior to the date an otherwise earned Award is settled shall be forfeited, except as provided in Sections 4.3 and 4.4. A period of an approved leave of absence shall not affect a Participant’s ability to satisfy the Service Condition.</w:t>
      </w:r>
    </w:p>
    <w:p>
      <w:pPr>
        <w:spacing w:after="0" w:line="16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Qualifying Termination Prior to Settlement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0" w:lineRule="auto"/>
        <w:tabs>
          <w:tab w:leader="none" w:pos="181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If prior to the settlement of Awards for a Performance Period, a Participant experiences a Separation from Service due to (i) the Participant’s involuntary termination of employment without Cause by the Company or the Company’s election not to renew the term of any employment agreement then in effect between the Company and Participant, (ii) the Participant’s resignation with Good Reason, or (iii) the Participant’s attainment of his or her Retirement Age, the Participant shall be eligible to receive an Award despite the failure to satisfy the Service Condition, which Award shall be paid when Awards are otherwise settled in accordance with Section 4.2. Despite the waiver of the Service Condition, the Award shall be payable only if and to the extent the Performance Criteria are achieved measured as of the last day of the Performance Period and determined pursuant to Section 4.1 and the Award shall be prorated in the proportion that the number of days elapsed from the beginning of the Performance Period through the effective date of the Participant’s Separation from Service bears to 365. Notwithstanding the foregoing, if the Participant is party to an employment agreement with the Company at the time of his or her Separation from Service prior to the settlement of Awards, the terms of such employment agreement shall govern whether, the extent to which, and when his or her Award shall be payable, to the extent specifically provided therein.</w:t>
      </w:r>
    </w:p>
    <w:p>
      <w:pPr>
        <w:spacing w:after="0" w:line="152" w:lineRule="exact"/>
        <w:rPr>
          <w:rFonts w:ascii="Arial" w:cs="Arial" w:eastAsia="Arial" w:hAnsi="Arial"/>
          <w:sz w:val="19"/>
          <w:szCs w:val="19"/>
          <w:color w:val="auto"/>
        </w:rPr>
      </w:pPr>
    </w:p>
    <w:p>
      <w:pPr>
        <w:jc w:val="both"/>
        <w:ind w:firstLine="1304"/>
        <w:spacing w:after="0" w:line="293" w:lineRule="auto"/>
        <w:tabs>
          <w:tab w:leader="none" w:pos="182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If prior to the settlement of Awards for a Performance Period, a Participant experiences a Separation from Service due to death or Disability, the Participant (or his or her estate, in the event of death) shall receive an Award despite the failure to satisfy the Service Condition. The Award shall be payable within thirty (30) days following the Separation from Service and determined based on an assumed achievement of all Performance Criteria at “target” levels. If the Participant’s death or Disability occurs prior to expiration of the Performance Period, the Award shall be prorated in the proportion that the number of days elapsed from the beginning of the Performance Period through the effective date of the Participant’s Separation from Service bears to 365. Notwithstanding the foregoing, if the Participant is party to an employment agreement with the Company at the time of his or her Separation from Service prior to the settlement of Awards, the terms of such employment agreement shall govern whether, the extent to which, and when his or her Award shall be payable, to the extent specifically provided therein.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820" w:right="339" w:bottom="1440" w:gutter="0" w:footer="0" w:header="0"/>
        </w:sectPr>
      </w:pPr>
    </w:p>
    <w:bookmarkStart w:id="278" w:name="page279"/>
    <w:bookmarkEnd w:id="278"/>
    <w:p>
      <w:pPr>
        <w:jc w:val="both"/>
        <w:ind w:firstLine="648"/>
        <w:spacing w:after="0" w:line="29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Change in Control Prior to Expiration of the Performance Period</w:t>
      </w:r>
      <w:r>
        <w:rPr>
          <w:rFonts w:ascii="Arial" w:cs="Arial" w:eastAsia="Arial" w:hAnsi="Arial"/>
          <w:sz w:val="19"/>
          <w:szCs w:val="19"/>
          <w:color w:val="auto"/>
        </w:rPr>
        <w:t>. Subject to any earlier termination of the Plan pursuant to Section 5.9, if a Change in Control occurs prior to the settlement of Awards and before a Participant has experienced a Separation from Service and subsequently (a) the Participant is involuntarily terminated without Cause by the Company or as a result of the Company’s election not to renew the term of any employment agreement then in effect between the Company and Participant, or (b) the Participant resigns with Good Reason prior to such payout, then the Participant shall remain entitled to a payout on the date Awards are otherwise settled in accordance with Section 4.2 based on the degree of achievement of the Performance Criteria measured as of the last day of the Performance Period and determined pursuant to Section 4.1 and, if the Separation from Service occurs prior to the expiration of the Performance Period, the Award shall be prorated in the proportion that the number of days elapsed from the beginning of the Performance Period through the effective date of the Separation from Service bears to 365. If a Participant has experienced a type of Separation from Service contemplated by Section 4.3 prior to the Change in Control, the provisions of Section 4.3 shall govern the treatment of the Participant’s Award rather than this Section 4.4, unless the Committee determines otherwise.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MISCELLANEOUS</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Clawback and Noncompete</w:t>
      </w:r>
      <w:r>
        <w:rPr>
          <w:rFonts w:ascii="Arial" w:cs="Arial" w:eastAsia="Arial" w:hAnsi="Arial"/>
          <w:sz w:val="19"/>
          <w:szCs w:val="19"/>
          <w:color w:val="auto"/>
        </w:rPr>
        <w:t>. Notwithstanding any other provisions of this Plan, any Award which is subject to recovery under any law, government regulation, stock exchange listing requirement, or Company policy,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 or otherwise. In addition and notwithstanding any other provisions of this Plan, any Award shall be subject to any noncompete and nonsolicitation provisions under any agreement or policy adopted by the Company, including, without limitation, any such terms providing for immediate termination and forfeiture of an Award if and when a Participant becomes an employee, agent or principal of a competitor without the express written consent of the Company. The actions permitted to be taken by the Committee under this Section is in addition to, and not in lieu of, any and all other rights of the Committee and/or the Company under applicable law and shall apply notwithstanding anything to the contrary in the Plan.</w:t>
      </w:r>
    </w:p>
    <w:p>
      <w:pPr>
        <w:spacing w:after="0" w:line="15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Withholding; Offset</w:t>
      </w:r>
      <w:r>
        <w:rPr>
          <w:rFonts w:ascii="Arial" w:cs="Arial" w:eastAsia="Arial" w:hAnsi="Arial"/>
          <w:sz w:val="21"/>
          <w:szCs w:val="21"/>
          <w:color w:val="auto"/>
        </w:rPr>
        <w:t>. The Company shall deduct from any payment, or otherwise collect from the Participant, any taxes required to be withheld by federal, state, or local governments in connection with any Award. No opinion is expressed nor warranties made as to the effect for federal, state, or local tax purposes of any Award. If at any time prior to any payment a Participant is indebted to the Company, by accepting the Award, a Participant grants the Company the right to offset against the payment amount the amount of the Participant’s indebtedness, but only to the extent such offset is permissible under and would not trigger adverse tax consequences under Code Section 409A.</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Except for payout due to the Participant’s estate as a result of the Participant’s death as contemplated by Section 4.3(b), no Participant shall have the right to make or permit to exist any transfer or hypothecation, whether outright or as security, with or without consideration, voluntary or involuntary, of all or any part of any right, title, or interest in or to an Award until such date as, and only to the extent that, cash or cash equivalents have been paid in settlement of the Award. Any such disposition not made in accordance with this Plan shall be deemed null and void.</w:t>
      </w:r>
    </w:p>
    <w:p>
      <w:pPr>
        <w:spacing w:after="0" w:line="1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Successors</w:t>
      </w:r>
      <w:r>
        <w:rPr>
          <w:rFonts w:ascii="Arial" w:cs="Arial" w:eastAsia="Arial" w:hAnsi="Arial"/>
          <w:sz w:val="22"/>
          <w:szCs w:val="22"/>
          <w:color w:val="auto"/>
        </w:rPr>
        <w:t>. This Plan shall be binding upon and inure to the benefit of the heirs, legal representatives, successors, and permitted assigns of the parties.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820" w:right="339" w:bottom="1440" w:gutter="0" w:footer="0" w:header="0"/>
        </w:sectPr>
      </w:pPr>
    </w:p>
    <w:bookmarkStart w:id="279" w:name="page280"/>
    <w:bookmarkEnd w:id="279"/>
    <w:p>
      <w:pPr>
        <w:jc w:val="both"/>
        <w:ind w:firstLine="648"/>
        <w:spacing w:after="0" w:line="270"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Notice</w:t>
      </w:r>
      <w:r>
        <w:rPr>
          <w:rFonts w:ascii="Arial" w:cs="Arial" w:eastAsia="Arial" w:hAnsi="Arial"/>
          <w:sz w:val="21"/>
          <w:szCs w:val="21"/>
          <w:color w:val="auto"/>
        </w:rPr>
        <w:t>. Except as otherwise specified herein, all notices and other communications under this Plan to a Participant shall be in writing and shall be deemed to have been given if personally delivered or if sent by U.S. mail to the last known address of the Participant as shown by the Company’s personnel records. Notwithstanding the foregoing, by accepting an Award, a Participant hereby consents to the delivery of information via electronic delivery.</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or portion thereof contained in this Plan shall for any reason be held to be invalid, illegal, or unenforceable in any respect, the same shall not invalidate or otherwise affect any other provisions of this Plan, and this Plan shall be construed as if the invalid, illegal, or unenforceable provision or portion thereof had never been contained herein.</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No Right to Continued Retention</w:t>
      </w:r>
      <w:r>
        <w:rPr>
          <w:rFonts w:ascii="Arial" w:cs="Arial" w:eastAsia="Arial" w:hAnsi="Arial"/>
          <w:sz w:val="22"/>
          <w:szCs w:val="22"/>
          <w:color w:val="auto"/>
        </w:rPr>
        <w:t>. Neither the establishment of the Plan nor the grant of an Award hereunder shall be construed as giving any Participant the right to continued service with the Company.</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Interpretation and Code Section 409A</w:t>
      </w:r>
      <w:r>
        <w:rPr>
          <w:rFonts w:ascii="Arial" w:cs="Arial" w:eastAsia="Arial" w:hAnsi="Arial"/>
          <w:sz w:val="19"/>
          <w:szCs w:val="19"/>
          <w:color w:val="auto"/>
        </w:rPr>
        <w:t>. Section headings used herein are for convenience of reference only and shall not be considered in construing this Plan. Sections 1.1 and 1.2 are intended to introduce and summarize the Plan only and shall not apply for purposes of determining a Participant’s rights under the Plan. Awards under the Plan are intended to be exempt from Section 409A of the Code as “short-term deferrals” within the meaning of the Treasury Regulations under Section 409A, but in any event Awards under the Plan are payable on a specified date or upon a Change in Control in compliance with Section 409A, and the Plan shall be interpreted in a manner to be exempt from or otherwise in compliance with Section 409A. Notwithstanding anything herein to the contrary, to the extent applicable, if a Participant is a “specified employee” within the meaning of Section 409A of the Code, and to the extent necessary to avoid the adverse tax consequences under Section 409A of the Code, no portion of any payments hereunder shall be distributed on account of a Separation from Service before the earlier of: (a) the date which is six months following the date of the Participant’s Separation from Service, or (b) the date of death of the Participant. Amounts that would have been paid during the delay will be paid on the first business day following the six month delay.</w:t>
      </w:r>
    </w:p>
    <w:p>
      <w:pPr>
        <w:spacing w:after="0" w:line="1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 The Committee reserves the right to amend or terminate the Plan at any time, provided that no amendment or termination (a) shall deprive a Participant of any Award that is earned up to the date of the amendment or termination, or (b) shall result in the acceleration of any Award payable under the Plan if such acceleration would result in any Participants incurring a tax under Section 409A of the Code.</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Expenses; Funding</w:t>
      </w:r>
      <w:r>
        <w:rPr>
          <w:rFonts w:ascii="Arial" w:cs="Arial" w:eastAsia="Arial" w:hAnsi="Arial"/>
          <w:sz w:val="19"/>
          <w:szCs w:val="19"/>
          <w:color w:val="auto"/>
        </w:rPr>
        <w:t>. All expenses of the Company with respect to the Plan shall be paid by the Company. Nothing contained in the Plan, and no action taken pursuant to its provisions, shall create or be construed to create a trust of any kind or a fiduciary relationship between the Company and any Participant, the Participant’s estate, or any other person. To the extent that a Participant or the Participant’s estate acquires a right to receive a payment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The Plan is not intended to be subject to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820" w:right="339" w:bottom="1440" w:gutter="0" w:footer="0" w:header="0"/>
        </w:sectPr>
      </w:pPr>
    </w:p>
    <w:bookmarkStart w:id="280" w:name="page281"/>
    <w:bookmarkEnd w:id="280"/>
    <w:p>
      <w:pPr>
        <w:jc w:val="both"/>
        <w:ind w:firstLine="648"/>
        <w:spacing w:after="0" w:line="312"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Governing Laws</w:t>
      </w:r>
      <w:r>
        <w:rPr>
          <w:rFonts w:ascii="Arial" w:cs="Arial" w:eastAsia="Arial" w:hAnsi="Arial"/>
          <w:sz w:val="19"/>
          <w:szCs w:val="19"/>
          <w:color w:val="auto"/>
        </w:rPr>
        <w:t>. This Plan shall be construed and enforced in accordance with the internal laws of New York, except for those matters subject to The Companies Act, 1981 of Bermuda (as amended), which shall be governed by such law, without giving effect to principles of conflicts of laws, and construed accordingly, and by applicable provision of federal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820"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0"/>
          <w:szCs w:val="20"/>
          <w:b w:val="1"/>
          <w:bCs w:val="1"/>
          <w:color w:val="auto"/>
        </w:rPr>
        <w:t>Appendix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Criteria</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Award shall consist of the following three equally weighted performance criteria for the Performance Period: (a) Adjusted Company Combined Ratio and, where applicable, Adjusted Segment Combined Ratio; (b) Adjusted EBIT; and (c) successful pursuit, as determined by the Committee, of the strategic initiatives identified in the written resolutions or minutes approved and adopted by the Board upon the recommendation of the Committee (the “Adopted Resolutions”).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For each Participant who is a business segment leader or whose responsibilities are primarily focused on a business segment (as determined by the Committee), the only variation in the Award opportunity from the methodology described above is that the combined ratio performance criterion is determined measuring both the Adjusted Company Combined Ratio and the Adjusted Segment Combined Ratio of the business segment led by that Participant or for which the Participant primarily focuses his or her responsibilities, as determined for the Performance Period in the manner described in the Adopted Resolutions, and apportioning one-half of the weighting attributable to that performance criterion equally between each result.</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For purposes of making computations pursuant the Adopted Resolutions, the following rules apply: (1) only the highest level attained under each performance criterion, as determined by the Committee, is credited towards the amount payable under an Award; (2) for the combined ratio(s) and Adjusted EBIT Performance Criteria, the level of performance achieved between threshold and maximum levels shall be determined by linear interpolation; (3) attainment of a performance level above each maximum level indicated does not increase the payout amount; and (4) the payout at each level, as indicated in the Adopted Resolutions, is apportioned equally among the three Performance Criteria.</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Plan, the following terms used in the Plan have the following meanings: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EBIT</w:t>
      </w:r>
      <w:r>
        <w:rPr>
          <w:rFonts w:ascii="Arial" w:cs="Arial" w:eastAsia="Arial" w:hAnsi="Arial"/>
          <w:sz w:val="20"/>
          <w:szCs w:val="20"/>
          <w:color w:val="auto"/>
        </w:rPr>
        <w:t>” means net income of the Company before income taxes and interest and excluding the portion of favorable or unfavorable prior year reserve development for which the Company’s subsidiaries ceded the risk under retroactive reinsurance agreements and related changes in the amortization of the deferred gain.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Company Combined Ratio</w:t>
      </w:r>
      <w:r>
        <w:rPr>
          <w:rFonts w:ascii="Arial" w:cs="Arial" w:eastAsia="Arial" w:hAnsi="Arial"/>
          <w:sz w:val="20"/>
          <w:szCs w:val="20"/>
          <w:color w:val="auto"/>
        </w:rPr>
        <w:t>” means the combined ratio of the Company reporting on a consolidated basis, calculated prior to the effect of favorable or unfavorable prior year reserve development for which the Company’s subsidiaries ceded the risk under retroactive reinsurance agreements and the related changes in the amortization of the deferred gain.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Segment Combined Ratio</w:t>
      </w:r>
      <w:r>
        <w:rPr>
          <w:rFonts w:ascii="Arial" w:cs="Arial" w:eastAsia="Arial" w:hAnsi="Arial"/>
          <w:sz w:val="20"/>
          <w:szCs w:val="20"/>
          <w:color w:val="auto"/>
        </w:rPr>
        <w:t>” means, for each of the Company’s business segments, the combined ratio calculated prior to the effect of favorable or unfavorable prior year reserve development for which the segment ceded the risk under retroactive reinsurance agreements, if any, and the related changes in the amortization of the deferred gain.</w:t>
      </w:r>
    </w:p>
    <w:p>
      <w:pPr>
        <w:sectPr>
          <w:pgSz w:w="11900" w:h="16838" w:orient="portrait"/>
          <w:cols w:equalWidth="0" w:num="1">
            <w:col w:w="11240"/>
          </w:cols>
          <w:pgMar w:left="320" w:top="886"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JAMES RIVER GROUP HOLDINGS, LTD.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 or Formation</w:t>
            </w:r>
          </w:p>
        </w:tc>
      </w:tr>
      <w:tr>
        <w:trPr>
          <w:trHeight w:val="222"/>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Carolina Re Ltd</w:t>
            </w:r>
          </w:p>
        </w:tc>
        <w:tc>
          <w:tcPr>
            <w:tcW w:w="44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Bermuda</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Falls Lake Fire and Casualty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Falls Lake Insurance Management Company, Inc.</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Falls Lake National Insurance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Franklin Holdings II (Bermuda) Capital Trust I</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Capital Trust I</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Capital Trust II</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Capital Trust III</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Capital Trust IV</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Casualty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Group Holdings UK Limited</w:t>
            </w: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Group, Inc.</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Insurance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Management Company, Inc.</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Richmond Real Estate, LLC</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JRG Reinsurance Company Ltd.</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TPA Services, Inc.</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Stonewood Insurance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bl>
    <w:p>
      <w:pPr>
        <w:sectPr>
          <w:pgSz w:w="11900" w:h="16838" w:orient="portrait"/>
          <w:cols w:equalWidth="0" w:num="1">
            <w:col w:w="11240"/>
          </w:cols>
          <w:pgMar w:left="320" w:top="891" w:right="3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58" w:lineRule="exact"/>
        <w:rPr>
          <w:sz w:val="20"/>
          <w:szCs w:val="20"/>
          <w:color w:val="auto"/>
        </w:rPr>
      </w:pPr>
    </w:p>
    <w:p>
      <w:pPr>
        <w:ind w:left="1260" w:hanging="706"/>
        <w:spacing w:after="0"/>
        <w:tabs>
          <w:tab w:leader="none" w:pos="1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Registration Statement (Form S-3 No. 333-255789) of James River Group Holdings, Ltd., and</w:t>
      </w:r>
    </w:p>
    <w:p>
      <w:pPr>
        <w:spacing w:after="0" w:line="23" w:lineRule="exact"/>
        <w:rPr>
          <w:rFonts w:ascii="Arial" w:cs="Arial" w:eastAsia="Arial" w:hAnsi="Arial"/>
          <w:sz w:val="18"/>
          <w:szCs w:val="18"/>
          <w:color w:val="auto"/>
        </w:rPr>
      </w:pPr>
    </w:p>
    <w:p>
      <w:pPr>
        <w:ind w:left="1260" w:right="580" w:hanging="706"/>
        <w:spacing w:after="0" w:line="247" w:lineRule="auto"/>
        <w:tabs>
          <w:tab w:leader="none" w:pos="1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Registration Statement (Form S-8 Nos. 333-200995, 333-217743, 333-231200, and 333-268114) pertaining to the Amended and Restated Equity Incentive Plan, 2014 Long-Term Incentive Plan, as amended, and 2014 Non-Employee Director Incentive Plan, as amended, of James River Group Holdings, Ltd.;</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of our reports dated February 28, 2023, with respect to the consolidated financial statements and schedules of James River Group Holdings, Ltd. and the effectiveness of internal control over financial reporting of James River Group Holdings, Ltd. included in this Annual Report (Form 10-K) of James River Group Holdings, Ltd.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891" w:right="3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Frank N. D'Orazio, certify that:</w:t>
      </w:r>
    </w:p>
    <w:p>
      <w:pPr>
        <w:spacing w:after="0" w:line="117"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James River Group Holdings, Ltd.;</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N. D'Orazio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7"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James River Group Holdings, Ltd.;</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01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connection with the annual report of James River Group Holdings, Ltd. (the “Company”) on Form 10-K for the period ended December 31, 2022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79" w:lineRule="exact"/>
        <w:rPr>
          <w:sz w:val="20"/>
          <w:szCs w:val="20"/>
          <w:color w:val="auto"/>
        </w:rPr>
      </w:pPr>
    </w:p>
    <w:p>
      <w:pPr>
        <w:ind w:left="640" w:hanging="632"/>
        <w:spacing w:after="0"/>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632"/>
        <w:spacing w:after="0"/>
        <w:tabs>
          <w:tab w:leader="none" w:pos="6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N. D'Orazio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28, 2023</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C. Doran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28,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1)"/>
      <w:numFmt w:val="decimal"/>
      <w:start w:val="3"/>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1)"/>
      <w:numFmt w:val="decimal"/>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1)"/>
      <w:numFmt w:val="decimal"/>
      <w:start w:val="1"/>
    </w:lvl>
  </w:abstractNum>
  <w:abstractNum w:abstractNumId="10">
    <w:nsid w:val="9DAF632"/>
    <w:multiLevelType w:val="hybridMultilevel"/>
    <w:lvl w:ilvl="0">
      <w:lvlJc w:val="left"/>
      <w:lvlText w:val="(%1)"/>
      <w:numFmt w:val="lowerRoman"/>
      <w:start w:val="1"/>
    </w:lvl>
  </w:abstractNum>
  <w:abstractNum w:abstractNumId="11">
    <w:nsid w:val="53299938"/>
    <w:multiLevelType w:val="hybridMultilevel"/>
    <w:lvl w:ilvl="0">
      <w:lvlJc w:val="left"/>
      <w:lvlText w:val="(%1)"/>
      <w:numFmt w:val="lowerRoman"/>
      <w:start w:val="3"/>
    </w:lvl>
  </w:abstractNum>
  <w:abstractNum w:abstractNumId="12">
    <w:nsid w:val="1FBFE8E0"/>
    <w:multiLevelType w:val="hybridMultilevel"/>
    <w:lvl w:ilvl="0">
      <w:lvlJc w:val="left"/>
      <w:lvlText w:val="(%1)"/>
      <w:numFmt w:val="lowerRoman"/>
      <w:start w:val="3"/>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1)"/>
      <w:numFmt w:val="lowerRoman"/>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1)"/>
      <w:numFmt w:val="decimal"/>
      <w:start w:val="1"/>
    </w:lvl>
  </w:abstractNum>
  <w:abstractNum w:abstractNumId="32">
    <w:nsid w:val="39B7AAA2"/>
    <w:multiLevelType w:val="hybridMultilevel"/>
    <w:lvl w:ilvl="0">
      <w:lvlJc w:val="left"/>
      <w:lvlText w:val="(%1)"/>
      <w:numFmt w:val="decimal"/>
      <w:start w:val="1"/>
    </w:lvl>
  </w:abstractNum>
  <w:abstractNum w:abstractNumId="33">
    <w:nsid w:val="2B0D8DBE"/>
    <w:multiLevelType w:val="hybridMultilevel"/>
    <w:lvl w:ilvl="0">
      <w:lvlJc w:val="left"/>
      <w:lvlText w:val="(%1)"/>
      <w:numFmt w:val="decimal"/>
      <w:start w:val="1"/>
    </w:lvl>
  </w:abstractNum>
  <w:abstractNum w:abstractNumId="34">
    <w:nsid w:val="6C80EC70"/>
    <w:multiLevelType w:val="hybridMultilevel"/>
    <w:lvl w:ilvl="0">
      <w:lvlJc w:val="left"/>
      <w:lvlText w:val="(%1)"/>
      <w:numFmt w:val="decimal"/>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1)"/>
      <w:numFmt w:val="decimal"/>
      <w:start w:val="1"/>
    </w:lvl>
  </w:abstractNum>
  <w:abstractNum w:abstractNumId="37">
    <w:nsid w:val="2C27173B"/>
    <w:multiLevelType w:val="hybridMultilevel"/>
    <w:lvl w:ilvl="0">
      <w:lvlJc w:val="left"/>
      <w:lvlText w:val="(%1)"/>
      <w:numFmt w:val="decimal"/>
      <w:start w:val="1"/>
    </w:lvl>
  </w:abstractNum>
  <w:abstractNum w:abstractNumId="38">
    <w:nsid w:val="4C9B0904"/>
    <w:multiLevelType w:val="hybridMultilevel"/>
    <w:lvl w:ilvl="0">
      <w:lvlJc w:val="left"/>
      <w:lvlText w:val="(%1)"/>
      <w:numFmt w:val="decimal"/>
      <w:start w:val="1"/>
    </w:lvl>
  </w:abstractNum>
  <w:abstractNum w:abstractNumId="39">
    <w:nsid w:val="6AA7B75C"/>
    <w:multiLevelType w:val="hybridMultilevel"/>
    <w:lvl w:ilvl="0">
      <w:lvlJc w:val="left"/>
      <w:lvlText w:val="•"/>
      <w:numFmt w:val="bullet"/>
      <w:start w:val="1"/>
    </w:lvl>
  </w:abstractNum>
  <w:abstractNum w:abstractNumId="40">
    <w:nsid w:val="1DF029D3"/>
    <w:multiLevelType w:val="hybridMultilevel"/>
    <w:lvl w:ilvl="0">
      <w:lvlJc w:val="left"/>
      <w:lvlText w:val="•"/>
      <w:numFmt w:val="bullet"/>
      <w:start w:val="1"/>
    </w:lvl>
  </w:abstractNum>
  <w:abstractNum w:abstractNumId="41">
    <w:nsid w:val="5675FF36"/>
    <w:multiLevelType w:val="hybridMultilevel"/>
    <w:lvl w:ilvl="0">
      <w:lvlJc w:val="left"/>
      <w:lvlText w:val="(%1)"/>
      <w:numFmt w:val="decimal"/>
      <w:start w:val="1"/>
    </w:lvl>
  </w:abstractNum>
  <w:abstractNum w:abstractNumId="42">
    <w:nsid w:val="3DD15094"/>
    <w:multiLevelType w:val="hybridMultilevel"/>
    <w:lvl w:ilvl="0">
      <w:lvlJc w:val="left"/>
      <w:lvlText w:val="(%1)"/>
      <w:numFmt w:val="lowerLetter"/>
      <w:start w:val="1"/>
    </w:lvl>
  </w:abstractNum>
  <w:abstractNum w:abstractNumId="43">
    <w:nsid w:val="3DB012B3"/>
    <w:multiLevelType w:val="hybridMultilevel"/>
    <w:lvl w:ilvl="0">
      <w:lvlJc w:val="left"/>
      <w:lvlText w:val="*"/>
      <w:numFmt w:val="bullet"/>
      <w:start w:val="1"/>
    </w:lvl>
    <w:lvl w:ilvl="1">
      <w:lvlJc w:val="left"/>
      <w:lvlText w:val="%2"/>
      <w:numFmt w:val="decimal"/>
      <w:start w:val="104"/>
    </w:lvl>
  </w:abstractNum>
  <w:abstractNum w:abstractNumId="44">
    <w:nsid w:val="2708C9AF"/>
    <w:multiLevelType w:val="hybridMultilevel"/>
    <w:lvl w:ilvl="0">
      <w:lvlJc w:val="left"/>
      <w:lvlText w:val="+"/>
      <w:numFmt w:val="bullet"/>
      <w:start w:val="1"/>
    </w:lvl>
  </w:abstractNum>
  <w:abstractNum w:abstractNumId="45">
    <w:nsid w:val="5B25ACE2"/>
    <w:multiLevelType w:val="hybridMultilevel"/>
    <w:lvl w:ilvl="0">
      <w:lvlJc w:val="left"/>
      <w:lvlText w:val="(%1)"/>
      <w:numFmt w:val="decimal"/>
      <w:start w:val="2"/>
    </w:lvl>
  </w:abstractNum>
  <w:abstractNum w:abstractNumId="46">
    <w:nsid w:val="175DFCF0"/>
    <w:multiLevelType w:val="hybridMultilevel"/>
    <w:lvl w:ilvl="0">
      <w:lvlJc w:val="left"/>
      <w:lvlText w:val="(%1)"/>
      <w:numFmt w:val="lowerLetter"/>
      <w:start w:val="1"/>
    </w:lvl>
  </w:abstractNum>
  <w:abstractNum w:abstractNumId="47">
    <w:nsid w:val="4F97E3E4"/>
    <w:multiLevelType w:val="hybridMultilevel"/>
    <w:lvl w:ilvl="0">
      <w:lvlJc w:val="left"/>
      <w:lvlText w:val="%1."/>
      <w:numFmt w:val="decimal"/>
      <w:start w:val="1"/>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1."/>
      <w:numFmt w:val="decimal"/>
      <w:start w:val="2"/>
    </w:lvl>
  </w:abstractNum>
  <w:abstractNum w:abstractNumId="50">
    <w:nsid w:val="5915FF32"/>
    <w:multiLevelType w:val="hybridMultilevel"/>
    <w:lvl w:ilvl="0">
      <w:lvlJc w:val="left"/>
      <w:lvlText w:val="(%1)"/>
      <w:numFmt w:val="lowerLetter"/>
      <w:start w:val="1"/>
    </w:lvl>
  </w:abstractNum>
  <w:abstractNum w:abstractNumId="51">
    <w:nsid w:val="56438D15"/>
    <w:multiLevelType w:val="hybridMultilevel"/>
    <w:lvl w:ilvl="0">
      <w:lvlJc w:val="left"/>
      <w:lvlText w:val="(%1)"/>
      <w:numFmt w:val="lowerLetter"/>
      <w:start w:val="3"/>
    </w:lvl>
  </w:abstractNum>
  <w:abstractNum w:abstractNumId="52">
    <w:nsid w:val="519E3149"/>
    <w:multiLevelType w:val="hybridMultilevel"/>
    <w:lvl w:ilvl="0">
      <w:lvlJc w:val="left"/>
      <w:lvlText w:val="%1."/>
      <w:numFmt w:val="decimal"/>
      <w:start w:val="3"/>
    </w:lvl>
  </w:abstractNum>
  <w:abstractNum w:abstractNumId="53">
    <w:nsid w:val="2C6E4AFD"/>
    <w:multiLevelType w:val="hybridMultilevel"/>
    <w:lvl w:ilvl="0">
      <w:lvlJc w:val="left"/>
      <w:lvlText w:val="%1."/>
      <w:numFmt w:val="decimal"/>
      <w:start w:val="5"/>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
      <w:numFmt w:val="bullet"/>
      <w:start w:val="1"/>
    </w:lvl>
  </w:abstractNum>
  <w:abstractNum w:abstractNumId="56">
    <w:nsid w:val="5046B5A9"/>
    <w:multiLevelType w:val="hybridMultilevel"/>
    <w:lvl w:ilvl="0">
      <w:lvlJc w:val="left"/>
      <w:lvlText w:val="•"/>
      <w:numFmt w:val="bullet"/>
      <w:start w:val="1"/>
    </w:lvl>
  </w:abstractNum>
  <w:abstractNum w:abstractNumId="57">
    <w:nsid w:val="5D888A08"/>
    <w:multiLevelType w:val="hybridMultilevel"/>
    <w:lvl w:ilvl="0">
      <w:lvlJc w:val="left"/>
      <w:lvlText w:val="%1."/>
      <w:numFmt w:val="decimal"/>
      <w:start w:val="11"/>
    </w:lvl>
  </w:abstractNum>
  <w:abstractNum w:abstractNumId="58">
    <w:nsid w:val="2A082C70"/>
    <w:multiLevelType w:val="hybridMultilevel"/>
    <w:lvl w:ilvl="0">
      <w:lvlJc w:val="left"/>
      <w:lvlText w:val="•"/>
      <w:numFmt w:val="bullet"/>
      <w:start w:val="1"/>
    </w:lvl>
  </w:abstractNum>
  <w:abstractNum w:abstractNumId="59">
    <w:nsid w:val="5EC6AFD4"/>
    <w:multiLevelType w:val="hybridMultilevel"/>
    <w:lvl w:ilvl="0">
      <w:lvlJc w:val="left"/>
      <w:lvlText w:val="(%1)"/>
      <w:numFmt w:val="decimal"/>
      <w:start w:val="1"/>
    </w:lvl>
  </w:abstractNum>
  <w:abstractNum w:abstractNumId="60">
    <w:nsid w:val="19E21BB2"/>
    <w:multiLevelType w:val="hybridMultilevel"/>
    <w:lvl w:ilvl="0">
      <w:lvlJc w:val="left"/>
      <w:lvlText w:val="%1."/>
      <w:numFmt w:val="decimal"/>
      <w:start w:val="1"/>
    </w:lvl>
  </w:abstractNum>
  <w:abstractNum w:abstractNumId="61">
    <w:nsid w:val="75E0858A"/>
    <w:multiLevelType w:val="hybridMultilevel"/>
    <w:lvl w:ilvl="0">
      <w:lvlJc w:val="left"/>
      <w:lvlText w:val="%1."/>
      <w:numFmt w:val="decimal"/>
      <w:start w:val="1"/>
    </w:lvl>
  </w:abstractNum>
  <w:abstractNum w:abstractNumId="62">
    <w:nsid w:val="57A61A29"/>
    <w:multiLevelType w:val="hybridMultilevel"/>
    <w:lvl w:ilvl="0">
      <w:lvlJc w:val="left"/>
      <w:lvlText w:val="%1."/>
      <w:numFmt w:val="decimal"/>
      <w:start w:val="2"/>
    </w:lvl>
  </w:abstractNum>
  <w:abstractNum w:abstractNumId="63">
    <w:nsid w:val="5399C654"/>
    <w:multiLevelType w:val="hybridMultilevel"/>
    <w:lvl w:ilvl="0">
      <w:lvlJc w:val="left"/>
      <w:lvlText w:val="%1."/>
      <w:numFmt w:val="decimal"/>
      <w:start w:val="11"/>
    </w:lvl>
  </w:abstractNum>
  <w:abstractNum w:abstractNumId="64">
    <w:nsid w:val="20EE1348"/>
    <w:multiLevelType w:val="hybridMultilevel"/>
    <w:lvl w:ilvl="0">
      <w:lvlJc w:val="left"/>
      <w:lvlText w:val="%1."/>
      <w:numFmt w:val="decimal"/>
      <w:start w:val="15"/>
    </w:lvl>
  </w:abstractNum>
  <w:abstractNum w:abstractNumId="65">
    <w:nsid w:val="4427069A"/>
    <w:multiLevelType w:val="hybridMultilevel"/>
    <w:lvl w:ilvl="0">
      <w:lvlJc w:val="left"/>
      <w:lvlText w:val="%1."/>
      <w:numFmt w:val="decimal"/>
      <w:start w:val="30"/>
    </w:lvl>
  </w:abstractNum>
  <w:abstractNum w:abstractNumId="66">
    <w:nsid w:val="B37E80A"/>
    <w:multiLevelType w:val="hybridMultilevel"/>
    <w:lvl w:ilvl="0">
      <w:lvlJc w:val="left"/>
      <w:lvlText w:val="%1."/>
      <w:numFmt w:val="decimal"/>
      <w:start w:val="1"/>
    </w:lvl>
  </w:abstractNum>
  <w:abstractNum w:abstractNumId="67">
    <w:nsid w:val="2157F6BC"/>
    <w:multiLevelType w:val="hybridMultilevel"/>
    <w:lvl w:ilvl="0">
      <w:lvlJc w:val="left"/>
      <w:lvlText w:val="(%1)"/>
      <w:numFmt w:val="lowerLetter"/>
      <w:start w:val="1"/>
    </w:lvl>
    <w:lvl w:ilvl="1">
      <w:lvlJc w:val="left"/>
      <w:lvlText w:val="(%2)"/>
      <w:numFmt w:val="lowerRoman"/>
      <w:start w:val="1"/>
    </w:lvl>
  </w:abstractNum>
  <w:abstractNum w:abstractNumId="68">
    <w:nsid w:val="704E1DD5"/>
    <w:multiLevelType w:val="hybridMultilevel"/>
    <w:lvl w:ilvl="0">
      <w:lvlJc w:val="left"/>
      <w:lvlText w:val="(%1)"/>
      <w:numFmt w:val="lowerLetter"/>
      <w:start w:val="6"/>
    </w:lvl>
  </w:abstractNum>
  <w:abstractNum w:abstractNumId="69">
    <w:nsid w:val="57D2F10E"/>
    <w:multiLevelType w:val="hybridMultilevel"/>
    <w:lvl w:ilvl="0">
      <w:lvlJc w:val="left"/>
      <w:lvlText w:val="%1."/>
      <w:numFmt w:val="decimal"/>
      <w:start w:val="2"/>
    </w:lvl>
  </w:abstractNum>
  <w:abstractNum w:abstractNumId="70">
    <w:nsid w:val="BFFAE18"/>
    <w:multiLevelType w:val="hybridMultilevel"/>
    <w:lvl w:ilvl="0">
      <w:lvlJc w:val="left"/>
      <w:lvlText w:val="%1."/>
      <w:numFmt w:val="decimal"/>
      <w:start w:val="4"/>
    </w:lvl>
    <w:lvl w:ilvl="1">
      <w:lvlJc w:val="left"/>
      <w:lvlText w:val="(%2)"/>
      <w:numFmt w:val="lowerLetter"/>
      <w:start w:val="1"/>
    </w:lvl>
  </w:abstractNum>
  <w:abstractNum w:abstractNumId="71">
    <w:nsid w:val="E3E47A8"/>
    <w:multiLevelType w:val="hybridMultilevel"/>
    <w:lvl w:ilvl="0">
      <w:lvlJc w:val="left"/>
      <w:lvlText w:val="(%1)"/>
      <w:numFmt w:val="lowerLetter"/>
      <w:start w:val="1"/>
    </w:lvl>
  </w:abstractNum>
  <w:abstractNum w:abstractNumId="72">
    <w:nsid w:val="2E48F044"/>
    <w:multiLevelType w:val="hybridMultilevel"/>
    <w:lvl w:ilvl="0">
      <w:lvlJc w:val="left"/>
      <w:lvlText w:val="(%1)"/>
      <w:numFmt w:val="lowerLetter"/>
      <w:start w:val="7"/>
    </w:lvl>
  </w:abstractNum>
  <w:abstractNum w:abstractNumId="73">
    <w:nsid w:val="49D0FEAC"/>
    <w:multiLevelType w:val="hybridMultilevel"/>
    <w:lvl w:ilvl="0">
      <w:lvlJc w:val="left"/>
      <w:lvlText w:val="%1."/>
      <w:numFmt w:val="decimal"/>
      <w:start w:val="5"/>
    </w:lvl>
  </w:abstractNum>
  <w:abstractNum w:abstractNumId="74">
    <w:nsid w:val="4BEE5A5B"/>
    <w:multiLevelType w:val="hybridMultilevel"/>
    <w:lvl w:ilvl="0">
      <w:lvlJc w:val="left"/>
      <w:lvlText w:val="%1."/>
      <w:numFmt w:val="decimal"/>
      <w:start w:val="8"/>
    </w:lvl>
  </w:abstractNum>
  <w:abstractNum w:abstractNumId="75">
    <w:nsid w:val="5551B9F3"/>
    <w:multiLevelType w:val="hybridMultilevel"/>
    <w:lvl w:ilvl="0">
      <w:lvlJc w:val="left"/>
      <w:lvlText w:val="%1."/>
      <w:numFmt w:val="decimal"/>
      <w:start w:val="9"/>
    </w:lvl>
    <w:lvl w:ilvl="1">
      <w:lvlJc w:val="left"/>
      <w:lvlText w:val="(%2)"/>
      <w:numFmt w:val="lowerLetter"/>
      <w:start w:val="1"/>
    </w:lvl>
  </w:abstractNum>
  <w:abstractNum w:abstractNumId="76">
    <w:nsid w:val="24F6AB8E"/>
    <w:multiLevelType w:val="hybridMultilevel"/>
    <w:lvl w:ilvl="0">
      <w:lvlJc w:val="left"/>
      <w:lvlText w:val="%1."/>
      <w:numFmt w:val="decimal"/>
      <w:start w:val="10"/>
    </w:lvl>
  </w:abstractNum>
  <w:abstractNum w:abstractNumId="77">
    <w:nsid w:val="634C574C"/>
    <w:multiLevelType w:val="hybridMultilevel"/>
    <w:lvl w:ilvl="0">
      <w:lvlJc w:val="left"/>
      <w:lvlText w:val="%1."/>
      <w:numFmt w:val="decimal"/>
      <w:start w:val="11"/>
    </w:lvl>
  </w:abstractNum>
  <w:abstractNum w:abstractNumId="78">
    <w:nsid w:val="24E99DD7"/>
    <w:multiLevelType w:val="hybridMultilevel"/>
    <w:lvl w:ilvl="0">
      <w:lvlJc w:val="left"/>
      <w:lvlText w:val="%1."/>
      <w:numFmt w:val="decimal"/>
      <w:start w:val="14"/>
    </w:lvl>
  </w:abstractNum>
  <w:abstractNum w:abstractNumId="79">
    <w:nsid w:val="2A31B62D"/>
    <w:multiLevelType w:val="hybridMultilevel"/>
    <w:lvl w:ilvl="0">
      <w:lvlJc w:val="left"/>
      <w:lvlText w:val="%1."/>
      <w:numFmt w:val="decimal"/>
      <w:start w:val="15"/>
    </w:lvl>
  </w:abstractNum>
  <w:abstractNum w:abstractNumId="80">
    <w:nsid w:val="1849C29B"/>
    <w:multiLevelType w:val="hybridMultilevel"/>
    <w:lvl w:ilvl="0">
      <w:lvlJc w:val="left"/>
      <w:lvlText w:val="%1."/>
      <w:numFmt w:val="decimal"/>
      <w:start w:val="17"/>
    </w:lvl>
  </w:abstractNum>
  <w:abstractNum w:abstractNumId="81">
    <w:nsid w:val="7DFF9D09"/>
    <w:multiLevelType w:val="hybridMultilevel"/>
    <w:lvl w:ilvl="0">
      <w:lvlJc w:val="left"/>
      <w:lvlText w:val="%1."/>
      <w:numFmt w:val="decimal"/>
      <w:start w:val="19"/>
    </w:lvl>
  </w:abstractNum>
  <w:abstractNum w:abstractNumId="82">
    <w:nsid w:val="754342"/>
    <w:multiLevelType w:val="hybridMultilevel"/>
    <w:lvl w:ilvl="0">
      <w:lvlJc w:val="left"/>
      <w:lvlText w:val="%1."/>
      <w:numFmt w:val="decimal"/>
      <w:start w:val="20"/>
    </w:lvl>
  </w:abstractNum>
  <w:abstractNum w:abstractNumId="83">
    <w:nsid w:val="69E7F3E5"/>
    <w:multiLevelType w:val="hybridMultilevel"/>
    <w:lvl w:ilvl="0">
      <w:lvlJc w:val="left"/>
      <w:lvlText w:val="%1."/>
      <w:numFmt w:val="decimal"/>
      <w:start w:val="22"/>
    </w:lvl>
  </w:abstractNum>
  <w:abstractNum w:abstractNumId="84">
    <w:nsid w:val="2A6DE806"/>
    <w:multiLevelType w:val="hybridMultilevel"/>
    <w:lvl w:ilvl="0">
      <w:lvlJc w:val="left"/>
      <w:lvlText w:val="%1."/>
      <w:numFmt w:val="decimal"/>
      <w:start w:val="23"/>
    </w:lvl>
  </w:abstractNum>
  <w:abstractNum w:abstractNumId="85">
    <w:nsid w:val="1816F8C4"/>
    <w:multiLevelType w:val="hybridMultilevel"/>
    <w:lvl w:ilvl="0">
      <w:lvlJc w:val="left"/>
      <w:lvlText w:val="%1."/>
      <w:numFmt w:val="decimal"/>
      <w:start w:val="24"/>
    </w:lvl>
    <w:lvl w:ilvl="1">
      <w:lvlJc w:val="left"/>
      <w:lvlText w:val="(%2)"/>
      <w:numFmt w:val="lowerLetter"/>
      <w:start w:val="1"/>
    </w:lvl>
  </w:abstractNum>
  <w:abstractNum w:abstractNumId="86">
    <w:nsid w:val="37DF2233"/>
    <w:multiLevelType w:val="hybridMultilevel"/>
    <w:lvl w:ilvl="0">
      <w:lvlJc w:val="left"/>
      <w:lvlText w:val="(%1)"/>
      <w:numFmt w:val="lowerLetter"/>
      <w:start w:val="3"/>
    </w:lvl>
  </w:abstractNum>
  <w:abstractNum w:abstractNumId="87">
    <w:nsid w:val="7AB49DAF"/>
    <w:multiLevelType w:val="hybridMultilevel"/>
    <w:lvl w:ilvl="0">
      <w:lvlJc w:val="left"/>
      <w:lvlText w:val="%1."/>
      <w:numFmt w:val="decimal"/>
      <w:start w:val="26"/>
    </w:lvl>
    <w:lvl w:ilvl="1">
      <w:lvlJc w:val="left"/>
      <w:lvlText w:val="(%2)"/>
      <w:numFmt w:val="lowerLetter"/>
      <w:start w:val="1"/>
    </w:lvl>
  </w:abstractNum>
  <w:abstractNum w:abstractNumId="88">
    <w:nsid w:val="759F82CD"/>
    <w:multiLevelType w:val="hybridMultilevel"/>
    <w:lvl w:ilvl="0">
      <w:lvlJc w:val="left"/>
      <w:lvlText w:val="(%1)"/>
      <w:numFmt w:val="lowerLetter"/>
      <w:start w:val="3"/>
    </w:lvl>
    <w:lvl w:ilvl="1">
      <w:lvlJc w:val="left"/>
      <w:lvlText w:val="(%2)"/>
      <w:numFmt w:val="lowerRoman"/>
      <w:start w:val="1"/>
    </w:lvl>
  </w:abstractNum>
  <w:abstractNum w:abstractNumId="89">
    <w:nsid w:val="61E74EA3"/>
    <w:multiLevelType w:val="hybridMultilevel"/>
    <w:lvl w:ilvl="0">
      <w:lvlJc w:val="left"/>
      <w:lvlText w:val="(%1)"/>
      <w:numFmt w:val="lowerLetter"/>
      <w:start w:val="5"/>
    </w:lvl>
  </w:abstractNum>
  <w:abstractNum w:abstractNumId="90">
    <w:nsid w:val="597B4D84"/>
    <w:multiLevelType w:val="hybridMultilevel"/>
    <w:lvl w:ilvl="0">
      <w:lvlJc w:val="left"/>
      <w:lvlText w:val="(%1)"/>
      <w:numFmt w:val="lowerLetter"/>
      <w:start w:val="1"/>
    </w:lvl>
  </w:abstractNum>
  <w:abstractNum w:abstractNumId="91">
    <w:nsid w:val="F819E7F"/>
    <w:multiLevelType w:val="hybridMultilevel"/>
    <w:lvl w:ilvl="0">
      <w:lvlJc w:val="left"/>
      <w:lvlText w:val="(%1)"/>
      <w:numFmt w:val="lowerLetter"/>
      <w:start w:val="1"/>
    </w:lvl>
  </w:abstractNum>
  <w:abstractNum w:abstractNumId="92">
    <w:nsid w:val="57C7D42D"/>
    <w:multiLevelType w:val="hybridMultilevel"/>
    <w:lvl w:ilvl="0">
      <w:lvlJc w:val="left"/>
      <w:lvlText w:val="%1."/>
      <w:numFmt w:val="decimal"/>
      <w:start w:val="27"/>
    </w:lvl>
  </w:abstractNum>
  <w:abstractNum w:abstractNumId="93">
    <w:nsid w:val="312167AD"/>
    <w:multiLevelType w:val="hybridMultilevel"/>
    <w:lvl w:ilvl="0">
      <w:lvlJc w:val="left"/>
      <w:lvlText w:val="%1."/>
      <w:numFmt w:val="decimal"/>
      <w:start w:val="28"/>
    </w:lvl>
  </w:abstractNum>
  <w:abstractNum w:abstractNumId="94">
    <w:nsid w:val="631B64D4"/>
    <w:multiLevelType w:val="hybridMultilevel"/>
    <w:lvl w:ilvl="0">
      <w:lvlJc w:val="left"/>
      <w:lvlText w:val="%1."/>
      <w:numFmt w:val="decimal"/>
      <w:start w:val="31"/>
    </w:lvl>
    <w:lvl w:ilvl="1">
      <w:lvlJc w:val="left"/>
      <w:lvlText w:val="(%2)"/>
      <w:numFmt w:val="lowerLetter"/>
      <w:start w:val="1"/>
    </w:lvl>
  </w:abstractNum>
  <w:abstractNum w:abstractNumId="95">
    <w:nsid w:val="78B5E776"/>
    <w:multiLevelType w:val="hybridMultilevel"/>
    <w:lvl w:ilvl="0">
      <w:lvlJc w:val="left"/>
      <w:lvlText w:val="%1."/>
      <w:numFmt w:val="decimal"/>
      <w:start w:val="34"/>
    </w:lvl>
  </w:abstractNum>
  <w:abstractNum w:abstractNumId="96">
    <w:nsid w:val="75486E47"/>
    <w:multiLevelType w:val="hybridMultilevel"/>
    <w:lvl w:ilvl="0">
      <w:lvlJc w:val="left"/>
      <w:lvlText w:val="%1."/>
      <w:numFmt w:val="decimal"/>
      <w:start w:val="35"/>
    </w:lvl>
  </w:abstractNum>
  <w:abstractNum w:abstractNumId="97">
    <w:nsid w:val="6E534CDE"/>
    <w:multiLevelType w:val="hybridMultilevel"/>
    <w:lvl w:ilvl="0">
      <w:lvlJc w:val="left"/>
      <w:lvlText w:val="%1."/>
      <w:numFmt w:val="decimal"/>
      <w:start w:val="36"/>
    </w:lvl>
    <w:lvl w:ilvl="1">
      <w:lvlJc w:val="left"/>
      <w:lvlText w:val="(%2)"/>
      <w:numFmt w:val="lowerLetter"/>
      <w:start w:val="1"/>
    </w:lvl>
  </w:abstractNum>
  <w:abstractNum w:abstractNumId="98">
    <w:nsid w:val="1A0DDE32"/>
    <w:multiLevelType w:val="hybridMultilevel"/>
    <w:lvl w:ilvl="0">
      <w:lvlJc w:val="left"/>
      <w:lvlText w:val="%1."/>
      <w:numFmt w:val="decimal"/>
      <w:start w:val="38"/>
    </w:lvl>
  </w:abstractNum>
  <w:abstractNum w:abstractNumId="99">
    <w:nsid w:val="65968C1C"/>
    <w:multiLevelType w:val="hybridMultilevel"/>
    <w:lvl w:ilvl="0">
      <w:lvlJc w:val="left"/>
      <w:lvlText w:val="%1."/>
      <w:numFmt w:val="decimal"/>
      <w:start w:val="39"/>
    </w:lvl>
  </w:abstractNum>
  <w:abstractNum w:abstractNumId="100">
    <w:nsid w:val="46263DEC"/>
    <w:multiLevelType w:val="hybridMultilevel"/>
    <w:lvl w:ilvl="0">
      <w:lvlJc w:val="left"/>
      <w:lvlText w:val="%1."/>
      <w:numFmt w:val="decimal"/>
      <w:start w:val="42"/>
    </w:lvl>
  </w:abstractNum>
  <w:abstractNum w:abstractNumId="101">
    <w:nsid w:val="260D8C4A"/>
    <w:multiLevelType w:val="hybridMultilevel"/>
    <w:lvl w:ilvl="0">
      <w:lvlJc w:val="left"/>
      <w:lvlText w:val="%1."/>
      <w:numFmt w:val="decimal"/>
      <w:start w:val="44"/>
    </w:lvl>
    <w:lvl w:ilvl="1">
      <w:lvlJc w:val="left"/>
      <w:lvlText w:val="(%2)"/>
      <w:numFmt w:val="lowerLetter"/>
      <w:start w:val="1"/>
    </w:lvl>
  </w:abstractNum>
  <w:abstractNum w:abstractNumId="102">
    <w:nsid w:val="73D4D3C4"/>
    <w:multiLevelType w:val="hybridMultilevel"/>
    <w:lvl w:ilvl="0">
      <w:lvlJc w:val="left"/>
      <w:lvlText w:val="%1."/>
      <w:numFmt w:val="decimal"/>
      <w:start w:val="45"/>
    </w:lvl>
  </w:abstractNum>
  <w:abstractNum w:abstractNumId="103">
    <w:nsid w:val="746F2E30"/>
    <w:multiLevelType w:val="hybridMultilevel"/>
    <w:lvl w:ilvl="0">
      <w:lvlJc w:val="left"/>
      <w:lvlText w:val="%1."/>
      <w:numFmt w:val="decimal"/>
      <w:start w:val="46"/>
    </w:lvl>
  </w:abstractNum>
  <w:abstractNum w:abstractNumId="104">
    <w:nsid w:val="6FDE8AF6"/>
    <w:multiLevelType w:val="hybridMultilevel"/>
    <w:lvl w:ilvl="0">
      <w:lvlJc w:val="left"/>
      <w:lvlText w:val="%1."/>
      <w:numFmt w:val="decimal"/>
      <w:start w:val="47"/>
    </w:lvl>
  </w:abstractNum>
  <w:abstractNum w:abstractNumId="105">
    <w:nsid w:val="3FC32E20"/>
    <w:multiLevelType w:val="hybridMultilevel"/>
    <w:lvl w:ilvl="0">
      <w:lvlJc w:val="left"/>
      <w:lvlText w:val="%1."/>
      <w:numFmt w:val="decimal"/>
      <w:start w:val="48"/>
    </w:lvl>
  </w:abstractNum>
  <w:abstractNum w:abstractNumId="106">
    <w:nsid w:val="49C0E823"/>
    <w:multiLevelType w:val="hybridMultilevel"/>
    <w:lvl w:ilvl="0">
      <w:lvlJc w:val="left"/>
      <w:lvlText w:val="(%1)"/>
      <w:numFmt w:val="lowerLetter"/>
      <w:start w:val="1"/>
    </w:lvl>
  </w:abstractNum>
  <w:abstractNum w:abstractNumId="107">
    <w:nsid w:val="14D53685"/>
    <w:multiLevelType w:val="hybridMultilevel"/>
    <w:lvl w:ilvl="0">
      <w:lvlJc w:val="left"/>
      <w:lvlText w:val="%1."/>
      <w:numFmt w:val="decimal"/>
      <w:start w:val="49"/>
    </w:lvl>
  </w:abstractNum>
  <w:abstractNum w:abstractNumId="108">
    <w:nsid w:val="230F856C"/>
    <w:multiLevelType w:val="hybridMultilevel"/>
    <w:lvl w:ilvl="0">
      <w:lvlJc w:val="left"/>
      <w:lvlText w:val="%1."/>
      <w:numFmt w:val="decimal"/>
      <w:start w:val="52"/>
    </w:lvl>
  </w:abstractNum>
  <w:abstractNum w:abstractNumId="109">
    <w:nsid w:val="6EAA85FB"/>
    <w:multiLevelType w:val="hybridMultilevel"/>
    <w:lvl w:ilvl="0">
      <w:lvlJc w:val="left"/>
      <w:lvlText w:val="%1."/>
      <w:numFmt w:val="decimal"/>
      <w:start w:val="53"/>
    </w:lvl>
  </w:abstractNum>
  <w:abstractNum w:abstractNumId="110">
    <w:nsid w:val="3F06ECB2"/>
    <w:multiLevelType w:val="hybridMultilevel"/>
    <w:lvl w:ilvl="0">
      <w:lvlJc w:val="left"/>
      <w:lvlText w:val="%1."/>
      <w:numFmt w:val="decimal"/>
      <w:start w:val="54"/>
    </w:lvl>
  </w:abstractNum>
  <w:abstractNum w:abstractNumId="111">
    <w:nsid w:val="3B594807"/>
    <w:multiLevelType w:val="hybridMultilevel"/>
    <w:lvl w:ilvl="0">
      <w:lvlJc w:val="left"/>
      <w:lvlText w:val="%1."/>
      <w:numFmt w:val="decimal"/>
      <w:start w:val="56"/>
    </w:lvl>
  </w:abstractNum>
  <w:abstractNum w:abstractNumId="112">
    <w:nsid w:val="6CAA2304"/>
    <w:multiLevelType w:val="hybridMultilevel"/>
    <w:lvl w:ilvl="0">
      <w:lvlJc w:val="left"/>
      <w:lvlText w:val="%1."/>
      <w:numFmt w:val="decimal"/>
      <w:start w:val="57"/>
    </w:lvl>
  </w:abstractNum>
  <w:abstractNum w:abstractNumId="113">
    <w:nsid w:val="3F7C2FF4"/>
    <w:multiLevelType w:val="hybridMultilevel"/>
    <w:lvl w:ilvl="0">
      <w:lvlJc w:val="left"/>
      <w:lvlText w:val="%1."/>
      <w:numFmt w:val="decimal"/>
      <w:start w:val="58"/>
    </w:lvl>
  </w:abstractNum>
  <w:abstractNum w:abstractNumId="114">
    <w:nsid w:val="25413BEC"/>
    <w:multiLevelType w:val="hybridMultilevel"/>
    <w:lvl w:ilvl="0">
      <w:lvlJc w:val="left"/>
      <w:lvlText w:val="%1."/>
      <w:numFmt w:val="decimal"/>
      <w:start w:val="59"/>
    </w:lvl>
  </w:abstractNum>
  <w:abstractNum w:abstractNumId="115">
    <w:nsid w:val="17180B0B"/>
    <w:multiLevelType w:val="hybridMultilevel"/>
    <w:lvl w:ilvl="0">
      <w:lvlJc w:val="left"/>
      <w:lvlText w:val="%1."/>
      <w:numFmt w:val="decimal"/>
      <w:start w:val="60"/>
    </w:lvl>
  </w:abstractNum>
  <w:abstractNum w:abstractNumId="116">
    <w:nsid w:val="579328B9"/>
    <w:multiLevelType w:val="hybridMultilevel"/>
    <w:lvl w:ilvl="0">
      <w:lvlJc w:val="left"/>
      <w:lvlText w:val="%1."/>
      <w:numFmt w:val="decimal"/>
      <w:start w:val="61"/>
    </w:lvl>
  </w:abstractNum>
  <w:abstractNum w:abstractNumId="117">
    <w:nsid w:val="5D205E20"/>
    <w:multiLevelType w:val="hybridMultilevel"/>
    <w:lvl w:ilvl="0">
      <w:lvlJc w:val="left"/>
      <w:lvlText w:val="%1."/>
      <w:numFmt w:val="decimal"/>
      <w:start w:val="64"/>
    </w:lvl>
  </w:abstractNum>
  <w:abstractNum w:abstractNumId="118">
    <w:nsid w:val="11CCA8BA"/>
    <w:multiLevelType w:val="hybridMultilevel"/>
    <w:lvl w:ilvl="0">
      <w:lvlJc w:val="left"/>
      <w:lvlText w:val="(%1)"/>
      <w:numFmt w:val="lowerLetter"/>
      <w:start w:val="1"/>
    </w:lvl>
  </w:abstractNum>
  <w:abstractNum w:abstractNumId="119">
    <w:nsid w:val="4D32AB86"/>
    <w:multiLevelType w:val="hybridMultilevel"/>
    <w:lvl w:ilvl="0">
      <w:lvlJc w:val="left"/>
      <w:lvlText w:val="%1."/>
      <w:numFmt w:val="decimal"/>
      <w:start w:val="65"/>
    </w:lvl>
  </w:abstractNum>
  <w:abstractNum w:abstractNumId="120">
    <w:nsid w:val="3F07ACC3"/>
    <w:multiLevelType w:val="hybridMultilevel"/>
    <w:lvl w:ilvl="0">
      <w:lvlJc w:val="left"/>
      <w:lvlText w:val="%1."/>
      <w:numFmt w:val="decimal"/>
      <w:start w:val="66"/>
    </w:lvl>
  </w:abstractNum>
  <w:abstractNum w:abstractNumId="121">
    <w:nsid w:val="6B47F63E"/>
    <w:multiLevelType w:val="hybridMultilevel"/>
    <w:lvl w:ilvl="0">
      <w:lvlJc w:val="left"/>
      <w:lvlText w:val="%1."/>
      <w:numFmt w:val="decimal"/>
      <w:start w:val="67"/>
    </w:lvl>
    <w:lvl w:ilvl="1">
      <w:lvlJc w:val="left"/>
      <w:lvlText w:val="(%2)"/>
      <w:numFmt w:val="lowerLetter"/>
      <w:start w:val="1"/>
    </w:lvl>
  </w:abstractNum>
  <w:abstractNum w:abstractNumId="122">
    <w:nsid w:val="5CB44A05"/>
    <w:multiLevelType w:val="hybridMultilevel"/>
    <w:lvl w:ilvl="0">
      <w:lvlJc w:val="left"/>
      <w:lvlText w:val="%1."/>
      <w:numFmt w:val="decimal"/>
      <w:start w:val="68"/>
    </w:lvl>
  </w:abstractNum>
  <w:abstractNum w:abstractNumId="123">
    <w:nsid w:val="16CF80F1"/>
    <w:multiLevelType w:val="hybridMultilevel"/>
    <w:lvl w:ilvl="0">
      <w:lvlJc w:val="left"/>
      <w:lvlText w:val="%1."/>
      <w:numFmt w:val="decimal"/>
      <w:start w:val="70"/>
    </w:lvl>
  </w:abstractNum>
  <w:abstractNum w:abstractNumId="124">
    <w:nsid w:val="1C695DEC"/>
    <w:multiLevelType w:val="hybridMultilevel"/>
    <w:lvl w:ilvl="0">
      <w:lvlJc w:val="left"/>
      <w:lvlText w:val="%1."/>
      <w:numFmt w:val="decimal"/>
      <w:start w:val="74"/>
    </w:lvl>
  </w:abstractNum>
  <w:abstractNum w:abstractNumId="125">
    <w:nsid w:val="3FCFAED9"/>
    <w:multiLevelType w:val="hybridMultilevel"/>
    <w:lvl w:ilvl="0">
      <w:lvlJc w:val="left"/>
      <w:lvlText w:val="%1."/>
      <w:numFmt w:val="decimal"/>
      <w:start w:val="78"/>
    </w:lvl>
  </w:abstractNum>
  <w:abstractNum w:abstractNumId="126">
    <w:nsid w:val="F856867"/>
    <w:multiLevelType w:val="hybridMultilevel"/>
    <w:lvl w:ilvl="0">
      <w:lvlJc w:val="left"/>
      <w:lvlText w:val="%1."/>
      <w:numFmt w:val="decimal"/>
      <w:start w:val="79"/>
    </w:lvl>
  </w:abstractNum>
  <w:abstractNum w:abstractNumId="127">
    <w:nsid w:val="11B1CC33"/>
    <w:multiLevelType w:val="hybridMultilevel"/>
    <w:lvl w:ilvl="0">
      <w:lvlJc w:val="left"/>
      <w:lvlText w:val="%1."/>
      <w:numFmt w:val="decimal"/>
      <w:start w:val="80"/>
    </w:lvl>
  </w:abstractNum>
  <w:abstractNum w:abstractNumId="128">
    <w:nsid w:val="2E22FBB7"/>
    <w:multiLevelType w:val="hybridMultilevel"/>
    <w:lvl w:ilvl="0">
      <w:lvlJc w:val="left"/>
      <w:lvlText w:val="%1."/>
      <w:numFmt w:val="decimal"/>
      <w:start w:val="81"/>
    </w:lvl>
  </w:abstractNum>
  <w:abstractNum w:abstractNumId="129">
    <w:nsid w:val="29934699"/>
    <w:multiLevelType w:val="hybridMultilevel"/>
    <w:lvl w:ilvl="0">
      <w:lvlJc w:val="left"/>
      <w:lvlText w:val="%1."/>
      <w:numFmt w:val="decimal"/>
      <w:start w:val="82"/>
    </w:lvl>
  </w:abstractNum>
  <w:abstractNum w:abstractNumId="130">
    <w:nsid w:val="77485850"/>
    <w:multiLevelType w:val="hybridMultilevel"/>
    <w:lvl w:ilvl="0">
      <w:lvlJc w:val="left"/>
      <w:lvlText w:val="%1."/>
      <w:numFmt w:val="decimal"/>
      <w:start w:val="83"/>
    </w:lvl>
  </w:abstractNum>
  <w:abstractNum w:abstractNumId="131">
    <w:nsid w:val="744939A3"/>
    <w:multiLevelType w:val="hybridMultilevel"/>
    <w:lvl w:ilvl="0">
      <w:lvlJc w:val="left"/>
      <w:lvlText w:val="•"/>
      <w:numFmt w:val="bullet"/>
      <w:start w:val="1"/>
    </w:lvl>
  </w:abstractNum>
  <w:abstractNum w:abstractNumId="132">
    <w:nsid w:val="4FA0D2E3"/>
    <w:multiLevelType w:val="hybridMultilevel"/>
    <w:lvl w:ilvl="0">
      <w:lvlJc w:val="left"/>
      <w:lvlText w:val="•"/>
      <w:numFmt w:val="bullet"/>
      <w:start w:val="1"/>
    </w:lvl>
  </w:abstractNum>
  <w:abstractNum w:abstractNumId="133">
    <w:nsid w:val="6B1D2C14"/>
    <w:multiLevelType w:val="hybridMultilevel"/>
    <w:lvl w:ilvl="0">
      <w:lvlJc w:val="left"/>
      <w:lvlText w:val="(%1)"/>
      <w:numFmt w:val="lowerRoman"/>
      <w:start w:val="1"/>
    </w:lvl>
  </w:abstractNum>
  <w:abstractNum w:abstractNumId="134">
    <w:nsid w:val="68B867D3"/>
    <w:multiLevelType w:val="hybridMultilevel"/>
    <w:lvl w:ilvl="0">
      <w:lvlJc w:val="left"/>
      <w:lvlText w:val="%1."/>
      <w:numFmt w:val="upperLetter"/>
      <w:start w:val="1"/>
    </w:lvl>
  </w:abstractNum>
  <w:abstractNum w:abstractNumId="135">
    <w:nsid w:val="3F7F5DD9"/>
    <w:multiLevelType w:val="hybridMultilevel"/>
    <w:lvl w:ilvl="0">
      <w:lvlJc w:val="left"/>
      <w:lvlText w:val="%1."/>
      <w:numFmt w:val="upperLetter"/>
      <w:start w:val="3"/>
    </w:lvl>
  </w:abstractNum>
  <w:abstractNum w:abstractNumId="136">
    <w:nsid w:val="2AE05A34"/>
    <w:multiLevelType w:val="hybridMultilevel"/>
    <w:lvl w:ilvl="0">
      <w:lvlJc w:val="left"/>
      <w:lvlText w:val="%1."/>
      <w:numFmt w:val="decimal"/>
      <w:start w:val="1"/>
    </w:lvl>
  </w:abstractNum>
  <w:abstractNum w:abstractNumId="137">
    <w:nsid w:val="32794FF7"/>
    <w:multiLevelType w:val="hybridMultilevel"/>
    <w:lvl w:ilvl="0">
      <w:lvlJc w:val="left"/>
      <w:lvlText w:val="(%1)"/>
      <w:numFmt w:val="upperLetter"/>
      <w:start w:val="1"/>
    </w:lvl>
  </w:abstractNum>
  <w:abstractNum w:abstractNumId="138">
    <w:nsid w:val="5454945E"/>
    <w:multiLevelType w:val="hybridMultilevel"/>
    <w:lvl w:ilvl="0">
      <w:lvlJc w:val="left"/>
      <w:lvlText w:val="(%1)"/>
      <w:numFmt w:val="upperLetter"/>
      <w:start w:val="2"/>
    </w:lvl>
  </w:abstractNum>
  <w:abstractNum w:abstractNumId="139">
    <w:nsid w:val="4DEFDFA0"/>
    <w:multiLevelType w:val="hybridMultilevel"/>
    <w:lvl w:ilvl="0">
      <w:lvlJc w:val="left"/>
      <w:lvlText w:val="(%1)"/>
      <w:numFmt w:val="lowerLetter"/>
      <w:start w:val="1"/>
    </w:lvl>
  </w:abstractNum>
  <w:abstractNum w:abstractNumId="140">
    <w:nsid w:val="2123D5F2"/>
    <w:multiLevelType w:val="hybridMultilevel"/>
    <w:lvl w:ilvl="0">
      <w:lvlJc w:val="left"/>
      <w:lvlText w:val="(%1)"/>
      <w:numFmt w:val="lowerLetter"/>
      <w:start w:val="1"/>
    </w:lvl>
  </w:abstractNum>
  <w:abstractNum w:abstractNumId="141">
    <w:nsid w:val="135B8110"/>
    <w:multiLevelType w:val="hybridMultilevel"/>
    <w:lvl w:ilvl="0">
      <w:lvlJc w:val="left"/>
      <w:lvlText w:val="(%1)"/>
      <w:numFmt w:val="upperLetter"/>
      <w:start w:val="3"/>
    </w:lvl>
  </w:abstractNum>
  <w:abstractNum w:abstractNumId="142">
    <w:nsid w:val="94927A8"/>
    <w:multiLevelType w:val="hybridMultilevel"/>
    <w:lvl w:ilvl="0">
      <w:lvlJc w:val="left"/>
      <w:lvlText w:val="(%1)"/>
      <w:numFmt w:val="lowerLetter"/>
      <w:start w:val="1"/>
    </w:lvl>
  </w:abstractNum>
  <w:abstractNum w:abstractNumId="143">
    <w:nsid w:val="DCDF8F6"/>
    <w:multiLevelType w:val="hybridMultilevel"/>
    <w:lvl w:ilvl="0">
      <w:lvlJc w:val="left"/>
      <w:lvlText w:val="(%1)"/>
      <w:numFmt w:val="lowerLetter"/>
      <w:start w:val="2"/>
    </w:lvl>
  </w:abstractNum>
  <w:abstractNum w:abstractNumId="144">
    <w:nsid w:val="52D7B105"/>
    <w:multiLevelType w:val="hybridMultilevel"/>
    <w:lvl w:ilvl="0">
      <w:lvlJc w:val="left"/>
      <w:lvlText w:val="(%1)"/>
      <w:numFmt w:val="lowerLetter"/>
      <w:start w:val="5"/>
    </w:lvl>
  </w:abstractNum>
  <w:abstractNum w:abstractNumId="145">
    <w:nsid w:val="2E8A6394"/>
    <w:multiLevelType w:val="hybridMultilevel"/>
    <w:lvl w:ilvl="0">
      <w:lvlJc w:val="left"/>
      <w:lvlText w:val="(%1)"/>
      <w:numFmt w:val="upperLetter"/>
      <w:start w:val="9"/>
    </w:lvl>
  </w:abstractNum>
  <w:abstractNum w:abstractNumId="146">
    <w:nsid w:val="24E60401"/>
    <w:multiLevelType w:val="hybridMultilevel"/>
    <w:lvl w:ilvl="0">
      <w:lvlJc w:val="left"/>
      <w:lvlText w:val="(%1)"/>
      <w:numFmt w:val="upperLetter"/>
      <w:start w:val="9"/>
    </w:lvl>
  </w:abstractNum>
  <w:abstractNum w:abstractNumId="147">
    <w:nsid w:val="2A6AD9BE"/>
    <w:multiLevelType w:val="hybridMultilevel"/>
    <w:lvl w:ilvl="0">
      <w:lvlJc w:val="left"/>
      <w:lvlText w:val="%1."/>
      <w:numFmt w:val="decimal"/>
      <w:start w:val="2"/>
    </w:lvl>
  </w:abstractNum>
  <w:abstractNum w:abstractNumId="148">
    <w:nsid w:val="BAAC1B4"/>
    <w:multiLevelType w:val="hybridMultilevel"/>
    <w:lvl w:ilvl="0">
      <w:lvlJc w:val="left"/>
      <w:lvlText w:val="(%1)"/>
      <w:numFmt w:val="lowerLetter"/>
      <w:start w:val="1"/>
    </w:lvl>
  </w:abstractNum>
  <w:abstractNum w:abstractNumId="149">
    <w:nsid w:val="36B2ACBC"/>
    <w:multiLevelType w:val="hybridMultilevel"/>
    <w:lvl w:ilvl="0">
      <w:lvlJc w:val="left"/>
      <w:lvlText w:val="(%1)"/>
      <w:numFmt w:val="lowerLetter"/>
      <w:start w:val="2"/>
    </w:lvl>
  </w:abstractNum>
  <w:abstractNum w:abstractNumId="150">
    <w:nsid w:val="779D8544"/>
    <w:multiLevelType w:val="hybridMultilevel"/>
    <w:lvl w:ilvl="0">
      <w:lvlJc w:val="left"/>
      <w:lvlText w:val="%1."/>
      <w:numFmt w:val="decimal"/>
      <w:start w:val="3"/>
    </w:lvl>
  </w:abstractNum>
  <w:abstractNum w:abstractNumId="151">
    <w:nsid w:val="4AB26E78"/>
    <w:multiLevelType w:val="hybridMultilevel"/>
    <w:lvl w:ilvl="0">
      <w:lvlJc w:val="left"/>
      <w:lvlText w:val="%1."/>
      <w:numFmt w:val="decimal"/>
      <w:start w:val="6"/>
    </w:lvl>
  </w:abstractNum>
  <w:abstractNum w:abstractNumId="152">
    <w:nsid w:val="21FAA2FA"/>
    <w:multiLevelType w:val="hybridMultilevel"/>
    <w:lvl w:ilvl="0">
      <w:lvlJc w:val="left"/>
      <w:lvlText w:val="(%1)"/>
      <w:numFmt w:val="lowerLetter"/>
      <w:start w:val="1"/>
    </w:lvl>
  </w:abstractNum>
  <w:abstractNum w:abstractNumId="153">
    <w:nsid w:val="5451CF49"/>
    <w:multiLevelType w:val="hybridMultilevel"/>
    <w:lvl w:ilvl="0">
      <w:lvlJc w:val="left"/>
      <w:lvlText w:val="(%1)"/>
      <w:numFmt w:val="lowerLetter"/>
      <w:start w:val="3"/>
    </w:lvl>
  </w:abstractNum>
  <w:abstractNum w:abstractNumId="154">
    <w:nsid w:val="6181EF69"/>
    <w:multiLevelType w:val="hybridMultilevel"/>
    <w:lvl w:ilvl="0">
      <w:lvlJc w:val="left"/>
      <w:lvlText w:val="%1."/>
      <w:numFmt w:val="decimal"/>
      <w:start w:val="9"/>
    </w:lvl>
  </w:abstractNum>
  <w:abstractNum w:abstractNumId="155">
    <w:nsid w:val="3E6400E6"/>
    <w:multiLevelType w:val="hybridMultilevel"/>
    <w:lvl w:ilvl="0">
      <w:lvlJc w:val="left"/>
      <w:lvlText w:val="%1."/>
      <w:numFmt w:val="upperLetter"/>
      <w:start w:val="1"/>
    </w:lvl>
  </w:abstractNum>
  <w:abstractNum w:abstractNumId="156">
    <w:nsid w:val="14217E23"/>
    <w:multiLevelType w:val="hybridMultilevel"/>
    <w:lvl w:ilvl="0">
      <w:lvlJc w:val="left"/>
      <w:lvlText w:val="%1."/>
      <w:numFmt w:val="decimal"/>
      <w:start w:val="1"/>
    </w:lvl>
  </w:abstractNum>
  <w:abstractNum w:abstractNumId="157">
    <w:nsid w:val="710757D0"/>
    <w:multiLevelType w:val="hybridMultilevel"/>
    <w:lvl w:ilvl="0">
      <w:lvlJc w:val="left"/>
      <w:lvlText w:val="(%1)"/>
      <w:numFmt w:val="lowerLetter"/>
      <w:start w:val="1"/>
    </w:lvl>
  </w:abstractNum>
  <w:abstractNum w:abstractNumId="158">
    <w:nsid w:val="5015CD1A"/>
    <w:multiLevelType w:val="hybridMultilevel"/>
    <w:lvl w:ilvl="0">
      <w:lvlJc w:val="left"/>
      <w:lvlText w:val="%1."/>
      <w:numFmt w:val="decimal"/>
      <w:start w:val="2"/>
    </w:lvl>
  </w:abstractNum>
  <w:abstractNum w:abstractNumId="159">
    <w:nsid w:val="424479DA"/>
    <w:multiLevelType w:val="hybridMultilevel"/>
    <w:lvl w:ilvl="0">
      <w:lvlJc w:val="left"/>
      <w:lvlText w:val="(%1)"/>
      <w:numFmt w:val="lowerLetter"/>
      <w:start w:val="1"/>
    </w:lvl>
    <w:lvl w:ilvl="1">
      <w:lvlJc w:val="left"/>
      <w:lvlText w:val="(%2)"/>
      <w:numFmt w:val="lowerLetter"/>
      <w:start w:val="9"/>
    </w:lvl>
  </w:abstractNum>
  <w:abstractNum w:abstractNumId="160">
    <w:nsid w:val="1A9A9E69"/>
    <w:multiLevelType w:val="hybridMultilevel"/>
    <w:lvl w:ilvl="0">
      <w:lvlJc w:val="left"/>
      <w:lvlText w:val="(%1)"/>
      <w:numFmt w:val="decimal"/>
      <w:start w:val="6"/>
    </w:lvl>
  </w:abstractNum>
  <w:abstractNum w:abstractNumId="161">
    <w:nsid w:val="475E256A"/>
    <w:multiLevelType w:val="hybridMultilevel"/>
    <w:lvl w:ilvl="0">
      <w:lvlJc w:val="left"/>
      <w:lvlText w:val="(%1)"/>
      <w:numFmt w:val="lowerRoman"/>
      <w:start w:val="2"/>
    </w:lvl>
  </w:abstractNum>
  <w:abstractNum w:abstractNumId="162">
    <w:nsid w:val="368DB37E"/>
    <w:multiLevelType w:val="hybridMultilevel"/>
    <w:lvl w:ilvl="0">
      <w:lvlJc w:val="left"/>
      <w:lvlText w:val="(%1)"/>
      <w:numFmt w:val="lowerLetter"/>
      <w:start w:val="1"/>
    </w:lvl>
  </w:abstractNum>
  <w:abstractNum w:abstractNumId="163">
    <w:nsid w:val="6A3B714C"/>
    <w:multiLevelType w:val="hybridMultilevel"/>
    <w:lvl w:ilvl="0">
      <w:lvlJc w:val="left"/>
      <w:lvlText w:val="(%1)"/>
      <w:numFmt w:val="lowerLetter"/>
      <w:start w:val="1"/>
    </w:lvl>
  </w:abstractNum>
  <w:abstractNum w:abstractNumId="164">
    <w:nsid w:val="327B517E"/>
    <w:multiLevelType w:val="hybridMultilevel"/>
    <w:lvl w:ilvl="0">
      <w:lvlJc w:val="left"/>
      <w:lvlText w:val="(%1)"/>
      <w:numFmt w:val="lowerLetter"/>
      <w:start w:val="3"/>
    </w:lvl>
  </w:abstractNum>
  <w:abstractNum w:abstractNumId="165">
    <w:nsid w:val="1F461B51"/>
    <w:multiLevelType w:val="hybridMultilevel"/>
    <w:lvl w:ilvl="0">
      <w:lvlJc w:val="left"/>
      <w:lvlText w:val="(%1)"/>
      <w:numFmt w:val="lowerLetter"/>
      <w:start w:val="1"/>
    </w:lvl>
  </w:abstractNum>
  <w:abstractNum w:abstractNumId="166">
    <w:nsid w:val="29BACF25"/>
    <w:multiLevelType w:val="hybridMultilevel"/>
    <w:lvl w:ilvl="0">
      <w:lvlJc w:val="left"/>
      <w:lvlText w:val="(%1)"/>
      <w:numFmt w:val="lowerLetter"/>
      <w:start w:val="1"/>
    </w:lvl>
  </w:abstractNum>
  <w:abstractNum w:abstractNumId="167">
    <w:nsid w:val="5D5BABB3"/>
    <w:multiLevelType w:val="hybridMultilevel"/>
    <w:lvl w:ilvl="0">
      <w:lvlJc w:val="left"/>
      <w:lvlText w:val="(%1)"/>
      <w:numFmt w:val="lowerRoman"/>
      <w:start w:val="3"/>
    </w:lvl>
  </w:abstractNum>
  <w:abstractNum w:abstractNumId="168">
    <w:nsid w:val="51BF6B48"/>
    <w:multiLevelType w:val="hybridMultilevel"/>
    <w:lvl w:ilvl="0">
      <w:lvlJc w:val="left"/>
      <w:lvlText w:val="(%1)"/>
      <w:numFmt w:val="lowerRoman"/>
      <w:start w:val="8"/>
    </w:lvl>
    <w:lvl w:ilvl="1">
      <w:lvlJc w:val="left"/>
      <w:lvlText w:val="(%2)"/>
      <w:numFmt w:val="lowerLetter"/>
      <w:start w:val="1"/>
    </w:lvl>
  </w:abstractNum>
  <w:abstractNum w:abstractNumId="169">
    <w:nsid w:val="7E0F6384"/>
    <w:multiLevelType w:val="hybridMultilevel"/>
    <w:lvl w:ilvl="0">
      <w:lvlJc w:val="left"/>
      <w:lvlText w:val="(%1)"/>
      <w:numFmt w:val="lowerLetter"/>
      <w:start w:val="2"/>
    </w:lvl>
  </w:abstractNum>
  <w:abstractNum w:abstractNumId="170">
    <w:nsid w:val="2B4B8B53"/>
    <w:multiLevelType w:val="hybridMultilevel"/>
    <w:lvl w:ilvl="0">
      <w:lvlJc w:val="left"/>
      <w:lvlText w:val="%1"/>
      <w:numFmt w:val="lowerLetter"/>
      <w:start w:val="1"/>
    </w:lvl>
    <w:lvl w:ilvl="1">
      <w:lvlJc w:val="left"/>
      <w:lvlText w:val="(%2)"/>
      <w:numFmt w:val="lowerLetter"/>
      <w:start w:val="5"/>
    </w:lvl>
  </w:abstractNum>
  <w:abstractNum w:abstractNumId="171">
    <w:nsid w:val="72E3413A"/>
    <w:multiLevelType w:val="hybridMultilevel"/>
    <w:lvl w:ilvl="0">
      <w:lvlJc w:val="left"/>
      <w:lvlText w:val="(%1)"/>
      <w:numFmt w:val="lowerLetter"/>
      <w:start w:val="9"/>
    </w:lvl>
    <w:lvl w:ilvl="1">
      <w:lvlJc w:val="left"/>
      <w:lvlText w:val="(%2)"/>
      <w:numFmt w:val="lowerLetter"/>
      <w:start w:val="6"/>
    </w:lvl>
  </w:abstractNum>
  <w:abstractNum w:abstractNumId="172">
    <w:nsid w:val="116AE494"/>
    <w:multiLevelType w:val="hybridMultilevel"/>
    <w:lvl w:ilvl="0">
      <w:lvlJc w:val="left"/>
      <w:lvlText w:val="(%1)"/>
      <w:numFmt w:val="lowerRoman"/>
      <w:start w:val="10"/>
    </w:lvl>
  </w:abstractNum>
  <w:abstractNum w:abstractNumId="173">
    <w:nsid w:val="3494B2FB"/>
    <w:multiLevelType w:val="hybridMultilevel"/>
    <w:lvl w:ilvl="0">
      <w:lvlJc w:val="left"/>
      <w:lvlText w:val="(%1)"/>
      <w:numFmt w:val="lowerRoman"/>
      <w:start w:val="11"/>
    </w:lvl>
  </w:abstractNum>
  <w:abstractNum w:abstractNumId="174">
    <w:nsid w:val="B13A31"/>
    <w:multiLevelType w:val="hybridMultilevel"/>
    <w:lvl w:ilvl="0">
      <w:lvlJc w:val="left"/>
      <w:lvlText w:val="%1"/>
      <w:numFmt w:val="decimal"/>
      <w:start w:val="1"/>
    </w:lvl>
    <w:lvl w:ilvl="1">
      <w:lvlJc w:val="left"/>
      <w:lvlText w:val="(%2)"/>
      <w:numFmt w:val="lowerLetter"/>
      <w:start w:val="2"/>
    </w:lvl>
  </w:abstractNum>
  <w:abstractNum w:abstractNumId="175">
    <w:nsid w:val="64429599"/>
    <w:multiLevelType w:val="hybridMultilevel"/>
    <w:lvl w:ilvl="0">
      <w:lvlJc w:val="left"/>
      <w:lvlText w:val="%1."/>
      <w:numFmt w:val="decimal"/>
      <w:start w:val="3"/>
    </w:lvl>
    <w:lvl w:ilvl="1">
      <w:lvlJc w:val="left"/>
      <w:lvlText w:val="%2"/>
      <w:numFmt w:val="lowerLetter"/>
      <w:start w:val="1"/>
    </w:lvl>
  </w:abstractNum>
  <w:abstractNum w:abstractNumId="176">
    <w:nsid w:val="631F1690"/>
    <w:multiLevelType w:val="hybridMultilevel"/>
    <w:lvl w:ilvl="0">
      <w:lvlJc w:val="left"/>
      <w:lvlText w:val="(%1)"/>
      <w:numFmt w:val="lowerLetter"/>
      <w:start w:val="1"/>
    </w:lvl>
  </w:abstractNum>
  <w:abstractNum w:abstractNumId="177">
    <w:nsid w:val="25973E32"/>
    <w:multiLevelType w:val="hybridMultilevel"/>
    <w:lvl w:ilvl="0">
      <w:lvlJc w:val="left"/>
      <w:lvlText w:val="(%1)"/>
      <w:numFmt w:val="lowerLetter"/>
      <w:start w:val="3"/>
    </w:lvl>
  </w:abstractNum>
  <w:abstractNum w:abstractNumId="178">
    <w:nsid w:val="EAD6F57"/>
    <w:multiLevelType w:val="hybridMultilevel"/>
    <w:lvl w:ilvl="0">
      <w:lvlJc w:val="left"/>
      <w:lvlText w:val="%1."/>
      <w:numFmt w:val="decimal"/>
      <w:start w:val="3"/>
    </w:lvl>
  </w:abstractNum>
  <w:abstractNum w:abstractNumId="179">
    <w:nsid w:val="6EC9D844"/>
    <w:multiLevelType w:val="hybridMultilevel"/>
    <w:lvl w:ilvl="0">
      <w:lvlJc w:val="left"/>
      <w:lvlText w:val="%1."/>
      <w:numFmt w:val="decimal"/>
      <w:start w:val="9"/>
    </w:lvl>
  </w:abstractNum>
  <w:abstractNum w:abstractNumId="180">
    <w:nsid w:val="5C49EAEE"/>
    <w:multiLevelType w:val="hybridMultilevel"/>
    <w:lvl w:ilvl="0">
      <w:lvlJc w:val="left"/>
      <w:lvlText w:val="(%1)"/>
      <w:numFmt w:val="lowerLetter"/>
      <w:start w:val="1"/>
    </w:lvl>
  </w:abstractNum>
  <w:abstractNum w:abstractNumId="181">
    <w:nsid w:val="64AF49B"/>
    <w:multiLevelType w:val="hybridMultilevel"/>
    <w:lvl w:ilvl="0">
      <w:lvlJc w:val="left"/>
      <w:lvlText w:val="(%1)"/>
      <w:numFmt w:val="lowerLetter"/>
      <w:start w:val="3"/>
    </w:lvl>
  </w:abstractNum>
  <w:abstractNum w:abstractNumId="182">
    <w:nsid w:val="397C46BC"/>
    <w:multiLevelType w:val="hybridMultilevel"/>
    <w:lvl w:ilvl="0">
      <w:lvlJc w:val="left"/>
      <w:lvlText w:val="%1."/>
      <w:numFmt w:val="decimal"/>
      <w:start w:val="10"/>
    </w:lvl>
  </w:abstractNum>
  <w:abstractNum w:abstractNumId="183">
    <w:nsid w:val="7E448DE9"/>
    <w:multiLevelType w:val="hybridMultilevel"/>
    <w:lvl w:ilvl="0">
      <w:lvlJc w:val="left"/>
      <w:lvlText w:val="(%1)"/>
      <w:numFmt w:val="lowerLetter"/>
      <w:start w:val="1"/>
    </w:lvl>
    <w:lvl w:ilvl="1">
      <w:lvlJc w:val="left"/>
      <w:lvlText w:val="(%2)"/>
      <w:numFmt w:val="lowerRoman"/>
      <w:start w:val="1"/>
    </w:lvl>
  </w:abstractNum>
  <w:abstractNum w:abstractNumId="184">
    <w:nsid w:val="5A9CC3E5"/>
    <w:multiLevelType w:val="hybridMultilevel"/>
    <w:lvl w:ilvl="0">
      <w:lvlJc w:val="left"/>
      <w:lvlText w:val="(%1)"/>
      <w:numFmt w:val="lowerLetter"/>
      <w:start w:val="3"/>
    </w:lvl>
  </w:abstractNum>
  <w:abstractNum w:abstractNumId="185">
    <w:nsid w:val="1AFE3625"/>
    <w:multiLevelType w:val="hybridMultilevel"/>
    <w:lvl w:ilvl="0">
      <w:lvlJc w:val="left"/>
      <w:lvlText w:val="(%1)"/>
      <w:numFmt w:val="lowerLetter"/>
      <w:start w:val="2"/>
    </w:lvl>
  </w:abstractNum>
  <w:abstractNum w:abstractNumId="186">
    <w:nsid w:val="3CA88ECF"/>
    <w:multiLevelType w:val="hybridMultilevel"/>
    <w:lvl w:ilvl="0">
      <w:lvlJc w:val="left"/>
      <w:lvlText w:val="(%1)"/>
      <w:numFmt w:val="lowerLetter"/>
      <w:start w:val="1"/>
    </w:lvl>
  </w:abstractNum>
  <w:abstractNum w:abstractNumId="187">
    <w:nsid w:val="6EBE4208"/>
    <w:multiLevelType w:val="hybridMultilevel"/>
    <w:lvl w:ilvl="0">
      <w:lvlJc w:val="left"/>
      <w:lvlText w:val="(%1)"/>
      <w:numFmt w:val="lowerLetter"/>
      <w:start w:val="2"/>
    </w:lvl>
  </w:abstractNum>
  <w:abstractNum w:abstractNumId="188">
    <w:nsid w:val="C058DF5"/>
    <w:multiLevelType w:val="hybridMultilevel"/>
    <w:lvl w:ilvl="0">
      <w:lvlJc w:val="left"/>
      <w:lvlText w:val="(%1)"/>
      <w:numFmt w:val="lowerLetter"/>
      <w:start w:val="5"/>
    </w:lvl>
  </w:abstractNum>
  <w:abstractNum w:abstractNumId="189">
    <w:nsid w:val="CBE5BE9"/>
    <w:multiLevelType w:val="hybridMultilevel"/>
    <w:lvl w:ilvl="0">
      <w:lvlJc w:val="left"/>
      <w:lvlText w:val="(%1)"/>
      <w:numFmt w:val="lowerLetter"/>
      <w:start w:val="1"/>
    </w:lvl>
    <w:lvl w:ilvl="1">
      <w:lvlJc w:val="left"/>
      <w:lvlText w:val="(%2)"/>
      <w:numFmt w:val="lowerLetter"/>
      <w:start w:val="9"/>
    </w:lvl>
  </w:abstractNum>
  <w:abstractNum w:abstractNumId="190">
    <w:nsid w:val="3102BBE2"/>
    <w:multiLevelType w:val="hybridMultilevel"/>
    <w:lvl w:ilvl="0">
      <w:lvlJc w:val="left"/>
      <w:lvlText w:val="%1"/>
      <w:numFmt w:val="lowerLetter"/>
      <w:start w:val="1"/>
    </w:lvl>
    <w:lvl w:ilvl="1">
      <w:lvlJc w:val="left"/>
      <w:lvlText w:val="(%2)"/>
      <w:numFmt w:val="lowerLetter"/>
      <w:start w:val="35"/>
    </w:lvl>
  </w:abstractNum>
  <w:abstractNum w:abstractNumId="191">
    <w:nsid w:val="26A02C5E"/>
    <w:multiLevelType w:val="hybridMultilevel"/>
    <w:lvl w:ilvl="0">
      <w:lvlJc w:val="left"/>
      <w:lvlText w:val="(%1)"/>
      <w:numFmt w:val="lowerLetter"/>
      <w:start w:val="3"/>
    </w:lvl>
    <w:lvl w:ilvl="1">
      <w:lvlJc w:val="left"/>
      <w:lvlText w:val="%2"/>
      <w:numFmt w:val="lowerLetter"/>
      <w:start w:val="1"/>
    </w:lvl>
  </w:abstractNum>
  <w:abstractNum w:abstractNumId="192">
    <w:nsid w:val="541C8153"/>
    <w:multiLevelType w:val="hybridMultilevel"/>
    <w:lvl w:ilvl="0">
      <w:lvlJc w:val="left"/>
      <w:lvlText w:val="(%1)"/>
      <w:numFmt w:val="lowerLetter"/>
      <w:start w:val="1"/>
    </w:lvl>
  </w:abstractNum>
  <w:abstractNum w:abstractNumId="193">
    <w:nsid w:val="67906F60"/>
    <w:multiLevelType w:val="hybridMultilevel"/>
    <w:lvl w:ilvl="0">
      <w:lvlJc w:val="left"/>
      <w:lvlText w:val="(%1)"/>
      <w:numFmt w:val="lowerLetter"/>
      <w:start w:val="4"/>
    </w:lvl>
  </w:abstractNum>
  <w:abstractNum w:abstractNumId="194">
    <w:nsid w:val="10DB9DAA"/>
    <w:multiLevelType w:val="hybridMultilevel"/>
    <w:lvl w:ilvl="0">
      <w:lvlJc w:val="left"/>
      <w:lvlText w:val="(%1)"/>
      <w:numFmt w:val="lowerLetter"/>
      <w:start w:val="1"/>
    </w:lvl>
  </w:abstractNum>
  <w:abstractNum w:abstractNumId="195">
    <w:nsid w:val="697D2D2"/>
    <w:multiLevelType w:val="hybridMultilevel"/>
    <w:lvl w:ilvl="0">
      <w:lvlJc w:val="left"/>
      <w:lvlText w:val="(%1)"/>
      <w:numFmt w:val="decimal"/>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lvl w:ilvl="1">
      <w:lvlJc w:val="left"/>
      <w:lvlText w:val="(%2)"/>
      <w:numFmt w:val="lowerLetter"/>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68"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132" Type="http://schemas.openxmlformats.org/officeDocument/2006/relationships/hyperlink" Target="http://www.sec.gov/Archives/edgar/data/1620459/000157104914005924/t1401933_ex3-1.htm" TargetMode="External"/><Relationship Id="rId133" Type="http://schemas.openxmlformats.org/officeDocument/2006/relationships/hyperlink" Target="http://www.sec.gov/Archives/edgar/data/1620459/000157104914005924/t1401933_ex3-2.htm" TargetMode="External"/><Relationship Id="rId134" Type="http://schemas.openxmlformats.org/officeDocument/2006/relationships/hyperlink" Target="http://www.sec.gov/Archives/edgar/data/1620459/000157104914005924/t1401933_ex3-3.htm" TargetMode="External"/><Relationship Id="rId135" Type="http://schemas.openxmlformats.org/officeDocument/2006/relationships/hyperlink" Target="http://www.sec.gov/Archives/edgar/data/1620459/000157104914005924/t1401933_ex3-4.htm" TargetMode="External"/><Relationship Id="rId136" Type="http://schemas.openxmlformats.org/officeDocument/2006/relationships/hyperlink" Target="http://www.sec.gov/Archives/edgar/data/1620459/000157104914005924/t1401933_ex3-5.htm" TargetMode="External"/><Relationship Id="rId137" Type="http://schemas.openxmlformats.org/officeDocument/2006/relationships/hyperlink" Target="http://www.sec.gov/Archives/edgar/data/1620459/000157104914007101/t1402404_ex4-1.htm" TargetMode="External"/><Relationship Id="rId140" Type="http://schemas.openxmlformats.org/officeDocument/2006/relationships/hyperlink" Target="http://www.sec.gov/Archives/edgar/data/1620459/000110465919061877/tm1922373d1_ex10-1.htm" TargetMode="External"/><Relationship Id="rId141" Type="http://schemas.openxmlformats.org/officeDocument/2006/relationships/hyperlink" Target="https://www.sec.gov/Archives/edgar/data/1620459/000162045922000015/a4q21jrvrex102.htm" TargetMode="External"/><Relationship Id="rId142" Type="http://schemas.openxmlformats.org/officeDocument/2006/relationships/hyperlink" Target="http://www.sec.gov/Archives/edgar/data/1620459/000157104914005924/t1401933_ex10-2.htm" TargetMode="External"/><Relationship Id="rId143" Type="http://schemas.openxmlformats.org/officeDocument/2006/relationships/hyperlink" Target="http://www.sec.gov/Archives/edgar/data/1620459/000157104916012907/t1600530_ex10-5.htm" TargetMode="External"/><Relationship Id="rId144" Type="http://schemas.openxmlformats.org/officeDocument/2006/relationships/hyperlink" Target="http://www.sec.gov/Archives/edgar/data/1620459/000157104917007192/t1702273_ex10-1.htm" TargetMode="External"/><Relationship Id="rId145" Type="http://schemas.openxmlformats.org/officeDocument/2006/relationships/hyperlink" Target="http://www.sec.gov/Archives/edgar/data/1620459/000110465919061877/tm1922373d1_ex10-2.htm" TargetMode="External"/><Relationship Id="rId146" Type="http://schemas.openxmlformats.org/officeDocument/2006/relationships/hyperlink" Target="https://www.sec.gov/Archives/edgar/data/1620459/000162045922000015/a4q21jrvrex107.htm" TargetMode="External"/><Relationship Id="rId147" Type="http://schemas.openxmlformats.org/officeDocument/2006/relationships/hyperlink" Target="http://www.sec.gov/Archives/edgar/data/1620459/000157104917007192/t1702273_ex10-2.htm" TargetMode="External"/><Relationship Id="rId150" Type="http://schemas.openxmlformats.org/officeDocument/2006/relationships/hyperlink" Target="http://www.sec.gov/Archives/edgar/data/1620459/000157104914006789/t1402136_ex10-7.htm" TargetMode="External"/><Relationship Id="rId151" Type="http://schemas.openxmlformats.org/officeDocument/2006/relationships/hyperlink" Target="http://www.sec.gov/Archives/edgar/data/1620459/000157104914005924/t1401933_ex10-8.htm" TargetMode="External"/><Relationship Id="rId152" Type="http://schemas.openxmlformats.org/officeDocument/2006/relationships/hyperlink" Target="http://www.sec.gov/Archives/edgar/data/1620459/000157104914005924/t1401933_ex10-9.htm" TargetMode="External"/><Relationship Id="rId153" Type="http://schemas.openxmlformats.org/officeDocument/2006/relationships/hyperlink" Target="http://www.sec.gov/Archives/edgar/data/1620459/000157104914006789/t1402136_ex10-10.htm" TargetMode="External"/><Relationship Id="rId154" Type="http://schemas.openxmlformats.org/officeDocument/2006/relationships/hyperlink" Target="http://www.sec.gov/Archives/edgar/data/1620459/000157104914006789/t1402136_ex10-11.htm" TargetMode="External"/><Relationship Id="rId155" Type="http://schemas.openxmlformats.org/officeDocument/2006/relationships/hyperlink" Target="http://www.sec.gov/Archives/edgar/data/1620459/000157104917004403/t1701376_ex10-1.htm" TargetMode="External"/><Relationship Id="rId156" Type="http://schemas.openxmlformats.org/officeDocument/2006/relationships/hyperlink" Target="https://www.sec.gov/Archives/edgar/data/1620459/000162045922000100/exhibit101-2ndamendmentto2.htm" TargetMode="External"/><Relationship Id="rId157" Type="http://schemas.openxmlformats.org/officeDocument/2006/relationships/hyperlink" Target="http://www.sec.gov/Archives/edgar/data/1620459/000157104914006789/t1402136_ex10-12.htm" TargetMode="External"/><Relationship Id="rId158" Type="http://schemas.openxmlformats.org/officeDocument/2006/relationships/hyperlink" Target="http://www.sec.gov/Archives/edgar/data/1620459/000157104914006789/t1402136_ex10-13.htm" TargetMode="External"/><Relationship Id="rId159" Type="http://schemas.openxmlformats.org/officeDocument/2006/relationships/hyperlink" Target="http://www.sec.gov/Archives/edgar/data/1620459/000157104914007101/t1402404_ex10-14.htm" TargetMode="External"/><Relationship Id="rId160" Type="http://schemas.openxmlformats.org/officeDocument/2006/relationships/hyperlink" Target="http://www.sec.gov/Archives/edgar/data/1620459/000157104914006789/t1402136_ex10-15.htm" TargetMode="External"/><Relationship Id="rId161" Type="http://schemas.openxmlformats.org/officeDocument/2006/relationships/hyperlink" Target="http://www.sec.gov/Archives/edgar/data/1620459/000162045919000057/ex101-planamendment.htm" TargetMode="External"/><Relationship Id="rId162" Type="http://schemas.openxmlformats.org/officeDocument/2006/relationships/hyperlink" Target="http://www.sec.gov/Archives/edgar/data/1620459/000157104914006789/t1402136_ex10-16.htm" TargetMode="External"/><Relationship Id="rId163" Type="http://schemas.openxmlformats.org/officeDocument/2006/relationships/hyperlink" Target="http://www.sec.gov/Archives/edgar/data/1620459/000157104914007101/t1402404_ex10-17.htm" TargetMode="External"/><Relationship Id="rId164" Type="http://schemas.openxmlformats.org/officeDocument/2006/relationships/hyperlink" Target="http://www.sec.gov/Archives/edgar/data/1620459/000157104914006789/t1402136_ex10-18.htm" TargetMode="External"/><Relationship Id="rId165" Type="http://schemas.openxmlformats.org/officeDocument/2006/relationships/hyperlink" Target="https://www.sec.gov/Archives/edgar/data/1620459/000162045920000095/exhibit101-employmentagree.htm" TargetMode="External"/><Relationship Id="rId166" Type="http://schemas.openxmlformats.org/officeDocument/2006/relationships/hyperlink" Target="http://www.sec.gov/Archives/edgar/data/1620459/000157104916020824/t1603123_ex10-1.htm" TargetMode="External"/><Relationship Id="rId167" Type="http://schemas.openxmlformats.org/officeDocument/2006/relationships/hyperlink" Target="http://www.sec.gov/Archives/edgar/data/1620459/000162828018013981/jrvrex10109302018.htm" TargetMode="External"/><Relationship Id="rId169" Type="http://schemas.openxmlformats.org/officeDocument/2006/relationships/hyperlink" Target="http://www.sec.gov/Archives/edgar/data/1620459/000162828018002654/jrvrex102212312017.htm" TargetMode="External"/><Relationship Id="rId170" Type="http://schemas.openxmlformats.org/officeDocument/2006/relationships/hyperlink" Target="http://www.sec.gov/Archives/edgar/data/1620459/000157104914006789/t1402136_ex10-22.htm" TargetMode="External"/><Relationship Id="rId171" Type="http://schemas.openxmlformats.org/officeDocument/2006/relationships/hyperlink" Target="http://www.sec.gov/Archives/edgar/data/1620459/000162045919000052/jrvrex103012312018.htm" TargetMode="External"/><Relationship Id="rId172" Type="http://schemas.openxmlformats.org/officeDocument/2006/relationships/hyperlink" Target="http://www.sec.gov/Archives/edgar/data/1620459/000162045919000052/jrvrex103112312018.htm" TargetMode="External"/><Relationship Id="rId173" Type="http://schemas.openxmlformats.org/officeDocument/2006/relationships/hyperlink" Target="https://www.sec.gov/Archives/edgar/data/0001620459/000110465922028107/tm227669d1_ex10-1.htm" TargetMode="External"/><Relationship Id="rId174" Type="http://schemas.openxmlformats.org/officeDocument/2006/relationships/hyperlink" Target="https://www.sec.gov/Archives/edgar/data/1620459/000162045922000084/a1q22jrvrex102.htm" TargetMode="External"/><Relationship Id="rId175" Type="http://schemas.openxmlformats.org/officeDocument/2006/relationships/hyperlink" Target="https://www.sec.gov/Archives/edgar/data/1620459/000162045922000084/a1q22jrvrex103.htm" TargetMode="External"/><Relationship Id="rId176" Type="http://schemas.openxmlformats.org/officeDocument/2006/relationships/hyperlink" Target="https://www.sec.gov/Archives/edgar/data/1620459/000162045922000084/a1q22jrvrex104.htm" TargetMode="External"/><Relationship Id="rId177" Type="http://schemas.openxmlformats.org/officeDocument/2006/relationships/hyperlink" Target="https://www.sec.gov/Archives/edgar/data/0001620459/000110465921120933/tm2128750d1_ex10-1.htm" TargetMode="External"/><Relationship Id="rId178" Type="http://schemas.openxmlformats.org/officeDocument/2006/relationships/hyperlink" Target="https://www.sec.gov/Archives/edgar/data/0001620459/000110465921120933/tm2128750d1_ex10-2.htm" TargetMode="External"/><Relationship Id="rId179" Type="http://schemas.openxmlformats.org/officeDocument/2006/relationships/hyperlink" Target="https://www.sec.gov/Archives/edgar/data/0001620459/000110465922028107/tm227669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2023-02-28T20:02:02Z</dcterms:created>
  <dcterms:modified xsi:type="dcterms:W3CDTF">2023-02-28T20:02:02Z</dcterms:modified>
</cp:coreProperties>
</file>