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-224155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81915</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195580</wp:posOffset>
            </wp:positionV>
            <wp:extent cx="269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49"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ended September 30, 2018</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4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from _______ to _______</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001-36777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JAMES RIVER GROUP HOLDINGS, LTD.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140" w:type="dxa"/>
            <w:vAlign w:val="bottom"/>
          </w:tcPr>
          <w:p>
            <w:pPr>
              <w:ind w:left="540"/>
              <w:spacing w:after="0"/>
              <w:rPr>
                <w:sz w:val="20"/>
                <w:szCs w:val="20"/>
                <w:color w:val="auto"/>
              </w:rPr>
            </w:pPr>
            <w:r>
              <w:rPr>
                <w:rFonts w:ascii="Arial" w:cs="Arial" w:eastAsia="Arial" w:hAnsi="Arial"/>
                <w:sz w:val="18"/>
                <w:szCs w:val="18"/>
                <w:b w:val="1"/>
                <w:bCs w:val="1"/>
                <w:color w:val="auto"/>
              </w:rPr>
              <w:t>Bermuda</w:t>
            </w:r>
          </w:p>
        </w:tc>
        <w:tc>
          <w:tcPr>
            <w:tcW w:w="3380" w:type="dxa"/>
            <w:vAlign w:val="bottom"/>
          </w:tcPr>
          <w:p>
            <w:pPr>
              <w:jc w:val="right"/>
              <w:ind w:right="62"/>
              <w:spacing w:after="0"/>
              <w:rPr>
                <w:sz w:val="20"/>
                <w:szCs w:val="20"/>
                <w:color w:val="auto"/>
              </w:rPr>
            </w:pPr>
            <w:r>
              <w:rPr>
                <w:rFonts w:ascii="Arial" w:cs="Arial" w:eastAsia="Arial" w:hAnsi="Arial"/>
                <w:sz w:val="18"/>
                <w:szCs w:val="18"/>
                <w:b w:val="1"/>
                <w:bCs w:val="1"/>
                <w:color w:val="auto"/>
              </w:rPr>
              <w:t>98-0585280</w:t>
            </w:r>
          </w:p>
        </w:tc>
      </w:tr>
      <w:tr>
        <w:trPr>
          <w:trHeight w:val="180"/>
        </w:trPr>
        <w:tc>
          <w:tcPr>
            <w:tcW w:w="414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1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ind w:left="420" w:right="2740"/>
        <w:spacing w:after="0" w:line="27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390"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(441) 278-4580</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p>
      <w:pPr>
        <w:ind w:left="40"/>
        <w:spacing w:after="0"/>
        <w:tabs>
          <w:tab w:leader="none" w:pos="2640" w:val="left"/>
          <w:tab w:leader="none" w:pos="4400" w:val="left"/>
          <w:tab w:leader="none" w:pos="6200" w:val="left"/>
          <w:tab w:leader="none" w:pos="940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6"/>
          <w:szCs w:val="16"/>
          <w:color w:val="auto"/>
        </w:rPr>
        <w:t>Smaller reporting company o</w:t>
      </w:r>
      <w:r>
        <w:rPr>
          <w:sz w:val="20"/>
          <w:szCs w:val="20"/>
          <w:color w:val="auto"/>
        </w:rPr>
        <w:tab/>
      </w:r>
      <w:r>
        <w:rPr>
          <w:rFonts w:ascii="Arial" w:cs="Arial" w:eastAsia="Arial" w:hAnsi="Arial"/>
          <w:sz w:val="15"/>
          <w:szCs w:val="15"/>
          <w:color w:val="auto"/>
        </w:rPr>
        <w:t>Emerging Growth Company o</w:t>
      </w:r>
    </w:p>
    <w:p>
      <w:pPr>
        <w:spacing w:after="0" w:line="257"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November 7, 2018: 29,953,371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8"/>
              </w:rPr>
              <w:t>Number</w:t>
            </w:r>
          </w:p>
        </w:tc>
      </w:tr>
      <w:tr>
        <w:trPr>
          <w:trHeight w:val="256"/>
        </w:trPr>
        <w:tc>
          <w:tcPr>
            <w:tcW w:w="10660" w:type="dxa"/>
            <w:vAlign w:val="bottom"/>
            <w:gridSpan w:val="26"/>
            <w:shd w:val="clear" w:color="auto" w:fill="CCEEFF"/>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Sheets—September 30, 2018 and December 31, 2017</w:t>
              </w:r>
            </w:hyperlink>
          </w:p>
        </w:tc>
        <w:tc>
          <w:tcPr>
            <w:tcW w:w="460" w:type="dxa"/>
            <w:vAlign w:val="bottom"/>
            <w:gridSpan w:val="4"/>
            <w:shd w:val="clear" w:color="auto" w:fill="CCEEFF"/>
          </w:tcPr>
          <w:p>
            <w:pPr>
              <w:jc w:val="center"/>
              <w:ind w:left="172"/>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96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Income and Comprehensive (Loss) Income—Three and Nine Months Ended September 30,</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80" w:type="dxa"/>
            <w:vAlign w:val="bottom"/>
            <w:gridSpan w:val="21"/>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2018 and 2017</w:t>
              </w:r>
            </w:hyperlink>
          </w:p>
        </w:tc>
        <w:tc>
          <w:tcPr>
            <w:tcW w:w="460" w:type="dxa"/>
            <w:vAlign w:val="bottom"/>
            <w:gridSpan w:val="4"/>
            <w:shd w:val="clear" w:color="auto" w:fill="CCEEFF"/>
          </w:tcPr>
          <w:p>
            <w:pPr>
              <w:jc w:val="center"/>
              <w:ind w:left="172"/>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80" w:type="dxa"/>
            <w:vAlign w:val="bottom"/>
            <w:gridSpan w:val="21"/>
            <w:shd w:val="clear" w:color="auto" w:fill="CCEEFF"/>
          </w:tcPr>
          <w:p>
            <w:pPr>
              <w:spacing w:after="0" w:line="202"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Condensed Consolidated Statements of Changes in Shareholders’ Equity—Nine Months Ended September 30, 2018 and 2017</w:t>
              </w:r>
            </w:hyperlink>
          </w:p>
        </w:tc>
        <w:tc>
          <w:tcPr>
            <w:tcW w:w="460" w:type="dxa"/>
            <w:vAlign w:val="bottom"/>
            <w:gridSpan w:val="4"/>
            <w:shd w:val="clear" w:color="auto" w:fill="CCEEFF"/>
          </w:tcPr>
          <w:p>
            <w:pPr>
              <w:jc w:val="center"/>
              <w:ind w:left="172"/>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96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Flows—Nine Months Ended September 30, 2018 and 2017</w:t>
              </w:r>
            </w:hyperlink>
          </w:p>
        </w:tc>
        <w:tc>
          <w:tcPr>
            <w:tcW w:w="460" w:type="dxa"/>
            <w:vAlign w:val="bottom"/>
            <w:gridSpan w:val="4"/>
            <w:shd w:val="clear" w:color="auto" w:fill="CCEEFF"/>
          </w:tcPr>
          <w:p>
            <w:pPr>
              <w:jc w:val="center"/>
              <w:ind w:left="172"/>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96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460" w:type="dxa"/>
            <w:vAlign w:val="bottom"/>
            <w:gridSpan w:val="4"/>
            <w:shd w:val="clear" w:color="auto" w:fill="CCEEFF"/>
          </w:tcPr>
          <w:p>
            <w:pPr>
              <w:jc w:val="center"/>
              <w:ind w:left="192"/>
              <w:spacing w:after="0" w:line="202"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4"/>
            <w:shd w:val="clear" w:color="auto" w:fill="CCEEFF"/>
          </w:tcPr>
          <w:p>
            <w:pPr>
              <w:jc w:val="center"/>
              <w:ind w:left="192"/>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96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Critical Accounting Policies and Estimates</w:t>
              </w:r>
            </w:hyperlink>
          </w:p>
        </w:tc>
        <w:tc>
          <w:tcPr>
            <w:tcW w:w="460" w:type="dxa"/>
            <w:vAlign w:val="bottom"/>
            <w:gridSpan w:val="4"/>
            <w:shd w:val="clear" w:color="auto" w:fill="CCEEFF"/>
          </w:tcPr>
          <w:p>
            <w:pPr>
              <w:jc w:val="center"/>
              <w:ind w:left="192"/>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460" w:type="dxa"/>
            <w:vAlign w:val="bottom"/>
            <w:gridSpan w:val="4"/>
            <w:shd w:val="clear" w:color="auto" w:fill="CCEEFF"/>
          </w:tcPr>
          <w:p>
            <w:pPr>
              <w:jc w:val="center"/>
              <w:ind w:left="1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760" w:type="dxa"/>
            <w:vAlign w:val="bottom"/>
            <w:tcBorders>
              <w:top w:val="single" w:sz="8" w:color="0000EE"/>
            </w:tcBorders>
          </w:tcPr>
          <w:p>
            <w:pPr>
              <w:spacing w:after="0"/>
              <w:rPr>
                <w:sz w:val="23"/>
                <w:szCs w:val="23"/>
                <w:color w:val="auto"/>
              </w:rPr>
            </w:pPr>
          </w:p>
        </w:tc>
        <w:tc>
          <w:tcPr>
            <w:tcW w:w="90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460" w:type="dxa"/>
            <w:vAlign w:val="bottom"/>
            <w:gridSpan w:val="4"/>
            <w:shd w:val="clear" w:color="auto" w:fill="CCEEFF"/>
          </w:tcPr>
          <w:p>
            <w:pPr>
              <w:jc w:val="center"/>
              <w:ind w:left="1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660" w:type="dxa"/>
            <w:vAlign w:val="bottom"/>
            <w:gridSpan w:val="26"/>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PART II. OTHER INFORMATION</w:t>
              </w:r>
            </w:hyperlink>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w:t>
              </w:r>
            </w:hyperlink>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460" w:type="dxa"/>
            <w:vAlign w:val="bottom"/>
            <w:gridSpan w:val="4"/>
            <w:shd w:val="clear" w:color="auto" w:fill="CCEEFF"/>
          </w:tcPr>
          <w:p>
            <w:pPr>
              <w:jc w:val="center"/>
              <w:ind w:left="1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1A.</w:t>
              </w:r>
            </w:hyperlink>
          </w:p>
        </w:tc>
        <w:tc>
          <w:tcPr>
            <w:tcW w:w="9580" w:type="dxa"/>
            <w:vAlign w:val="bottom"/>
            <w:gridSpan w:val="2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460" w:type="dxa"/>
            <w:vAlign w:val="bottom"/>
            <w:gridSpan w:val="4"/>
          </w:tcPr>
          <w:p>
            <w:pPr>
              <w:jc w:val="center"/>
              <w:ind w:left="1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2.</w:t>
              </w:r>
            </w:hyperlink>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460" w:type="dxa"/>
            <w:vAlign w:val="bottom"/>
            <w:gridSpan w:val="4"/>
            <w:shd w:val="clear" w:color="auto" w:fill="CCEEFF"/>
          </w:tcPr>
          <w:p>
            <w:pPr>
              <w:jc w:val="center"/>
              <w:ind w:left="1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9580" w:type="dxa"/>
            <w:vAlign w:val="bottom"/>
            <w:gridSpan w:val="2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460" w:type="dxa"/>
            <w:vAlign w:val="bottom"/>
            <w:gridSpan w:val="4"/>
          </w:tcPr>
          <w:p>
            <w:pPr>
              <w:jc w:val="center"/>
              <w:ind w:left="1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w:t>
              </w:r>
            </w:hyperlink>
          </w:p>
        </w:tc>
        <w:tc>
          <w:tcPr>
            <w:tcW w:w="460" w:type="dxa"/>
            <w:vAlign w:val="bottom"/>
            <w:gridSpan w:val="4"/>
            <w:shd w:val="clear" w:color="auto" w:fill="CCEEFF"/>
          </w:tcPr>
          <w:p>
            <w:pPr>
              <w:jc w:val="center"/>
              <w:ind w:left="1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5.</w:t>
              </w:r>
            </w:hyperlink>
          </w:p>
        </w:tc>
        <w:tc>
          <w:tcPr>
            <w:tcW w:w="9580" w:type="dxa"/>
            <w:vAlign w:val="bottom"/>
            <w:gridSpan w:val="2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460" w:type="dxa"/>
            <w:vAlign w:val="bottom"/>
            <w:gridSpan w:val="4"/>
          </w:tcPr>
          <w:p>
            <w:pPr>
              <w:jc w:val="center"/>
              <w:ind w:left="19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9580" w:type="dxa"/>
            <w:vAlign w:val="bottom"/>
            <w:gridSpan w:val="21"/>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460" w:type="dxa"/>
            <w:vAlign w:val="bottom"/>
            <w:gridSpan w:val="4"/>
            <w:shd w:val="clear" w:color="auto" w:fill="CCEEFF"/>
          </w:tcPr>
          <w:p>
            <w:pPr>
              <w:jc w:val="center"/>
              <w:ind w:left="192"/>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3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gridSpan w:val="4"/>
            <w:shd w:val="clear" w:color="auto" w:fill="CCEEFF"/>
          </w:tcPr>
          <w:p>
            <w:pPr>
              <w:jc w:val="center"/>
              <w:ind w:left="192"/>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300" w:type="dxa"/>
            <w:vAlign w:val="bottom"/>
            <w:shd w:val="clear" w:color="auto" w:fill="CCEEFF"/>
          </w:tcPr>
          <w:p>
            <w:pPr>
              <w:spacing w:after="0"/>
              <w:rPr>
                <w:sz w:val="21"/>
                <w:szCs w:val="21"/>
                <w:color w:val="auto"/>
              </w:rPr>
            </w:pPr>
          </w:p>
        </w:tc>
      </w:tr>
      <w:tr>
        <w:trPr>
          <w:trHeight w:val="675"/>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320" w:type="dxa"/>
            <w:vAlign w:val="bottom"/>
            <w:tcBorders>
              <w:top w:val="single" w:sz="8" w:color="CCEEFF"/>
            </w:tcBorders>
            <w:gridSpan w:val="16"/>
          </w:tcPr>
          <w:p>
            <w:pPr>
              <w:ind w:left="458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24" w:lineRule="exact"/>
        <w:rPr>
          <w:sz w:val="20"/>
          <w:szCs w:val="20"/>
          <w:color w:val="auto"/>
        </w:rPr>
      </w:pPr>
    </w:p>
    <w:p>
      <w:pPr>
        <w:ind w:left="8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8" w:lineRule="exact"/>
        <w:rPr>
          <w:rFonts w:ascii="Arial" w:cs="Arial" w:eastAsia="Arial" w:hAnsi="Arial"/>
          <w:sz w:val="17"/>
          <w:szCs w:val="17"/>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financial strength rating resulting in a reduction of new or renewal business;</w:t>
      </w:r>
    </w:p>
    <w:p>
      <w:pPr>
        <w:spacing w:after="0" w:line="117" w:lineRule="exact"/>
        <w:rPr>
          <w:rFonts w:ascii="Arial" w:cs="Arial" w:eastAsia="Arial" w:hAnsi="Arial"/>
          <w:sz w:val="18"/>
          <w:szCs w:val="18"/>
          <w:color w:val="auto"/>
        </w:rPr>
      </w:pPr>
    </w:p>
    <w:p>
      <w:pPr>
        <w:ind w:left="820" w:right="28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90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7" w:lineRule="exact"/>
        <w:rPr>
          <w:rFonts w:ascii="Arial" w:cs="Arial" w:eastAsia="Arial" w:hAnsi="Arial"/>
          <w:sz w:val="18"/>
          <w:szCs w:val="18"/>
          <w:color w:val="auto"/>
        </w:rPr>
      </w:pPr>
    </w:p>
    <w:p>
      <w:pPr>
        <w:ind w:left="820" w:right="34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recently enacted Public Law No. 115-97, informally titled the Tax Cuts and Jobs Act, may have a significant effect on us including, among other things, by potentially increasing our tax rate, as well as on our shareholders;</w:t>
      </w:r>
    </w:p>
    <w:p>
      <w:pPr>
        <w:spacing w:after="0" w:line="62" w:lineRule="exact"/>
        <w:rPr>
          <w:rFonts w:ascii="Arial" w:cs="Arial" w:eastAsia="Arial" w:hAnsi="Arial"/>
          <w:sz w:val="18"/>
          <w:szCs w:val="18"/>
          <w:color w:val="auto"/>
        </w:rPr>
      </w:pPr>
    </w:p>
    <w:p>
      <w:pPr>
        <w:ind w:left="820" w:right="260" w:hanging="488"/>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5" w:lineRule="exact"/>
        <w:rPr>
          <w:rFonts w:ascii="Arial" w:cs="Arial" w:eastAsia="Arial" w:hAnsi="Arial"/>
          <w:sz w:val="16"/>
          <w:szCs w:val="16"/>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7" w:lineRule="exact"/>
        <w:rPr>
          <w:rFonts w:ascii="Arial" w:cs="Arial" w:eastAsia="Arial" w:hAnsi="Arial"/>
          <w:sz w:val="18"/>
          <w:szCs w:val="18"/>
          <w:color w:val="auto"/>
        </w:rPr>
      </w:pPr>
    </w:p>
    <w:p>
      <w:pPr>
        <w:ind w:left="820" w:right="7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89" w:lineRule="exact"/>
        <w:rPr>
          <w:rFonts w:ascii="Arial" w:cs="Arial" w:eastAsia="Arial" w:hAnsi="Arial"/>
          <w:sz w:val="18"/>
          <w:szCs w:val="18"/>
          <w:color w:val="auto"/>
        </w:rPr>
      </w:pPr>
    </w:p>
    <w:p>
      <w:pPr>
        <w:ind w:left="820" w:right="40" w:hanging="488"/>
        <w:spacing w:after="0" w:line="34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which substantially exceed our expectations and/or exceed the amount of reinsurance we have purchased to protect us from such events;</w:t>
      </w:r>
    </w:p>
    <w:p>
      <w:pPr>
        <w:spacing w:after="0" w:line="21"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7" w:lineRule="exact"/>
        <w:rPr>
          <w:rFonts w:ascii="Arial" w:cs="Arial" w:eastAsia="Arial" w:hAnsi="Arial"/>
          <w:sz w:val="18"/>
          <w:szCs w:val="18"/>
          <w:color w:val="auto"/>
        </w:rPr>
      </w:pPr>
    </w:p>
    <w:p>
      <w:pPr>
        <w:ind w:left="820" w:right="4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62" w:lineRule="exact"/>
        <w:rPr>
          <w:rFonts w:ascii="Arial" w:cs="Arial" w:eastAsia="Arial" w:hAnsi="Arial"/>
          <w:sz w:val="18"/>
          <w:szCs w:val="18"/>
          <w:color w:val="auto"/>
        </w:rPr>
      </w:pPr>
    </w:p>
    <w:p>
      <w:pPr>
        <w:ind w:left="820" w:right="34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or insurance companies with whom we have a fronting arrangement failing to pay us for claims;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 and</w:t>
      </w:r>
    </w:p>
    <w:p>
      <w:pPr>
        <w:spacing w:after="0" w:line="130"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filed with the SEC on March 1, 2018.</w:t>
      </w:r>
    </w:p>
    <w:p>
      <w:pPr>
        <w:spacing w:after="0" w:line="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0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892"/>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Invested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Available-for-sale, at fair value (amortized cost: 2018 – $1,177,675; 2017 – $1,008,662)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1,154,488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Trading, at fair value (amortized cost: 2018 – $0; 2017 – $3,801)</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 securities, at fair value (cost: 2018 – $78,319; 2017 – $75,318)</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84,827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 held-for-investment, at amortized cost, net of allowance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238,214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70,208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invested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1,619,286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1,447,654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184,417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163,495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Premiums receivable and agents’ balances, net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315,287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352,436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recoverable on unpaid losses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302,524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Reinsurance recoverable on paid losses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reinsurance premiums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91,979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72,365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86,404</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3,035,434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2,756,695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212"/>
              <w:spacing w:after="0"/>
              <w:rPr>
                <w:sz w:val="20"/>
                <w:szCs w:val="20"/>
                <w:color w:val="auto"/>
              </w:rPr>
            </w:pPr>
            <w:r>
              <w:rPr>
                <w:rFonts w:ascii="Arial" w:cs="Arial" w:eastAsia="Arial" w:hAnsi="Arial"/>
                <w:sz w:val="14"/>
                <w:szCs w:val="14"/>
                <w:b w:val="1"/>
                <w:bCs w:val="1"/>
                <w:i w:val="1"/>
                <w:iCs w:val="1"/>
                <w:color w:val="auto"/>
                <w:w w:val="93"/>
              </w:rPr>
              <w:t>(in thousands, except share amounts)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losses and loss adjustment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1,569,761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1,292,349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394,994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418,114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Payables to reinsurers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56,268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Senior debt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98,300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98,300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subordinated debt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47,763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53,615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2,338,026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2,061,996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Shares – 2018 and 2017: $0.0002 par value; 200,000,000 shares authorized; 29,950,120 and 29,696,682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6"/>
              </w:rPr>
              <w:t>Preferred Shares – 2018 and 2017: $0.00125 par value; 20,000,000 shares authorized; no shares issued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636,149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77,178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48,198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697,408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694,699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3,035,434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2,756,695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54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279,969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338,351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871,463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844,005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written premiums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(221,507)</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173,441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256,764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573,025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622,498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unearned premiums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40,817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(81,618)</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204,690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202,116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613,842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540,880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45,327</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224,692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220,866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671,077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599,662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150,387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150,445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448,754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386,898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155,714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156,189</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202,576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613,340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550,536</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13,589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57,737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49,126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19,581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10,351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52,198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43,342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w w:val="95"/>
              </w:rPr>
              <w:t>Net unrealized (losses) gains, net of taxes of $(407) and $(1,134) in 2018</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and $(136) and $2,535 in 2017</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11,458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15,192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22,704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54,800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Per share data:</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Dividend declared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29,935,216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29,524,243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29,861,467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29,407,762</w:t>
            </w: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30,380,145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30,220,077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30,290,183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w w:val="90"/>
              </w:rPr>
              <w:t>30,285,733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0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Shares (Par)</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(Loss) Income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gridSpan w:val="7"/>
          </w:tcPr>
          <w:p>
            <w:pPr>
              <w:ind w:left="38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2016</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29,257,566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636,856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693,221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43,342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43,342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(26,670)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24,922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Compensation expense under share incentive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Balances at September 30, 2017</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29,582,656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636,474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71,904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12,585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720,969</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2017</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29,696,682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636,149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694,699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52,198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52,198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Vesting of RSUs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43,304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Compensation expense under share incentive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9"/>
              </w:rPr>
              <w:t>Cumulative effect of adoption of ASU No.</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2016-01, net of taxes</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Cumulative effect of adoption of ASU No.</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2018-02</w:t>
            </w: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vMerge w:val="continue"/>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Balances at September 30, 2018</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29,950,120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643,343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77,178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697,408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8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251,913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121,001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Securities available-for-sale: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 – fixed maturity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(174,635)</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Sales – fixed maturity securities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82,498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58,678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 and calls – fixed maturity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48,172</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Purchases – equity securities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 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(192,624)</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98,739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105,747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47,157</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Return of capital</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Securities receivable or payable, net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(205,574)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(92,002)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(26,596)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shares under equity incentive plans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Common share repurchases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163,495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109,784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184,417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106,500</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right="9600" w:firstLine="8"/>
        <w:spacing w:after="0" w:line="400" w:lineRule="auto"/>
        <w:tabs>
          <w:tab w:leader="none" w:pos="30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owns six insurance companies based in the United States (“U.S.”) focused on specialty insurance niches and two Bermuda-based reinsurance companies as described below:</w:t>
      </w:r>
    </w:p>
    <w:p>
      <w:pPr>
        <w:spacing w:after="0" w:line="62"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3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River Insurance Company is an Ohio domiciled excess and surplus lines insurance company that, with its wholly-owned insurance subsidiary, James River Casualty Company, is authorized to write business in every state and the District of Columbia.</w:t>
      </w:r>
    </w:p>
    <w:p>
      <w:pPr>
        <w:spacing w:after="0" w:line="62"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Falls Lake National Insurance Company (“Falls Lake National”) is an Ohio domiciled insurance company which wholly owns Stonewood Insurance Company (“Stonewood Insurance”), a North Carolina domiciled company, Falls Lake General Insurance Company, an Ohio domiciled company, and Falls Lake Fire and Casualty Company, a California domiciled company. Falls Lake National began writing specialty admitted fronting and program business in late 2013. Falls Lake Fire and Casualty began operations in 2016.</w:t>
      </w:r>
    </w:p>
    <w:p>
      <w:pPr>
        <w:spacing w:after="0" w:line="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provides reinsurance to the Company’s U.S.-based insurance subsidiaries. Carolina Re is a party to a stop loss reinsurance treaty with JRG 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2017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2017 was derived from the Company’s audited annual consolidated financial statements.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purpose, and the Company’s relative exposure to the related risks of the VIE on the date it becomes initially involved in the VIE. The Company reassesses its VIE determination with respect to an entity on an ongoing basis.</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$31.9 million and $32.1 million as of September 30, 2018 and December 31, 2017, respectively, representing the Company’s maximum exposure to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effective tax rate fluctuates from period to period based on the relative mix of income reported by country and the respective tax rates imposed by each tax jurisdiction. For the three months ended September 30, 2018 and 2017, our U.S. federal income tax expense was 11.5% and 23.8% of income before taxes, respectively (9.6% and 11.8% for the nine months ended September 30, 2018 and 2017, respectively). For U.S.-sourced income, the Company’s U.S. federal income tax expense differs from the amounts computed by applying the federal statutory income tax rate (21% in 2018 and 35% in 2017) to income before taxes due primarily to interest income on tax-advantaged state and municipal securities (state and municipal securities represent 11.8% and 12.2% of our available-for-sale securities at September 30, 2018 and 2017, respectively), dividends received income, and excess tax benefits on share based compensation.</w:t>
      </w:r>
    </w:p>
    <w:p>
      <w:pPr>
        <w:spacing w:after="0" w:line="8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Financial results reflect provisional amounts related to the December 2017 enactment of the Tax Cuts and Jobs Act of 2017 (the </w:t>
      </w:r>
      <w:r>
        <w:rPr>
          <w:rFonts w:ascii="Arial" w:cs="Arial" w:eastAsia="Arial" w:hAnsi="Arial"/>
          <w:sz w:val="18"/>
          <w:szCs w:val="18"/>
          <w:color w:val="231F20"/>
        </w:rPr>
        <w:t>“</w:t>
      </w:r>
      <w:r>
        <w:rPr>
          <w:rFonts w:ascii="Arial" w:cs="Arial" w:eastAsia="Arial" w:hAnsi="Arial"/>
          <w:sz w:val="18"/>
          <w:szCs w:val="18"/>
          <w:color w:val="auto"/>
        </w:rPr>
        <w:t>Tax Act</w:t>
      </w:r>
      <w:r>
        <w:rPr>
          <w:rFonts w:ascii="Arial" w:cs="Arial" w:eastAsia="Arial" w:hAnsi="Arial"/>
          <w:sz w:val="18"/>
          <w:szCs w:val="18"/>
          <w:color w:val="231F20"/>
        </w:rPr>
        <w:t>”</w:t>
      </w:r>
      <w:r>
        <w:rPr>
          <w:rFonts w:ascii="Arial" w:cs="Arial" w:eastAsia="Arial" w:hAnsi="Arial"/>
          <w:sz w:val="18"/>
          <w:szCs w:val="18"/>
          <w:color w:val="auto"/>
        </w:rPr>
        <w:t>). These provisional estimates are based on the Company’s initial analysis and current interpretation of the legislation. Given the complexity of the legislation, anticipated guidance from the U.S. Treasury, and the potential for additional guidance from the SEC or the Financial Accounting Standards Board (</w:t>
      </w:r>
      <w:r>
        <w:rPr>
          <w:rFonts w:ascii="Arial" w:cs="Arial" w:eastAsia="Arial" w:hAnsi="Arial"/>
          <w:sz w:val="18"/>
          <w:szCs w:val="18"/>
          <w:color w:val="231F20"/>
        </w:rPr>
        <w:t>“FASB”)</w:t>
      </w:r>
      <w:r>
        <w:rPr>
          <w:rFonts w:ascii="Arial" w:cs="Arial" w:eastAsia="Arial" w:hAnsi="Arial"/>
          <w:sz w:val="18"/>
          <w:szCs w:val="18"/>
          <w:color w:val="auto"/>
        </w:rPr>
        <w:t>, these estimates may be adjusted during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 xml:space="preserve">Effective January 1, 2018, the Company adopted Accounting Standards Update (“ASU”) 2014-09, </w:t>
      </w:r>
      <w:r>
        <w:rPr>
          <w:rFonts w:ascii="Arial" w:cs="Arial" w:eastAsia="Arial" w:hAnsi="Arial"/>
          <w:sz w:val="16"/>
          <w:szCs w:val="16"/>
          <w:i w:val="1"/>
          <w:iCs w:val="1"/>
          <w:color w:val="231F20"/>
        </w:rPr>
        <w:t>Revenue from Contracts with Customers (Topic 606)</w:t>
      </w:r>
      <w:r>
        <w:rPr>
          <w:rFonts w:ascii="Arial" w:cs="Arial" w:eastAsia="Arial" w:hAnsi="Arial"/>
          <w:sz w:val="16"/>
          <w:szCs w:val="16"/>
          <w:color w:val="231F20"/>
        </w:rPr>
        <w:t xml:space="preserve">. </w:t>
      </w:r>
      <w:r>
        <w:rPr>
          <w:rFonts w:ascii="Arial" w:cs="Arial" w:eastAsia="Arial" w:hAnsi="Arial"/>
          <w:sz w:val="16"/>
          <w:szCs w:val="16"/>
          <w:color w:val="000000"/>
        </w:rPr>
        <w:t>The guidance applies to all companies that either enter into contracts with customers to transfer goods or services or enter into contracts for the transfer of nonfinancial assets, unless those contracts are within the scope of other standards, such as insurance contracts. Under this guidance, a company will recognize revenue when it transfers promised goods or services to customers in an amount that reflects the consideration to which the company expects to be entitled in exchange for those goods or services. Judgments required in adopting this update may include identifying performance obligations in the contract, estimating the amount of variable consideration to include in the transaction price and allocating the transaction price to each separate performance obligation. The adoption of ASU 2014-09 had no impact on reported fee income and there was no cumulative effect of initially applying the update.</w:t>
      </w:r>
    </w:p>
    <w:p>
      <w:pPr>
        <w:spacing w:after="0" w:line="5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231F20"/>
        </w:rPr>
        <w:t xml:space="preserve">Effective January 1, 2018, the Company adopted ASU 2016-01, </w:t>
      </w:r>
      <w:r>
        <w:rPr>
          <w:rFonts w:ascii="Arial" w:cs="Arial" w:eastAsia="Arial" w:hAnsi="Arial"/>
          <w:sz w:val="16"/>
          <w:szCs w:val="16"/>
          <w:i w:val="1"/>
          <w:iCs w:val="1"/>
          <w:color w:val="231F20"/>
        </w:rPr>
        <w:t>Financial Instruments - Overall (Subtopic 825-10): Recognition and Measurement of</w:t>
      </w:r>
      <w:r>
        <w:rPr>
          <w:rFonts w:ascii="Arial" w:cs="Arial" w:eastAsia="Arial" w:hAnsi="Arial"/>
          <w:sz w:val="16"/>
          <w:szCs w:val="16"/>
          <w:color w:val="231F20"/>
        </w:rPr>
        <w:t xml:space="preserve"> </w:t>
      </w:r>
      <w:r>
        <w:rPr>
          <w:rFonts w:ascii="Arial" w:cs="Arial" w:eastAsia="Arial" w:hAnsi="Arial"/>
          <w:sz w:val="16"/>
          <w:szCs w:val="16"/>
          <w:i w:val="1"/>
          <w:iCs w:val="1"/>
          <w:color w:val="231F20"/>
        </w:rPr>
        <w:t>Financial Assets and Financial Liabilities</w:t>
      </w:r>
      <w:r>
        <w:rPr>
          <w:rFonts w:ascii="Arial" w:cs="Arial" w:eastAsia="Arial" w:hAnsi="Arial"/>
          <w:sz w:val="16"/>
          <w:szCs w:val="16"/>
          <w:color w:val="231F20"/>
        </w:rPr>
        <w:t>. Among other things, this ASU requires equity investments (except those accounted for under the equity method of</w:t>
      </w:r>
      <w:r>
        <w:rPr>
          <w:rFonts w:ascii="Arial" w:cs="Arial" w:eastAsia="Arial" w:hAnsi="Arial"/>
          <w:sz w:val="16"/>
          <w:szCs w:val="16"/>
          <w:i w:val="1"/>
          <w:iCs w:val="1"/>
          <w:color w:val="231F20"/>
        </w:rPr>
        <w:t xml:space="preserve"> </w:t>
      </w:r>
      <w:r>
        <w:rPr>
          <w:rFonts w:ascii="Arial" w:cs="Arial" w:eastAsia="Arial" w:hAnsi="Arial"/>
          <w:sz w:val="16"/>
          <w:szCs w:val="16"/>
          <w:color w:val="231F20"/>
        </w:rPr>
        <w:t xml:space="preserve">accounting or those that result in consolidation of the investee) to be measured at fair value with changes in fair value recognized in net income. Upon adoption on January 1, 2018, the Company made a $4.7 million cumulative-effect adjustment to increase retained earnings and reduce accumulated other comprehensive income. The adoption of ASU 2016-01 did not materially impact the Company's financial position, cash flows, or total comprehensive income. The Company's results of operations were impacted as changes in fair value of equity instruments are now presented in net income rather than other comprehensive (loss) income. For the three and nine months ended </w:t>
      </w:r>
      <w:r>
        <w:rPr>
          <w:rFonts w:ascii="Arial" w:cs="Arial" w:eastAsia="Arial" w:hAnsi="Arial"/>
          <w:sz w:val="16"/>
          <w:szCs w:val="16"/>
          <w:color w:val="000000"/>
        </w:rPr>
        <w:t>September 30, 2018</w:t>
      </w:r>
      <w:r>
        <w:rPr>
          <w:rFonts w:ascii="Arial" w:cs="Arial" w:eastAsia="Arial" w:hAnsi="Arial"/>
          <w:sz w:val="16"/>
          <w:szCs w:val="16"/>
          <w:color w:val="231F20"/>
        </w:rPr>
        <w:t>, the respective impact on net income was an increase of $420,000 ($0.01 increase in basic and diluted earnings per share) and a reduction of $502,000 ($0.02 reduction in basic and diluted earnings per share).</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 xml:space="preserve">Effective January 1, 2018, the Company adopted ASU </w:t>
      </w:r>
      <w:r>
        <w:rPr>
          <w:rFonts w:ascii="Arial" w:cs="Arial" w:eastAsia="Arial" w:hAnsi="Arial"/>
          <w:sz w:val="17"/>
          <w:szCs w:val="17"/>
          <w:color w:val="000000"/>
        </w:rPr>
        <w:t>2018-02,</w:t>
      </w:r>
      <w:r>
        <w:rPr>
          <w:rFonts w:ascii="Arial" w:cs="Arial" w:eastAsia="Arial" w:hAnsi="Arial"/>
          <w:sz w:val="17"/>
          <w:szCs w:val="17"/>
          <w:color w:val="231F20"/>
        </w:rPr>
        <w:t xml:space="preserve"> </w:t>
      </w:r>
      <w:r>
        <w:rPr>
          <w:rFonts w:ascii="Arial" w:cs="Arial" w:eastAsia="Arial" w:hAnsi="Arial"/>
          <w:sz w:val="17"/>
          <w:szCs w:val="17"/>
          <w:i w:val="1"/>
          <w:iCs w:val="1"/>
          <w:color w:val="000000"/>
        </w:rPr>
        <w:t>Income Statement - Reporting Comprehensive Income (Topic 220): Reclassification of</w:t>
      </w:r>
      <w:r>
        <w:rPr>
          <w:rFonts w:ascii="Arial" w:cs="Arial" w:eastAsia="Arial" w:hAnsi="Arial"/>
          <w:sz w:val="17"/>
          <w:szCs w:val="17"/>
          <w:color w:val="231F20"/>
        </w:rPr>
        <w:t xml:space="preserve"> </w:t>
      </w:r>
      <w:r>
        <w:rPr>
          <w:rFonts w:ascii="Arial" w:cs="Arial" w:eastAsia="Arial" w:hAnsi="Arial"/>
          <w:sz w:val="17"/>
          <w:szCs w:val="17"/>
          <w:i w:val="1"/>
          <w:iCs w:val="1"/>
          <w:color w:val="000000"/>
        </w:rPr>
        <w:t xml:space="preserve">Certain Tax Effects from Accumulated Other Comprehensive Income. </w:t>
      </w:r>
      <w:r>
        <w:rPr>
          <w:rFonts w:ascii="Arial" w:cs="Arial" w:eastAsia="Arial" w:hAnsi="Arial"/>
          <w:sz w:val="17"/>
          <w:szCs w:val="17"/>
          <w:color w:val="000000"/>
        </w:rPr>
        <w:t>This update was issued as a result of the enactment of the Tax Act on December 22,</w:t>
      </w:r>
      <w:r>
        <w:rPr>
          <w:rFonts w:ascii="Arial" w:cs="Arial" w:eastAsia="Arial" w:hAnsi="Arial"/>
          <w:sz w:val="17"/>
          <w:szCs w:val="17"/>
          <w:i w:val="1"/>
          <w:iCs w:val="1"/>
          <w:color w:val="000000"/>
        </w:rPr>
        <w:t xml:space="preserve"> </w:t>
      </w:r>
      <w:r>
        <w:rPr>
          <w:rFonts w:ascii="Arial" w:cs="Arial" w:eastAsia="Arial" w:hAnsi="Arial"/>
          <w:sz w:val="17"/>
          <w:szCs w:val="17"/>
          <w:color w:val="000000"/>
        </w:rPr>
        <w:t>2017. The ASU allows for the option to reclassify the stranded tax effects resulting from the implementation of the Tax Act out of accumulated other comprehensive income and into retained earnings. As the adoption of ASU 2016-01 in 2018 resulted in the reclassification of the entire unrealized balance on equity securities from accumulated other comprehensive income into retained earnings, only the stranded tax effects on the unrealized balances of fixed income securities were impacted by the adoption of ASU 2018-02. The reclassification resulted in a $711,000 decrease to the Company's retained earnings with a corresponding increase to accumulated other comprehensive income in the first quarter of 2018.</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Accounting Standards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xml:space="preserve">. Under current guidance for lessees, leases are only included on the balance sheet if they are designated as capital leases. This update will require the recognition of a right-of-use asset and a corresponding lease liability, discounted to the present value, for all leases that extend beyond 12 months. This ASU is effective for annual and interim reporting periods beginning after December 15, 2018. </w:t>
      </w:r>
      <w:r>
        <w:rPr>
          <w:rFonts w:ascii="Arial" w:cs="Arial" w:eastAsia="Arial" w:hAnsi="Arial"/>
          <w:sz w:val="18"/>
          <w:szCs w:val="18"/>
          <w:color w:val="000000"/>
        </w:rPr>
        <w:t>In the third quarter of 2018, the FASB issued ASU 2018-10 to clarify certain aspects of the guidance and ASU 2018-11, which provides an optional alternative transition method to initially apply the new leases standard at the adoption date (collectively, with ASU 2016-02, Topic 842). Topic 842 now allows for the use of either the modified retrospective adoption method or the alternative transition method. The Company plans to elect the alternative transition method, which does not require the restatement of prior years. Adoption of this standard will impact the Company's consolidated balance sheets but is not expected to have a material impact on the Company's results of operations or cash flows. The Company will finalize its evaluation of the new standard in the fourth quarter of 2018.</w:t>
      </w:r>
    </w:p>
    <w:p>
      <w:pPr>
        <w:spacing w:after="0" w:line="8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 xml:space="preserve">In June 2016, the FASB issued ASU 2016-13, </w:t>
      </w:r>
      <w:r>
        <w:rPr>
          <w:rFonts w:ascii="Arial" w:cs="Arial" w:eastAsia="Arial" w:hAnsi="Arial"/>
          <w:sz w:val="17"/>
          <w:szCs w:val="17"/>
          <w:i w:val="1"/>
          <w:iCs w:val="1"/>
          <w:color w:val="231F20"/>
        </w:rPr>
        <w:t>Financial Instruments - Credit Losses (Topic 326): Measurement of Credit Losses on Financial</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Instruments. </w:t>
      </w:r>
      <w:r>
        <w:rPr>
          <w:rFonts w:ascii="Arial" w:cs="Arial" w:eastAsia="Arial" w:hAnsi="Arial"/>
          <w:sz w:val="17"/>
          <w:szCs w:val="17"/>
          <w:color w:val="231F20"/>
        </w:rPr>
        <w:t>Current GAAP delays the recognition of credit losses until it is probable a loss has been incurred. The update will require financial assets</w:t>
      </w:r>
      <w:r>
        <w:rPr>
          <w:rFonts w:ascii="Arial" w:cs="Arial" w:eastAsia="Arial" w:hAnsi="Arial"/>
          <w:sz w:val="17"/>
          <w:szCs w:val="17"/>
          <w:i w:val="1"/>
          <w:iCs w:val="1"/>
          <w:color w:val="231F20"/>
        </w:rPr>
        <w:t xml:space="preserve"> </w:t>
      </w:r>
      <w:r>
        <w:rPr>
          <w:rFonts w:ascii="Arial" w:cs="Arial" w:eastAsia="Arial" w:hAnsi="Arial"/>
          <w:sz w:val="17"/>
          <w:szCs w:val="17"/>
          <w:color w:val="231F20"/>
        </w:rPr>
        <w:t>measured at amortized cost, such as bank loan participations held for investment, to be presented at the net amount expected to be collected by means of an allowance for credit losses that runs through net income. Credit losses relating to available-for-sale debt securities will also be recorded through an allowance for credit losses, with the amount of the allowance limited to the amount by which fair value is below amortized cost. This ASU is effective for annual and interim reporting periods beginning after December 15, 2019. Upon adoption, this ASU will be applied using the modified-retrospective approach, by which a cumulative-effect adjustment will be made to retained earnings as of the beginning of the first reporting period presented. The Company has not yet completed the analysis of how adopting this ASU will affect the Company’s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Cost or</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6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146,287</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213,908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206,588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506,715</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189,203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186,084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108,629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106,875</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1,177,675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1,154,488</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2017</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139,382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144,366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158,661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408,857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413,721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182,611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Obligations of U.S. government corporations and agencies</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35,948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35,847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78,874</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1,008,662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14,564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September 30, 2018 are summarized, by contractual maturity,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38,130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37,994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402,788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397,242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210,301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203,281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121,320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121,360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213,908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206,588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189,203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186,084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1,177,675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1,154,488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48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91,079</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110,232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83,413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193,645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338,976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114,909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147,635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72,263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Redeemable preferred stock</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703,140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264,249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967,389</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40,117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10,662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50,779</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113,464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66,954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180,418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w w:val="95"/>
              </w:rPr>
              <w:t>Obligations of U.S. government corporations and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40"/>
              <w:spacing w:after="0"/>
              <w:rPr>
                <w:sz w:val="20"/>
                <w:szCs w:val="20"/>
                <w:color w:val="auto"/>
              </w:rPr>
            </w:pPr>
            <w:r>
              <w:rPr>
                <w:rFonts w:ascii="Arial" w:cs="Arial" w:eastAsia="Arial" w:hAnsi="Arial"/>
                <w:sz w:val="18"/>
                <w:szCs w:val="18"/>
                <w:color w:val="auto"/>
              </w:rPr>
              <w:t>agencies</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32,154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77,467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Redeemable preferred stock</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313,795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245,969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559,764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held securities of 248 issuers that were in an unrealized loss position at September 30, 2018 with a total fair value of $967.4 million and gross unrealized losses of $27.7 million. The unrealized loss position is generally due to a rise in interest rates. None of the fixed maturity securities with unrealized losses has ever missed, or been delinquent on, a scheduled principal or interest payment.</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2018, 99.7% of the Company’s fixed maturity security portfolio was rated “BBB-” or better (“investment grade”) by Standard &amp; Poor’s or received an equivalent rating from another nationally recognized rating agency.</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231F20"/>
        </w:rPr>
        <w:t>Management concluded that none of the fixed maturity securities with an unrealized loss at September 30, 2018 or December 31, 2017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A</w:t>
      </w:r>
      <w:r>
        <w:rPr>
          <w:rFonts w:ascii="Arial" w:cs="Arial" w:eastAsia="Arial" w:hAnsi="Arial"/>
          <w:sz w:val="17"/>
          <w:szCs w:val="17"/>
          <w:color w:val="000000"/>
        </w:rPr>
        <w:t>t</w:t>
      </w:r>
      <w:r>
        <w:rPr>
          <w:rFonts w:ascii="Arial" w:cs="Arial" w:eastAsia="Arial" w:hAnsi="Arial"/>
          <w:sz w:val="17"/>
          <w:szCs w:val="17"/>
          <w:color w:val="231F20"/>
        </w:rPr>
        <w:t xml:space="preserve"> December 31, 2017</w:t>
      </w:r>
      <w:r>
        <w:rPr>
          <w:rFonts w:ascii="Arial" w:cs="Arial" w:eastAsia="Arial" w:hAnsi="Arial"/>
          <w:sz w:val="17"/>
          <w:szCs w:val="17"/>
          <w:color w:val="000000"/>
        </w:rPr>
        <w:t xml:space="preserve">, management concluded that one equity security, based on the severity and duration of the impairment, had experienced an other-than-temporary impairment. Accordingly, the Company recorded an impairment loss of $1.5 million in 2017. Management concluded that none of the other equity securities with an unrealized loss at </w:t>
      </w:r>
      <w:r>
        <w:rPr>
          <w:rFonts w:ascii="Arial" w:cs="Arial" w:eastAsia="Arial" w:hAnsi="Arial"/>
          <w:sz w:val="17"/>
          <w:szCs w:val="17"/>
          <w:color w:val="231F20"/>
        </w:rPr>
        <w:t>December 31, 2017</w:t>
      </w:r>
      <w:r>
        <w:rPr>
          <w:rFonts w:ascii="Arial" w:cs="Arial" w:eastAsia="Arial" w:hAnsi="Arial"/>
          <w:sz w:val="17"/>
          <w:szCs w:val="17"/>
          <w:color w:val="000000"/>
        </w:rPr>
        <w:t xml:space="preserve"> experienced an other-than-temporary impairment.</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At December 31, 2017, the Company held a participation in a loan with unpaid principal of $807,000 issued by a company that produces and supplies power to Puerto Rico through a power purchase agreement with Puerto Rico Electric Power Authority (“PREPA”), a public corporation and governmental agency of the Commonwealth of Puerto Rico. Management concluded that an allowance for credit losses should be established on the loan at December 31, 2017 to reduce its carrying value to $0. In the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231F20"/>
        </w:rPr>
        <w:t>first quarter of 2018, the full outstanding principal on the loan was repaid and the Company recognized a realized gain of $807,000 on the repayment.</w:t>
      </w:r>
    </w:p>
    <w:p>
      <w:pPr>
        <w:spacing w:after="0" w:line="1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231F20"/>
        </w:rPr>
        <w:t>Management concluded that none of the loans in the Company's bank loan portfolio were impaired as of September 30, 2018. At December 31, 2017, the aggregate allowance for credit losses was $3.2 million on impaired loans from five issuers with a total carrying value of $5.1 million and unpaid principal of $8.4 million. The aggregate allowance for credit losses on impaired loans was $1.5 million at September 30, 2017 and $943,000 at December 31, 2016.</w:t>
      </w:r>
    </w:p>
    <w:p>
      <w:pPr>
        <w:spacing w:after="0" w:line="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September 30, 2018 or December 31, 2017.</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The allowance for credit losses is maintained at a level believed adequate by management to absorb estimated probable credit losses. Management’s periodic evaluation of the adequacy of the allowance is based on consultations and a</w:t>
      </w:r>
      <w:r>
        <w:rPr>
          <w:rFonts w:ascii="Arial" w:cs="Arial" w:eastAsia="Arial" w:hAnsi="Arial"/>
          <w:sz w:val="18"/>
          <w:szCs w:val="18"/>
          <w:color w:val="000000"/>
        </w:rPr>
        <w:t>dvice</w:t>
      </w:r>
      <w:r>
        <w:rPr>
          <w:rFonts w:ascii="Arial" w:cs="Arial" w:eastAsia="Arial" w:hAnsi="Arial"/>
          <w:sz w:val="18"/>
          <w:szCs w:val="18"/>
          <w:color w:val="231F20"/>
        </w:rPr>
        <w:t xml:space="preserve"> of the Company’s independent investment manager, known and inherent risks in the portfolio, adverse situations that may affect the borrower’s ability to repay, the estimated value of any underlying collateral, current economic conditions, and other relevant factors. The Company generally records an allowance equal to the difference between the fair value and the amortized cost of bank loans that it has determined to be impaired as a practical expedient for an estimate of probable future cash flows to be collected on those bank loans. Bank loans are charged off against the allowance after all means of collection have been exhausted and the potential for recovery is considered remote.</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average recorded investment in impaired bank loans was $2.6 million and $4.5 million during the nine months ended September 30, 2018 and 2017, respectively. Investment income of $125,000 and $231,000, respectively, was recognized during the time within those periods that the loans were impaired. The Company recorded net realized investment gains of $42,000 and net realized investment losses of $851,000 in the three and nine months ended September 30, 2018, respectively, for changes in the fair value of impaired bank loans ($729,000 and $594,000 of net realized investment losses in the three and nine months ended September 30, 2017, respectively).</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Changes in unrealized gains or losses on securities held for trading are recorded as trading gains or losses within net investment income. Net investment income for the nine months ended September 30, 2018 includes $4,000 of net trading losses, all relating to securities sold during the nine months ended September 30,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3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196"/>
        </w:trPr>
        <w:tc>
          <w:tcPr>
            <w:tcW w:w="5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9"/>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734</w:t>
            </w: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37"/>
        </w:trPr>
        <w:tc>
          <w:tcPr>
            <w:tcW w:w="56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(213)</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403</w:t>
            </w: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88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1,948</w:t>
            </w: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(839)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37"/>
        </w:trPr>
        <w:tc>
          <w:tcPr>
            <w:tcW w:w="56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(498)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420</w:t>
            </w: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Gross realized gains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409</w:t>
            </w: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Changes in fair values of equity securities</w:t>
            </w:r>
          </w:p>
        </w:tc>
        <w:tc>
          <w:tcPr>
            <w:tcW w:w="88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Short-term investments and other:</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gains</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Gross realized losses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1,183</w:t>
            </w:r>
          </w:p>
        </w:tc>
      </w:tr>
      <w:tr>
        <w:trPr>
          <w:trHeight w:val="20"/>
        </w:trPr>
        <w:tc>
          <w:tcPr>
            <w:tcW w:w="5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Investment Income</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2220" w:type="dxa"/>
            <w:vAlign w:val="bottom"/>
            <w:gridSpan w:val="5"/>
          </w:tcPr>
          <w:p>
            <w:pPr>
              <w:ind w:left="280"/>
              <w:spacing w:after="0" w:line="153"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473"/>
              <w:spacing w:after="0" w:line="15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31,875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32,063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1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31,848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1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invested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76,973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70,208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5,588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10,737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20" w:hanging="202"/>
        <w:spacing w:after="0" w:line="272" w:lineRule="auto"/>
        <w:rPr>
          <w:sz w:val="20"/>
          <w:szCs w:val="20"/>
          <w:color w:val="auto"/>
        </w:rPr>
      </w:pPr>
      <w:r>
        <w:rPr>
          <w:rFonts w:ascii="Arial" w:cs="Arial" w:eastAsia="Arial" w:hAnsi="Arial"/>
          <w:sz w:val="17"/>
          <w:szCs w:val="17"/>
          <w:color w:val="auto"/>
        </w:rPr>
        <w:t>(a)The Company’s Corporate and Other segment owns equity interests ranging from 2.6% to 32.8% in various LLCs whose principal objective is capital appreciation and income generation from owning and operating renewable energy production facilities (wind and solar). The LLCs are managed by an entity for which two of our directors are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$2.8 million and $4.4 million in the nine months ended September 30, 2018 and 2017, respectively.</w:t>
      </w:r>
    </w:p>
    <w:p>
      <w:pPr>
        <w:spacing w:after="0" w:line="70" w:lineRule="exact"/>
        <w:rPr>
          <w:sz w:val="20"/>
          <w:szCs w:val="20"/>
          <w:color w:val="auto"/>
        </w:rPr>
      </w:pPr>
    </w:p>
    <w:p>
      <w:pPr>
        <w:jc w:val="both"/>
        <w:ind w:left="220" w:hanging="215"/>
        <w:spacing w:after="0" w:line="277" w:lineRule="auto"/>
        <w:rPr>
          <w:sz w:val="20"/>
          <w:szCs w:val="20"/>
          <w:color w:val="auto"/>
        </w:rPr>
      </w:pPr>
      <w:r>
        <w:rPr>
          <w:rFonts w:ascii="Arial" w:cs="Arial" w:eastAsia="Arial" w:hAnsi="Arial"/>
          <w:sz w:val="18"/>
          <w:szCs w:val="18"/>
          <w:color w:val="auto"/>
        </w:rPr>
        <w:t>(b)</w:t>
      </w:r>
      <w:r>
        <w:rPr>
          <w:rFonts w:ascii="Arial" w:cs="Arial" w:eastAsia="Arial" w:hAnsi="Arial"/>
          <w:sz w:val="18"/>
          <w:szCs w:val="18"/>
          <w:color w:val="231F20"/>
        </w:rPr>
        <w:t>The Company has invested in notes receivable for renewable energy projects. At</w:t>
      </w:r>
      <w:r>
        <w:rPr>
          <w:rFonts w:ascii="Arial" w:cs="Arial" w:eastAsia="Arial" w:hAnsi="Arial"/>
          <w:sz w:val="18"/>
          <w:szCs w:val="18"/>
          <w:color w:val="auto"/>
        </w:rPr>
        <w:t xml:space="preserve"> September 30, 2018</w:t>
      </w:r>
      <w:r>
        <w:rPr>
          <w:rFonts w:ascii="Arial" w:cs="Arial" w:eastAsia="Arial" w:hAnsi="Arial"/>
          <w:sz w:val="18"/>
          <w:szCs w:val="18"/>
          <w:color w:val="231F20"/>
        </w:rPr>
        <w:t>, the Company holds an $8.8 million note issued by</w:t>
      </w:r>
      <w:r>
        <w:rPr>
          <w:rFonts w:ascii="Arial" w:cs="Arial" w:eastAsia="Arial" w:hAnsi="Arial"/>
          <w:sz w:val="18"/>
          <w:szCs w:val="18"/>
          <w:color w:val="auto"/>
        </w:rPr>
        <w:t xml:space="preserve"> </w:t>
      </w:r>
      <w:r>
        <w:rPr>
          <w:rFonts w:ascii="Arial" w:cs="Arial" w:eastAsia="Arial" w:hAnsi="Arial"/>
          <w:sz w:val="18"/>
          <w:szCs w:val="18"/>
          <w:color w:val="231F20"/>
        </w:rPr>
        <w:t xml:space="preserve">an </w:t>
      </w:r>
      <w:r>
        <w:rPr>
          <w:rFonts w:ascii="Arial" w:cs="Arial" w:eastAsia="Arial" w:hAnsi="Arial"/>
          <w:sz w:val="18"/>
          <w:szCs w:val="18"/>
          <w:color w:val="000000"/>
        </w:rPr>
        <w:t>entity for which two of our directors are officers</w:t>
      </w:r>
      <w:r>
        <w:rPr>
          <w:rFonts w:ascii="Arial" w:cs="Arial" w:eastAsia="Arial" w:hAnsi="Arial"/>
          <w:sz w:val="18"/>
          <w:szCs w:val="18"/>
          <w:color w:val="231F20"/>
        </w:rPr>
        <w:t>. Interest on the note, which matures in 2021, is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ind w:left="180" w:right="20"/>
        <w:spacing w:after="0" w:line="324" w:lineRule="auto"/>
        <w:rPr>
          <w:sz w:val="20"/>
          <w:szCs w:val="20"/>
          <w:color w:val="auto"/>
        </w:rPr>
      </w:pPr>
      <w:r>
        <w:rPr>
          <w:rFonts w:ascii="Arial" w:cs="Arial" w:eastAsia="Arial" w:hAnsi="Arial"/>
          <w:sz w:val="18"/>
          <w:szCs w:val="18"/>
          <w:color w:val="231F20"/>
        </w:rPr>
        <w:t>fixed at 15.0%. Interest income on the note was $328,000 and $954,000 for the three and nine months ended September 30, 2018, respectively ($238,000 and $287,000 for the three and nine months ended September 30, 2017, respectively).</w:t>
      </w:r>
    </w:p>
    <w:p>
      <w:pPr>
        <w:spacing w:after="0" w:line="35" w:lineRule="exact"/>
        <w:rPr>
          <w:sz w:val="20"/>
          <w:szCs w:val="20"/>
          <w:color w:val="auto"/>
        </w:rPr>
      </w:pPr>
    </w:p>
    <w:p>
      <w:pPr>
        <w:jc w:val="both"/>
        <w:ind w:left="220" w:hanging="202"/>
        <w:spacing w:after="0" w:line="289" w:lineRule="auto"/>
        <w:rPr>
          <w:sz w:val="20"/>
          <w:szCs w:val="20"/>
          <w:color w:val="auto"/>
        </w:rPr>
      </w:pPr>
      <w:r>
        <w:rPr>
          <w:rFonts w:ascii="Arial" w:cs="Arial" w:eastAsia="Arial" w:hAnsi="Arial"/>
          <w:sz w:val="16"/>
          <w:szCs w:val="16"/>
          <w:color w:val="auto"/>
        </w:rPr>
        <w:t>(c)The Company owns investments in limited partnerships that invest in concentrated portfolios including publicly-traded small cap equities, loans of middle market private equity sponsored companies, equity tranches of collateralized loan obligations (</w:t>
      </w:r>
      <w:r>
        <w:rPr>
          <w:rFonts w:ascii="Arial" w:cs="Arial" w:eastAsia="Arial" w:hAnsi="Arial"/>
          <w:sz w:val="16"/>
          <w:szCs w:val="16"/>
          <w:color w:val="231F20"/>
        </w:rPr>
        <w:t>“</w:t>
      </w:r>
      <w:r>
        <w:rPr>
          <w:rFonts w:ascii="Arial" w:cs="Arial" w:eastAsia="Arial" w:hAnsi="Arial"/>
          <w:sz w:val="16"/>
          <w:szCs w:val="16"/>
          <w:color w:val="auto"/>
        </w:rPr>
        <w:t>CLOs</w:t>
      </w:r>
      <w:r>
        <w:rPr>
          <w:rFonts w:ascii="Arial" w:cs="Arial" w:eastAsia="Arial" w:hAnsi="Arial"/>
          <w:sz w:val="16"/>
          <w:szCs w:val="16"/>
          <w:color w:val="231F20"/>
        </w:rPr>
        <w:t>”</w:t>
      </w:r>
      <w:r>
        <w:rPr>
          <w:rFonts w:ascii="Arial" w:cs="Arial" w:eastAsia="Arial" w:hAnsi="Arial"/>
          <w:sz w:val="16"/>
          <w:szCs w:val="16"/>
          <w:color w:val="auto"/>
        </w:rPr>
        <w:t xml:space="preserve">), and tranches of distressed home loans. </w:t>
      </w:r>
      <w:r>
        <w:rPr>
          <w:rFonts w:ascii="Arial" w:cs="Arial" w:eastAsia="Arial" w:hAnsi="Arial"/>
          <w:sz w:val="16"/>
          <w:szCs w:val="16"/>
          <w:color w:val="231F20"/>
        </w:rPr>
        <w:t>Income</w:t>
      </w:r>
      <w:r>
        <w:rPr>
          <w:rFonts w:ascii="Arial" w:cs="Arial" w:eastAsia="Arial" w:hAnsi="Arial"/>
          <w:sz w:val="16"/>
          <w:szCs w:val="16"/>
          <w:color w:val="auto"/>
        </w:rPr>
        <w:t xml:space="preserve"> </w:t>
      </w:r>
      <w:r>
        <w:rPr>
          <w:rFonts w:ascii="Arial" w:cs="Arial" w:eastAsia="Arial" w:hAnsi="Arial"/>
          <w:sz w:val="16"/>
          <w:szCs w:val="16"/>
          <w:color w:val="231F20"/>
        </w:rPr>
        <w:t>f</w:t>
      </w:r>
      <w:r>
        <w:rPr>
          <w:rFonts w:ascii="Arial" w:cs="Arial" w:eastAsia="Arial" w:hAnsi="Arial"/>
          <w:sz w:val="16"/>
          <w:szCs w:val="16"/>
          <w:color w:val="000000"/>
        </w:rPr>
        <w:t>rom the partnerships is recognized under the equity method of accounting. The Company’s Corporate and Other segment held an investment in a limited</w:t>
      </w:r>
      <w:r>
        <w:rPr>
          <w:rFonts w:ascii="Arial" w:cs="Arial" w:eastAsia="Arial" w:hAnsi="Arial"/>
          <w:sz w:val="16"/>
          <w:szCs w:val="16"/>
          <w:color w:val="231F20"/>
        </w:rPr>
        <w:t xml:space="preserve"> </w:t>
      </w:r>
      <w:r>
        <w:rPr>
          <w:rFonts w:ascii="Arial" w:cs="Arial" w:eastAsia="Arial" w:hAnsi="Arial"/>
          <w:sz w:val="16"/>
          <w:szCs w:val="16"/>
          <w:color w:val="000000"/>
        </w:rPr>
        <w:t xml:space="preserve">partnership with a carrying value of $3.5 million at September 30, 2018. The Company recognized investment income of $266,000 and $474,000 on the investment for the three and nine months ended September 30, 2018, respectively ($26,000 and $246,000 </w:t>
      </w:r>
      <w:r>
        <w:rPr>
          <w:rFonts w:ascii="Arial" w:cs="Arial" w:eastAsia="Arial" w:hAnsi="Arial"/>
          <w:sz w:val="16"/>
          <w:szCs w:val="16"/>
          <w:color w:val="231F20"/>
        </w:rPr>
        <w:t>for the three and nine months ended September</w:t>
      </w:r>
      <w:r>
        <w:rPr>
          <w:rFonts w:ascii="Arial" w:cs="Arial" w:eastAsia="Arial" w:hAnsi="Arial"/>
          <w:sz w:val="16"/>
          <w:szCs w:val="16"/>
          <w:color w:val="000000"/>
        </w:rPr>
        <w:t xml:space="preserve"> </w:t>
      </w:r>
      <w:r>
        <w:rPr>
          <w:rFonts w:ascii="Arial" w:cs="Arial" w:eastAsia="Arial" w:hAnsi="Arial"/>
          <w:sz w:val="16"/>
          <w:szCs w:val="16"/>
          <w:color w:val="231F20"/>
        </w:rPr>
        <w:t>30, 2017, respectively)</w:t>
      </w:r>
      <w:r>
        <w:rPr>
          <w:rFonts w:ascii="Arial" w:cs="Arial" w:eastAsia="Arial" w:hAnsi="Arial"/>
          <w:sz w:val="16"/>
          <w:szCs w:val="16"/>
          <w:color w:val="000000"/>
        </w:rPr>
        <w:t>. The Company’s Excess and Surplus Lines segment holds investments in limited partnerships of $28.4 million at September 30,</w:t>
      </w:r>
      <w:r>
        <w:rPr>
          <w:rFonts w:ascii="Arial" w:cs="Arial" w:eastAsia="Arial" w:hAnsi="Arial"/>
          <w:sz w:val="16"/>
          <w:szCs w:val="16"/>
          <w:color w:val="231F20"/>
        </w:rPr>
        <w:t xml:space="preserve"> </w:t>
      </w:r>
      <w:r>
        <w:rPr>
          <w:rFonts w:ascii="Arial" w:cs="Arial" w:eastAsia="Arial" w:hAnsi="Arial"/>
          <w:sz w:val="16"/>
          <w:szCs w:val="16"/>
          <w:color w:val="000000"/>
        </w:rPr>
        <w:t xml:space="preserve">2018. Investment income of $723,000 and $1.8 million was recognized on the investments for the three and nine months ended September 30, 2018, respectively ($450,000 and $1.3 million </w:t>
      </w:r>
      <w:r>
        <w:rPr>
          <w:rFonts w:ascii="Arial" w:cs="Arial" w:eastAsia="Arial" w:hAnsi="Arial"/>
          <w:sz w:val="16"/>
          <w:szCs w:val="16"/>
          <w:color w:val="231F20"/>
        </w:rPr>
        <w:t>for the three and nine months ended September 30, 2017, respectively)</w:t>
      </w:r>
      <w:r>
        <w:rPr>
          <w:rFonts w:ascii="Arial" w:cs="Arial" w:eastAsia="Arial" w:hAnsi="Arial"/>
          <w:sz w:val="16"/>
          <w:szCs w:val="16"/>
          <w:color w:val="000000"/>
        </w:rPr>
        <w:t>. At September 30, 2018, the Company’s Excess and Surplus Lines segment has outstanding commitments to invest another $625,000 in these limited partnerships.</w:t>
      </w:r>
    </w:p>
    <w:p>
      <w:pPr>
        <w:spacing w:after="0" w:line="59" w:lineRule="exact"/>
        <w:rPr>
          <w:sz w:val="20"/>
          <w:szCs w:val="20"/>
          <w:color w:val="auto"/>
        </w:rPr>
      </w:pPr>
    </w:p>
    <w:p>
      <w:pPr>
        <w:jc w:val="both"/>
        <w:ind w:left="220" w:hanging="215"/>
        <w:spacing w:after="0" w:line="257" w:lineRule="auto"/>
        <w:rPr>
          <w:sz w:val="20"/>
          <w:szCs w:val="20"/>
          <w:color w:val="auto"/>
        </w:rPr>
      </w:pPr>
      <w:r>
        <w:rPr>
          <w:rFonts w:ascii="Arial" w:cs="Arial" w:eastAsia="Arial" w:hAnsi="Arial"/>
          <w:sz w:val="18"/>
          <w:szCs w:val="18"/>
          <w:color w:val="auto"/>
        </w:rPr>
        <w:t>(d)The Company holds $4.5 million of subordinated notes issued by a bank holding company. Interest on the notes, which mature on August 12, 2023, is fixed at 7.6% per annum. Interest income on the notes was $85,000 and $257,000, respectively, in both the three and nine months ended September 30, 2018 and 2017. The Company’s Non-Executive Chairman was previously the Lead Independent Director of the bank holding company and an investor in the bank holding company. Additionally, one of the Company’s directors was an investor in the bank holding company and is currently a lender to the bank holding company.</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At September 30, 2018, the Company held an investment in a CLO where one of the underlying loans was issued by the bank holding company. The investment, with a carrying value of $4.4 million at September 30, 2018, is classified as an available-for-sale fixed maturity.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previously held common shares issued by the bank holding company. </w:t>
      </w:r>
      <w:r>
        <w:rPr>
          <w:rFonts w:ascii="Arial" w:cs="Arial" w:eastAsia="Arial" w:hAnsi="Arial"/>
          <w:sz w:val="18"/>
          <w:szCs w:val="18"/>
          <w:color w:val="231F20"/>
        </w:rPr>
        <w:t>Realized investments gains of $409,000 were recognized in the nine</w:t>
      </w:r>
      <w:r>
        <w:rPr>
          <w:rFonts w:ascii="Arial" w:cs="Arial" w:eastAsia="Arial" w:hAnsi="Arial"/>
          <w:sz w:val="18"/>
          <w:szCs w:val="18"/>
          <w:color w:val="auto"/>
        </w:rPr>
        <w:t xml:space="preserve"> </w:t>
      </w:r>
      <w:r>
        <w:rPr>
          <w:rFonts w:ascii="Arial" w:cs="Arial" w:eastAsia="Arial" w:hAnsi="Arial"/>
          <w:sz w:val="18"/>
          <w:szCs w:val="18"/>
          <w:color w:val="231F20"/>
        </w:rPr>
        <w:t>months ended September 30, 2017 related to the sale of common shares of the bank holding company.</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The Company holds a $1.0 million certificate of deposit issued by the bank holding company. The certificate of deposit, which matures on December 19, 2018, is carried as a short-term investment. Interest income of $4,000 and $2,000 was recognized on this investment for the nine months ended September 30, 2018 and 2017, respectively.</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Goodwill and Intangible Assets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September 30, 2018 and December 31, 2017.</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3"/>
                <w:szCs w:val="13"/>
                <w:color w:val="auto"/>
              </w:rPr>
            </w:pPr>
          </w:p>
        </w:tc>
        <w:tc>
          <w:tcPr>
            <w:tcW w:w="12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5"/>
          </w:tcPr>
          <w:p>
            <w:pPr>
              <w:ind w:left="7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licenses and authorities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31,364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31,364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Broker relationships</w:t>
            </w: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24.6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Identifiable intangible assets subject to amortization</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42,975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42,975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per share computations contained in the condensed consolidated financial statements: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r>
      <w:tr>
        <w:trPr>
          <w:trHeight w:val="186"/>
        </w:trPr>
        <w:tc>
          <w:tcPr>
            <w:tcW w:w="4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r>
      <w:tr>
        <w:trPr>
          <w:trHeight w:val="276"/>
        </w:trPr>
        <w:tc>
          <w:tcPr>
            <w:tcW w:w="4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50"/>
        </w:trPr>
        <w:tc>
          <w:tcPr>
            <w:tcW w:w="4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20" w:type="dxa"/>
            <w:vAlign w:val="bottom"/>
            <w:gridSpan w:val="6"/>
          </w:tcPr>
          <w:p>
            <w:pPr>
              <w:ind w:left="160"/>
              <w:spacing w:after="0"/>
              <w:rPr>
                <w:sz w:val="20"/>
                <w:szCs w:val="20"/>
                <w:color w:val="auto"/>
              </w:rPr>
            </w:pPr>
            <w:r>
              <w:rPr>
                <w:rFonts w:ascii="Arial" w:cs="Arial" w:eastAsia="Arial" w:hAnsi="Arial"/>
                <w:sz w:val="14"/>
                <w:szCs w:val="14"/>
                <w:b w:val="1"/>
                <w:bCs w:val="1"/>
                <w:i w:val="1"/>
                <w:iCs w:val="1"/>
                <w:color w:val="auto"/>
                <w:w w:val="98"/>
              </w:rPr>
              <w:t>(in thousands, except share and per share amounts)</w:t>
            </w: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to shareholders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19,581</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52,198</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43,342</w:t>
            </w:r>
          </w:p>
        </w:tc>
      </w:tr>
      <w:tr>
        <w:trPr>
          <w:trHeight w:val="324"/>
        </w:trPr>
        <w:tc>
          <w:tcPr>
            <w:tcW w:w="4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29,935,216</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29,524,243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29,861,467</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29,407,762</w:t>
            </w:r>
          </w:p>
        </w:tc>
      </w:tr>
      <w:tr>
        <w:trPr>
          <w:trHeight w:val="27"/>
        </w:trPr>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share equivalents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444,929</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695,834</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428,716</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877,971</w:t>
            </w:r>
          </w:p>
        </w:tc>
      </w:tr>
      <w:tr>
        <w:trPr>
          <w:trHeight w:val="297"/>
        </w:trPr>
        <w:tc>
          <w:tcPr>
            <w:tcW w:w="4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30,380,145</w:t>
            </w:r>
          </w:p>
        </w:tc>
        <w:tc>
          <w:tcPr>
            <w:tcW w:w="2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30,220,077</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30,290,183</w:t>
            </w:r>
          </w:p>
        </w:tc>
        <w:tc>
          <w:tcPr>
            <w:tcW w:w="2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30,285,733</w:t>
            </w:r>
          </w:p>
        </w:tc>
      </w:tr>
      <w:tr>
        <w:trPr>
          <w:trHeight w:val="311"/>
        </w:trPr>
        <w:tc>
          <w:tcPr>
            <w:tcW w:w="4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0.65</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43"/>
        </w:trPr>
        <w:tc>
          <w:tcPr>
            <w:tcW w:w="4340" w:type="dxa"/>
            <w:vAlign w:val="bottom"/>
          </w:tcPr>
          <w:p>
            <w:pPr>
              <w:ind w:left="160"/>
              <w:spacing w:after="0"/>
              <w:rPr>
                <w:sz w:val="20"/>
                <w:szCs w:val="20"/>
                <w:color w:val="auto"/>
              </w:rPr>
            </w:pPr>
            <w:r>
              <w:rPr>
                <w:rFonts w:ascii="Arial" w:cs="Arial" w:eastAsia="Arial" w:hAnsi="Arial"/>
                <w:sz w:val="18"/>
                <w:szCs w:val="18"/>
                <w:color w:val="auto"/>
              </w:rPr>
              <w:t>Common share equivalents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4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0.64</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r>
      <w:tr>
        <w:trPr>
          <w:trHeight w:val="20"/>
        </w:trPr>
        <w:tc>
          <w:tcPr>
            <w:tcW w:w="4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Common share equivalents relate to stock options and restricted share units (“RSUs”). For the three and nine months ended September 30, 2018, common share equivalents of 173,758 and 182,870 shares, respectively, were excluded from the calculations of diluted earnings per share as their effects were anti-dilutive. For the </w:t>
      </w:r>
      <w:r>
        <w:rPr>
          <w:rFonts w:ascii="Arial" w:cs="Arial" w:eastAsia="Arial" w:hAnsi="Arial"/>
          <w:sz w:val="18"/>
          <w:szCs w:val="18"/>
          <w:color w:val="231F20"/>
        </w:rPr>
        <w:t>three and nine months ended September 30, 2017</w:t>
      </w:r>
      <w:r>
        <w:rPr>
          <w:rFonts w:ascii="Arial" w:cs="Arial" w:eastAsia="Arial" w:hAnsi="Arial"/>
          <w:sz w:val="18"/>
          <w:szCs w:val="18"/>
          <w:color w:val="auto"/>
        </w:rPr>
        <w:t>, common share equivalents of 203,758 and 168,167 shares, respectively, were excluded from the calculations of diluted earnings per share as their effects were anti-dilutive.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net of reinsurance, to the gross amounts reported in the condensed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3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for losses and loss adjustment expenses net of reinsurance</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recoverables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1,092,818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839,508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989,825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761,128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w w:val="97"/>
              </w:rPr>
              <w:t>Add: Incurred losses and loss adjustment expenses net of reinsurance: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138,168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158,009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436,921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396,161</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11,833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(9,263)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incurred losses and loss and adjustment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150,387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150,445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448,754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386,898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w w:val="95"/>
              </w:rPr>
              <w:t>Deduct: Loss and loss adjustment expense payments net of reinsurance: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38,911</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72,695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65,349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235,315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205,816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loss and loss adjustment expense payments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97,844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86,654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293,218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244,727</w:t>
            </w:r>
          </w:p>
        </w:tc>
        <w:tc>
          <w:tcPr>
            <w:tcW w:w="0" w:type="dxa"/>
            <w:vAlign w:val="bottom"/>
          </w:tcPr>
          <w:p>
            <w:pPr>
              <w:spacing w:after="0"/>
              <w:rPr>
                <w:sz w:val="1"/>
                <w:szCs w:val="1"/>
                <w:color w:val="auto"/>
              </w:rPr>
            </w:pPr>
          </w:p>
        </w:tc>
      </w:tr>
      <w:tr>
        <w:trPr>
          <w:trHeight w:val="209"/>
        </w:trPr>
        <w:tc>
          <w:tcPr>
            <w:tcW w:w="5600" w:type="dxa"/>
            <w:vAlign w:val="bottom"/>
          </w:tcPr>
          <w:p>
            <w:pPr>
              <w:ind w:left="40"/>
              <w:spacing w:after="0"/>
              <w:rPr>
                <w:sz w:val="20"/>
                <w:szCs w:val="20"/>
                <w:color w:val="auto"/>
              </w:rPr>
            </w:pPr>
            <w:r>
              <w:rPr>
                <w:rFonts w:ascii="Arial" w:cs="Arial" w:eastAsia="Arial" w:hAnsi="Arial"/>
                <w:sz w:val="18"/>
                <w:szCs w:val="18"/>
                <w:color w:val="auto"/>
              </w:rPr>
              <w:t>Reserve for losses and loss adjustment expenses net of reinsurance</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recoverables at end of period</w:t>
            </w:r>
          </w:p>
        </w:tc>
        <w:tc>
          <w:tcPr>
            <w:tcW w:w="3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1,145,361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903,299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1,145,361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903,299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Add: Reinsurance recoverables on unpaid losses and loss adjustment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at end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424,400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283,949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424,400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283,949</w:t>
            </w:r>
          </w:p>
        </w:tc>
        <w:tc>
          <w:tcPr>
            <w:tcW w:w="0" w:type="dxa"/>
            <w:vAlign w:val="bottom"/>
          </w:tcPr>
          <w:p>
            <w:pPr>
              <w:spacing w:after="0"/>
              <w:rPr>
                <w:sz w:val="1"/>
                <w:szCs w:val="1"/>
                <w:color w:val="auto"/>
              </w:rPr>
            </w:pPr>
          </w:p>
        </w:tc>
      </w:tr>
      <w:tr>
        <w:trPr>
          <w:trHeight w:val="209"/>
        </w:trPr>
        <w:tc>
          <w:tcPr>
            <w:tcW w:w="5600" w:type="dxa"/>
            <w:vAlign w:val="bottom"/>
          </w:tcPr>
          <w:p>
            <w:pPr>
              <w:ind w:left="40"/>
              <w:spacing w:after="0"/>
              <w:rPr>
                <w:sz w:val="20"/>
                <w:szCs w:val="20"/>
                <w:color w:val="auto"/>
              </w:rPr>
            </w:pPr>
            <w:r>
              <w:rPr>
                <w:rFonts w:ascii="Arial" w:cs="Arial" w:eastAsia="Arial" w:hAnsi="Arial"/>
                <w:sz w:val="18"/>
                <w:szCs w:val="18"/>
                <w:color w:val="auto"/>
                <w:w w:val="98"/>
              </w:rPr>
              <w:t>Reserve for losses and loss adjustment expenses gross of reinsurance</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1,569,761</w:t>
            </w:r>
          </w:p>
        </w:tc>
        <w:tc>
          <w:tcPr>
            <w:tcW w:w="100" w:type="dxa"/>
            <w:vAlign w:val="bottom"/>
          </w:tcPr>
          <w:p>
            <w:pPr>
              <w:spacing w:after="0"/>
              <w:rPr>
                <w:sz w:val="18"/>
                <w:szCs w:val="18"/>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97"/>
              </w:rPr>
              <w:t>1,187,248</w:t>
            </w:r>
          </w:p>
        </w:tc>
        <w:tc>
          <w:tcPr>
            <w:tcW w:w="120" w:type="dxa"/>
            <w:vAlign w:val="bottom"/>
          </w:tcPr>
          <w:p>
            <w:pPr>
              <w:spacing w:after="0"/>
              <w:rPr>
                <w:sz w:val="18"/>
                <w:szCs w:val="18"/>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97"/>
              </w:rPr>
              <w:t>1,569,761</w:t>
            </w:r>
          </w:p>
        </w:tc>
        <w:tc>
          <w:tcPr>
            <w:tcW w:w="100" w:type="dxa"/>
            <w:vAlign w:val="bottom"/>
          </w:tcPr>
          <w:p>
            <w:pPr>
              <w:spacing w:after="0"/>
              <w:rPr>
                <w:sz w:val="18"/>
                <w:szCs w:val="18"/>
                <w:color w:val="auto"/>
              </w:rPr>
            </w:pP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w w:val="94"/>
              </w:rPr>
              <w:t>1,187,248</w:t>
            </w:r>
          </w:p>
        </w:tc>
        <w:tc>
          <w:tcPr>
            <w:tcW w:w="0" w:type="dxa"/>
            <w:vAlign w:val="bottom"/>
          </w:tcPr>
          <w:p>
            <w:pPr>
              <w:spacing w:after="0"/>
              <w:rPr>
                <w:sz w:val="1"/>
                <w:szCs w:val="1"/>
                <w:color w:val="auto"/>
              </w:rPr>
            </w:pPr>
          </w:p>
        </w:tc>
      </w:tr>
      <w:tr>
        <w:trPr>
          <w:trHeight w:val="242"/>
        </w:trPr>
        <w:tc>
          <w:tcPr>
            <w:tcW w:w="5600" w:type="dxa"/>
            <w:vAlign w:val="bottom"/>
          </w:tcPr>
          <w:p>
            <w:pPr>
              <w:ind w:left="40"/>
              <w:spacing w:after="0"/>
              <w:rPr>
                <w:sz w:val="20"/>
                <w:szCs w:val="20"/>
                <w:color w:val="auto"/>
              </w:rPr>
            </w:pPr>
            <w:r>
              <w:rPr>
                <w:rFonts w:ascii="Arial" w:cs="Arial" w:eastAsia="Arial" w:hAnsi="Arial"/>
                <w:sz w:val="18"/>
                <w:szCs w:val="18"/>
                <w:color w:val="auto"/>
                <w:w w:val="89"/>
              </w:rPr>
              <w:t>recoverables on unpaid losses and loss adjustment expenses at end of period</w:t>
            </w:r>
          </w:p>
        </w:tc>
        <w:tc>
          <w:tcPr>
            <w:tcW w:w="3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experienced $12.2 million of adverse reserve development in the three months ended September 30, 2018 on the reserve for losses and loss adjustment expenses held at December 31, 2017. This reserve development included $10.4 million of adverse development in the Excess and Surplus Lines segment, primarily from adverse development in commercial auto business which was partially offset by $3.0 million of favorable development on the property catastrophe losses from the September 2017 storms. The Specialty Admitted Insurance segment experienced $833,000 of favorable development, primarily due to favorable development in the workers' compensation business for prior accident years. The Company also experienced $2.7 million of adverse development in the Casualty Reinsurance segment primarily related to losses from risk profiles and treaty structures that the Company no longer writes.</w:t>
      </w:r>
    </w:p>
    <w:p>
      <w:pPr>
        <w:spacing w:after="0" w:line="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experienced $7.6 million of favorable reserve development in the three months ended September 30, 2017 on the reserve for losses and loss adjustment expenses held at December 31, 2016. This reserve development included $5.1 million of favorable development in the core excess and surplus lines. The Specialty Admitted Insurance segment experienced $3.0 million of favorable development, primarily due to favorable development in the workers' compensation business for prior accident years. The Company also experienced $581,000 of adverse development for the Casualty Reinsurance segment. The development was mostly related to the 2011 and 2013 contracts with one reinsured.</w:t>
      </w:r>
    </w:p>
    <w:p>
      <w:pPr>
        <w:spacing w:after="0" w:line="64"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Company experienced $11.8 million of adverse reserve development in the nine months ended September 30, 2018 on the reserve for losses and loss adjustment expenses held at December 31, 2017. This reserve development included $9.2 million of adverse development in the Excess and Surplus Lines segment, primarily from adverse development in commercial auto business which was partially offset by favorable development in other core Excess and Surplus Lines including $4.9 million of favorable development on the property catastrophe losses from the September 2017 storms. The Specialty Admitted Insurance segment experienced $2.3 million of favorable development, primarily due to favorable development in the workers' compensation business for prior accident years, partially offset by adverse development on certain terminated program business. The Company also experienced $4.9 million of adverse development in the Casualty Reinsurance segment primarily related to losses from risk profiles and treaty structures that the Company no longer writes.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experienced $9.3 million of favorable reserve development in the nine months ended September 30, 2017 on the reserve for losses and loss adjustment expenses held at December 31, 2016. This reserve development included $9.8 million of favorable development in the core Excess and Surplus Lines. The Specialty Admitted Insurance segment experienced $2.1 million of favorable development, primarily due to favorable development in the workers' compensation business for prior accident years which was partially offset by adverse development in programs for prior accident years. The Company also experienced $2.6 million of adverse development for the Casualty Reinsurance segment. The development was mostly related to the 2011 and 2013 contracts with one reinsured.</w:t>
      </w:r>
    </w:p>
    <w:p>
      <w:pPr>
        <w:spacing w:after="0" w:line="8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Income</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(loss)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196"/>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9"/>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Unrealized (losses) gains arising during the period, before U.S. income taxes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14,760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(2,771)</w:t>
            </w: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Unrealized (losses) gains arising during the period, net of U.S.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11,989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Less reclassification adjustment:</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Reclassification adjustment for investment (gains) losses realized in net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w:t>
            </w: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11,458</w:t>
            </w: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reinsurance subsidiary, JRG Re, has entered into three letter of credit facilities with banks as security to third-party reinsureds on reinsurance assumed by JRG Re. JRG Re has established custodial accounts to secure these letters of credit. Under a $100.0 million facility, $45.3 million of letters of credit were issued through September 30, 2018 which were secured by deposits of $54.1 million. Under a $102.5 million facility, $100.8 million of letters of credit were issued through September 30, 2018 which were secured by deposits of $126.4 million. Under a $100.0 million facility, $6.9 million of letters of credit were issued through September 30, 2018 which were secured by deposits of $10.1 million. JRG Re has also established trust accounts to secure its obligations to selected reinsureds. The total amount deposited in the trust accounts for the benefit of third-party reinsureds was $272.9 million at September 30, 2018.</w:t>
      </w:r>
    </w:p>
    <w:p>
      <w:pPr>
        <w:spacing w:after="0" w:line="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is also exposed to credit risk relating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 including among other things case loss and loss adjustment expense reserves, IBNR loss and loss adjustment expense reserves, extra contractual obligations and excess of policy limits liabilities. This collateral is currently provided through a collateral trust arrangement established in favor of the Company by a captive insurance company affiliate of the insured group. At September 30, 2018, the cash equivalent collateral held in the collateral trust arrangement was approximately $1,014.7 million, which exceeds the amount of claims receivable and unpaid reported losses and loss adjustment expenses outstanding.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less loss and loss adjustment expenses and other operating expenses of the operating segments. Gross fee income of the Excess and Surplus Lines segment is included in that segment’s underwriting profit. Gross fee income of $3.0 million and $3.9 million was included in underwriting profit for the three months ended September 30, 2018 and 2017, respectively. For the nine months ended September 30, 2018 and 2017, gross fee income of $11.5 million and $12.0 million, respectively, was included in underwriting profit. Segment results are reported prior to the effects of intercompany reinsurance agreements among the Company’s insurance subsidiaries.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3"/>
              <w:spacing w:after="0"/>
              <w:rPr>
                <w:sz w:val="20"/>
                <w:szCs w:val="20"/>
                <w:color w:val="auto"/>
              </w:rPr>
            </w:pPr>
            <w:r>
              <w:rPr>
                <w:rFonts w:ascii="Arial" w:cs="Arial" w:eastAsia="Arial" w:hAnsi="Arial"/>
                <w:sz w:val="14"/>
                <w:szCs w:val="14"/>
                <w:b w:val="1"/>
                <w:bCs w:val="1"/>
                <w:color w:val="auto"/>
                <w:w w:val="88"/>
              </w:rPr>
              <w:t>Excess and</w:t>
            </w:r>
          </w:p>
        </w:tc>
        <w:tc>
          <w:tcPr>
            <w:tcW w:w="400" w:type="dxa"/>
            <w:vAlign w:val="bottom"/>
          </w:tcPr>
          <w:p>
            <w:pPr>
              <w:spacing w:after="0"/>
              <w:rPr>
                <w:sz w:val="14"/>
                <w:szCs w:val="14"/>
                <w:color w:val="auto"/>
              </w:rPr>
            </w:pPr>
          </w:p>
        </w:tc>
        <w:tc>
          <w:tcPr>
            <w:tcW w:w="1080" w:type="dxa"/>
            <w:vAlign w:val="bottom"/>
          </w:tcPr>
          <w:p>
            <w:pPr>
              <w:jc w:val="center"/>
              <w:ind w:right="233"/>
              <w:spacing w:after="0"/>
              <w:rPr>
                <w:sz w:val="20"/>
                <w:szCs w:val="20"/>
                <w:color w:val="auto"/>
              </w:rPr>
            </w:pPr>
            <w:r>
              <w:rPr>
                <w:rFonts w:ascii="Arial" w:cs="Arial" w:eastAsia="Arial" w:hAnsi="Arial"/>
                <w:sz w:val="14"/>
                <w:szCs w:val="14"/>
                <w:b w:val="1"/>
                <w:bCs w:val="1"/>
                <w:color w:val="auto"/>
                <w:w w:val="91"/>
              </w:rPr>
              <w:t>Specialty</w:t>
            </w:r>
          </w:p>
        </w:tc>
        <w:tc>
          <w:tcPr>
            <w:tcW w:w="280" w:type="dxa"/>
            <w:vAlign w:val="bottom"/>
          </w:tcPr>
          <w:p>
            <w:pPr>
              <w:spacing w:after="0"/>
              <w:rPr>
                <w:sz w:val="14"/>
                <w:szCs w:val="14"/>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5"/>
              </w:rPr>
              <w:t>Casualty</w:t>
            </w:r>
          </w:p>
        </w:tc>
        <w:tc>
          <w:tcPr>
            <w:tcW w:w="300" w:type="dxa"/>
            <w:vAlign w:val="bottom"/>
          </w:tcPr>
          <w:p>
            <w:pPr>
              <w:spacing w:after="0"/>
              <w:rPr>
                <w:sz w:val="14"/>
                <w:szCs w:val="14"/>
                <w:color w:val="auto"/>
              </w:rPr>
            </w:pPr>
          </w:p>
        </w:tc>
        <w:tc>
          <w:tcPr>
            <w:tcW w:w="1140" w:type="dxa"/>
            <w:vAlign w:val="bottom"/>
          </w:tcPr>
          <w:p>
            <w:pPr>
              <w:jc w:val="center"/>
              <w:ind w:right="133"/>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1"/>
              </w:rPr>
              <w:t>Surplus</w:t>
            </w:r>
          </w:p>
        </w:tc>
        <w:tc>
          <w:tcPr>
            <w:tcW w:w="400" w:type="dxa"/>
            <w:vAlign w:val="bottom"/>
          </w:tcPr>
          <w:p>
            <w:pPr>
              <w:spacing w:after="0"/>
              <w:rPr>
                <w:sz w:val="12"/>
                <w:szCs w:val="12"/>
                <w:color w:val="auto"/>
              </w:rPr>
            </w:pPr>
          </w:p>
        </w:tc>
        <w:tc>
          <w:tcPr>
            <w:tcW w:w="108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95"/>
              </w:rPr>
              <w:t>Admitted</w:t>
            </w: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88"/>
              </w:rPr>
              <w:t>and</w:t>
            </w:r>
          </w:p>
        </w:tc>
        <w:tc>
          <w:tcPr>
            <w:tcW w:w="420" w:type="dxa"/>
            <w:vAlign w:val="bottom"/>
          </w:tcPr>
          <w:p>
            <w:pPr>
              <w:spacing w:after="0"/>
              <w:rPr>
                <w:sz w:val="12"/>
                <w:szCs w:val="12"/>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Lines</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3"/>
              </w:rPr>
              <w:t>Insurance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Reinsurance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Other</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113"/>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2018</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157,237</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98,607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24,125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279,969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141,529</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13,898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49,263</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204,690</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Underwriting profit of insurance segments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11,302</w:t>
            </w:r>
          </w:p>
        </w:tc>
        <w:tc>
          <w:tcPr>
            <w:tcW w:w="4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1,769</w:t>
            </w:r>
          </w:p>
        </w:tc>
        <w:tc>
          <w:tcPr>
            <w:tcW w:w="2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1,576</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14,647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4,542</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10,031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1,012</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16,410</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2,991</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149,807</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14,400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59,416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224,692</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4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929,408</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630,982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1,393,721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81,323</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3,035,434</w:t>
            </w: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2017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140,425</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84,838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113,088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338,351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123,606</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19,324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59,186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202,116</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9,946</w:t>
            </w:r>
          </w:p>
        </w:tc>
        <w:tc>
          <w:tcPr>
            <w:tcW w:w="4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851</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(2,933)</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7,864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3,727</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8,590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1,937</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2,304</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131,033</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19,992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67,860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1,981</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220,866</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4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821,668</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405,209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1,372,234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122,541</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2,721,652</w:t>
            </w:r>
          </w:p>
        </w:tc>
        <w:tc>
          <w:tcPr>
            <w:tcW w:w="0" w:type="dxa"/>
            <w:vAlign w:val="bottom"/>
          </w:tcPr>
          <w:p>
            <w:pPr>
              <w:spacing w:after="0"/>
              <w:rPr>
                <w:sz w:val="1"/>
                <w:szCs w:val="1"/>
                <w:color w:val="auto"/>
              </w:rPr>
            </w:pPr>
          </w:p>
        </w:tc>
      </w:tr>
      <w:tr>
        <w:trPr>
          <w:trHeight w:val="567"/>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85"/>
              </w:rPr>
              <w:t>Excess and</w:t>
            </w:r>
          </w:p>
        </w:tc>
        <w:tc>
          <w:tcPr>
            <w:tcW w:w="380" w:type="dxa"/>
            <w:vAlign w:val="bottom"/>
          </w:tcPr>
          <w:p>
            <w:pPr>
              <w:spacing w:after="0"/>
              <w:rPr>
                <w:sz w:val="14"/>
                <w:szCs w:val="14"/>
                <w:color w:val="auto"/>
              </w:rPr>
            </w:pPr>
          </w:p>
        </w:tc>
        <w:tc>
          <w:tcPr>
            <w:tcW w:w="1120" w:type="dxa"/>
            <w:vAlign w:val="bottom"/>
          </w:tcPr>
          <w:p>
            <w:pPr>
              <w:jc w:val="center"/>
              <w:ind w:right="193"/>
              <w:spacing w:after="0"/>
              <w:rPr>
                <w:sz w:val="20"/>
                <w:szCs w:val="20"/>
                <w:color w:val="auto"/>
              </w:rPr>
            </w:pPr>
            <w:r>
              <w:rPr>
                <w:rFonts w:ascii="Arial" w:cs="Arial" w:eastAsia="Arial" w:hAnsi="Arial"/>
                <w:sz w:val="14"/>
                <w:szCs w:val="14"/>
                <w:b w:val="1"/>
                <w:bCs w:val="1"/>
                <w:color w:val="auto"/>
                <w:w w:val="91"/>
              </w:rPr>
              <w:t>Specialty</w:t>
            </w:r>
          </w:p>
        </w:tc>
        <w:tc>
          <w:tcPr>
            <w:tcW w:w="280" w:type="dxa"/>
            <w:vAlign w:val="bottom"/>
          </w:tcPr>
          <w:p>
            <w:pPr>
              <w:spacing w:after="0"/>
              <w:rPr>
                <w:sz w:val="14"/>
                <w:szCs w:val="14"/>
                <w:color w:val="auto"/>
              </w:rPr>
            </w:pPr>
          </w:p>
        </w:tc>
        <w:tc>
          <w:tcPr>
            <w:tcW w:w="122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2"/>
              </w:rPr>
              <w:t>Casualty</w:t>
            </w:r>
          </w:p>
        </w:tc>
        <w:tc>
          <w:tcPr>
            <w:tcW w:w="300" w:type="dxa"/>
            <w:vAlign w:val="bottom"/>
          </w:tcPr>
          <w:p>
            <w:pPr>
              <w:spacing w:after="0"/>
              <w:rPr>
                <w:sz w:val="14"/>
                <w:szCs w:val="1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1"/>
              </w:rPr>
              <w:t>Surplus</w:t>
            </w:r>
          </w:p>
        </w:tc>
        <w:tc>
          <w:tcPr>
            <w:tcW w:w="380" w:type="dxa"/>
            <w:vAlign w:val="bottom"/>
          </w:tcPr>
          <w:p>
            <w:pPr>
              <w:spacing w:after="0"/>
              <w:rPr>
                <w:sz w:val="12"/>
                <w:szCs w:val="12"/>
                <w:color w:val="auto"/>
              </w:rPr>
            </w:pPr>
          </w:p>
        </w:tc>
        <w:tc>
          <w:tcPr>
            <w:tcW w:w="112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8"/>
              </w:rPr>
              <w:t>Admitted</w:t>
            </w: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and</w:t>
            </w:r>
          </w:p>
        </w:tc>
        <w:tc>
          <w:tcPr>
            <w:tcW w:w="4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2"/>
              </w:rPr>
              <w:t>Lines</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0"/>
              </w:rPr>
              <w:t>Insurance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Reinsurance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center"/>
              <w:ind w:right="153"/>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490,121</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283,108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98,234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871,463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410,627</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41,504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161,711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613,842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of insurance segments</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32,718</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4,380</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5,049</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42,147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11,934</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27,710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45,801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8,459</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434,146</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43,791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189,196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671,077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929,408</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630,982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1,393,721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81,323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3,035,434</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written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387,424</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234,073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222,508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844,005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334,723</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53,337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152,820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540,880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Underwriting profit (loss) of insurance segments</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30,475</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2,246</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(3,863)</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28,858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10,751</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23,100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9,583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45,327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6,651</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357,607</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55,351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176,580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10,124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599,662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Segment goodwill</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821,668</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405,209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1,372,234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122,541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2,721,652</w:t>
            </w:r>
          </w:p>
        </w:tc>
        <w:tc>
          <w:tcPr>
            <w:tcW w:w="0" w:type="dxa"/>
            <w:vAlign w:val="bottom"/>
          </w:tcPr>
          <w:p>
            <w:pPr>
              <w:spacing w:after="0"/>
              <w:rPr>
                <w:sz w:val="1"/>
                <w:szCs w:val="1"/>
                <w:color w:val="auto"/>
              </w:rPr>
            </w:pPr>
          </w:p>
        </w:tc>
      </w:tr>
      <w:tr>
        <w:trPr>
          <w:trHeight w:val="675"/>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reconciles the underwriting profit (loss) of the operating segments by individual segment to consolidated income before taxes: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3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196"/>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(loss) of the insurance segments: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11,302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9,946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32,718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30,475</w:t>
            </w: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(3,863)</w:t>
            </w: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28,858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(19,063)</w:t>
            </w: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9,795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14,880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45,801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45,327</w:t>
            </w: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gains (losses)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(6,651)</w:t>
            </w:r>
          </w:p>
        </w:tc>
      </w:tr>
      <w:tr>
        <w:trPr>
          <w:trHeight w:val="27"/>
        </w:trPr>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22,116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13,589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57,737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49,126</w:t>
            </w: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Underwriting profit (loss) for the three and nine months ended September 30, 2017 reflects $10.0 million of catastrophe losses from Hurricanes Harvey, Irma, and Maria. The Excess and Surplus Lines segment includes $7.3 million of such losses primarily related to property losses in Florida. The Casualty Reinsurance segment includes $2.7 million of losses primarily related to nonstandard auto losses in Texas. Underwriting profit (loss) for the three and nine months ended September 30, 2018 includes favorable development on the reserves for the 2017 storms of $3.0 million and $4.9 million, respectively, in the Excess and Surplus Lines segment.</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correction of a contingent commission accrual and related commission expense increased underwriting expenses of the Casualty Reinsurance segment by $0 and $2.0 million in the three and nine months ended September 30, 2017, respectively. In addition, the correction of an expense reimbursement accrual for the Excess and Surplus Lines segment reduced underwriting expenses by $1.3 million and $0 for the three and nine months ended September 30, 2017, respectively. There was also a third quarter adjustment to increase the investment income of the Casualty Reinsurance segment by $480,000 for the three months ended September 30, 2017. Investment income for the Casualty Reinsurance segment had been understated for the three months ended June 30, 2017.</w:t>
      </w:r>
    </w:p>
    <w:p>
      <w:pPr>
        <w:spacing w:after="0" w:line="81" w:lineRule="exact"/>
        <w:rPr>
          <w:sz w:val="20"/>
          <w:szCs w:val="20"/>
          <w:color w:val="auto"/>
        </w:rPr>
      </w:pPr>
    </w:p>
    <w:p>
      <w:pPr>
        <w:jc w:val="both"/>
        <w:ind w:left="340" w:right="7460" w:hanging="332"/>
        <w:spacing w:after="0" w:line="488" w:lineRule="auto"/>
        <w:tabs>
          <w:tab w:leader="none" w:pos="33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Operating Expenses and Other Expenses </w:t>
      </w:r>
      <w:r>
        <w:rPr>
          <w:rFonts w:ascii="Arial" w:cs="Arial" w:eastAsia="Arial" w:hAnsi="Arial"/>
          <w:sz w:val="16"/>
          <w:szCs w:val="16"/>
          <w:color w:val="auto"/>
        </w:rPr>
        <w:t>Other operating expenses consist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3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96"/>
        </w:trPr>
        <w:tc>
          <w:tcPr>
            <w:tcW w:w="5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policy acquisition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27,511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35,311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86,381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94,563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underwriting expenses of the operating segments</w:t>
            </w:r>
          </w:p>
        </w:tc>
        <w:tc>
          <w:tcPr>
            <w:tcW w:w="34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12,442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48,069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42,563</w:t>
            </w:r>
          </w:p>
        </w:tc>
      </w:tr>
      <w:tr>
        <w:trPr>
          <w:trHeight w:val="27"/>
        </w:trPr>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21,264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19,063</w:t>
            </w: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49,180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54,260</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155,714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156,189</w:t>
            </w: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expenses of $(131,000) and $(34,000) for the three and nine months ended September 30, 2018, respectively, included employee severance, legal and other professional services associated with the Company's May 2018 secondary offering, and depreciation expense related to a leased building that the Company is deemed to own for accounting purposes, offset by rental income on the leased building.</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expenses of $119,000 and $351,000 for the three and nine months ended September 30, 2017 respectively, were primarily employee severance and legal and other professional services associated with the Company's May 2017 secondary offering.</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Three levels of inputs are used to measure fair value of financial instruments: (1) Level 1: quoted price (unadjusted) in active markets for identical assets,</w:t>
      </w:r>
    </w:p>
    <w:p>
      <w:pPr>
        <w:spacing w:after="0" w:line="46" w:lineRule="exact"/>
        <w:rPr>
          <w:sz w:val="20"/>
          <w:szCs w:val="20"/>
          <w:color w:val="auto"/>
        </w:rPr>
      </w:pPr>
    </w:p>
    <w:p>
      <w:pPr>
        <w:jc w:val="both"/>
        <w:ind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measure fair value, the Company obtains quoted market prices for its investment securities from its outside investment managers.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 There have been no changes in the Company’s use of valuation techniques since December 31, 2016.</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reviews fair value prices provided by its outside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Assets measured at fair value on a recurring basis as of September 30, 2018 are summarized below:</w:t>
      </w:r>
    </w:p>
    <w:p>
      <w:pPr>
        <w:spacing w:after="0" w:line="163"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 w:lineRule="exact"/>
        <w:rPr>
          <w:sz w:val="20"/>
          <w:szCs w:val="20"/>
          <w:color w:val="auto"/>
        </w:rPr>
      </w:pPr>
    </w:p>
    <w:tbl>
      <w:tblPr>
        <w:tblLayout w:type="fixed"/>
        <w:tblInd w:w="5880" w:type="dxa"/>
        <w:tblCellMar>
          <w:top w:w="0" w:type="dxa"/>
          <w:left w:w="0" w:type="dxa"/>
          <w:bottom w:w="0" w:type="dxa"/>
          <w:right w:w="0" w:type="dxa"/>
        </w:tblCellMar>
      </w:tblPr>
      <w:tr>
        <w:trPr>
          <w:trHeight w:val="161"/>
        </w:trPr>
        <w:tc>
          <w:tcPr>
            <w:tcW w:w="1220" w:type="dxa"/>
            <w:vAlign w:val="bottom"/>
          </w:tcPr>
          <w:p>
            <w:pPr>
              <w:jc w:val="center"/>
              <w:ind w:right="288"/>
              <w:spacing w:after="0"/>
              <w:rPr>
                <w:sz w:val="20"/>
                <w:szCs w:val="20"/>
                <w:color w:val="auto"/>
              </w:rPr>
            </w:pPr>
            <w:r>
              <w:rPr>
                <w:rFonts w:ascii="Arial" w:cs="Arial" w:eastAsia="Arial" w:hAnsi="Arial"/>
                <w:sz w:val="14"/>
                <w:szCs w:val="14"/>
                <w:b w:val="1"/>
                <w:bCs w:val="1"/>
                <w:color w:val="auto"/>
                <w:w w:val="90"/>
              </w:rPr>
              <w:t>Quoted Prices</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0" w:type="dxa"/>
            <w:vAlign w:val="bottom"/>
            <w:vMerge w:val="continue"/>
          </w:tcPr>
          <w:p>
            <w:pPr>
              <w:spacing w:after="0"/>
              <w:rPr>
                <w:sz w:val="12"/>
                <w:szCs w:val="12"/>
                <w:color w:val="auto"/>
              </w:rPr>
            </w:pPr>
          </w:p>
        </w:tc>
        <w:tc>
          <w:tcPr>
            <w:tcW w:w="16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Significant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6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82"/>
              </w:rPr>
              <w:t>Assets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Inputs</w:t>
            </w:r>
          </w:p>
        </w:tc>
        <w:tc>
          <w:tcPr>
            <w:tcW w:w="76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220" w:type="dxa"/>
            <w:vAlign w:val="bottom"/>
          </w:tcPr>
          <w:p>
            <w:pPr>
              <w:jc w:val="center"/>
              <w:ind w:right="288"/>
              <w:spacing w:after="0"/>
              <w:rPr>
                <w:sz w:val="20"/>
                <w:szCs w:val="20"/>
                <w:color w:val="auto"/>
              </w:rPr>
            </w:pPr>
            <w:r>
              <w:rPr>
                <w:rFonts w:ascii="Arial" w:cs="Arial" w:eastAsia="Arial" w:hAnsi="Arial"/>
                <w:sz w:val="14"/>
                <w:szCs w:val="14"/>
                <w:b w:val="1"/>
                <w:bCs w:val="1"/>
                <w:color w:val="auto"/>
                <w:w w:val="96"/>
              </w:rPr>
              <w:t>Level 1</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Level 2</w:t>
            </w:r>
          </w:p>
        </w:tc>
        <w:tc>
          <w:tcPr>
            <w:tcW w:w="164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Level 3</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7620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4" w:lineRule="exact"/>
        <w:rPr>
          <w:sz w:val="20"/>
          <w:szCs w:val="20"/>
          <w:color w:val="auto"/>
        </w:rPr>
      </w:pPr>
    </w:p>
    <w:p>
      <w:pPr>
        <w:ind w:left="8100"/>
        <w:spacing w:after="0"/>
        <w:rPr>
          <w:sz w:val="20"/>
          <w:szCs w:val="20"/>
          <w:color w:val="auto"/>
        </w:rPr>
      </w:pPr>
      <w:r>
        <w:rPr>
          <w:rFonts w:ascii="Arial" w:cs="Arial" w:eastAsia="Arial" w:hAnsi="Arial"/>
          <w:sz w:val="14"/>
          <w:szCs w:val="14"/>
          <w:b w:val="1"/>
          <w:bCs w:val="1"/>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State and municipal</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146,287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146,287</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mortgage-backed</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206,588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206,588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506,715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506,715</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mortgage and asset-backed</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181,720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186,084</w:t>
            </w: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2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4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106,344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106,875</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preferred stock</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106,344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1,043,780</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1,154,488</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64,614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64,614</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20,213</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 securities</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19,131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65,696</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84,827</w:t>
            </w: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39,219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40,219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as of December 31, 2017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144,366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144,366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158,661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413,721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413,721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177,931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182,611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Obligations of U.S. government corporations and agencies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35,847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35,847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w:t>
            </w:r>
          </w:p>
        </w:tc>
        <w:tc>
          <w:tcPr>
            <w:tcW w:w="18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78,265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78,874</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vMerge w:val="continue"/>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Redeemable preferred stock</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78,265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933,153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66,281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15,507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15,507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67,015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Trading securities: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maturity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35,804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beginning and ending balances of assets and liabilities measured at fair value on a recurring basis using significant unobservable inputs (Level 3) consist of one available-for-sale fixed maturity security with a fair value of $4.4 million, and there were no purchases, sales, or transfers involving Level 3 securities for the nine months ended September 30, 2018 and 2017. A principal payment of $316,000 was received on the Company's one Level 3 security in the three months ended September 30, 2018. A market approach using prices in trades of comparable securities was utilized to determine the fair value for this security at September 30, 2018 and December 31, 2017.</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nine months ended September 30, 2018 or 2017. The Company recognizes transfers between levels at the beginning of the reporting period.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realized gains or losses included in earnings for the nine months ended September 30, 2018 attributable to the change in unrealized gains or losses relating to Level 3 assets valued at fair value on a recurring basis that are still held at September 30, 2018.</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measures certain bank loan participations at fair value on a non-recurring basis during the year as part of the Company’s impairment evaluation when loans are determined by management to be impaired.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Active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5,111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231F20"/>
        </w:rPr>
        <w:t>Management concluded that none of the bank loan participations held-for-investment were impaired as of September 30, 2018. A</w:t>
      </w:r>
      <w:r>
        <w:rPr>
          <w:rFonts w:ascii="Arial" w:cs="Arial" w:eastAsia="Arial" w:hAnsi="Arial"/>
          <w:sz w:val="17"/>
          <w:szCs w:val="17"/>
          <w:color w:val="000000"/>
        </w:rPr>
        <w:t>t December 31, 2017,</w:t>
      </w:r>
      <w:r>
        <w:rPr>
          <w:rFonts w:ascii="Arial" w:cs="Arial" w:eastAsia="Arial" w:hAnsi="Arial"/>
          <w:sz w:val="17"/>
          <w:szCs w:val="17"/>
          <w:color w:val="231F20"/>
        </w:rPr>
        <w:t xml:space="preserve"> </w:t>
      </w:r>
      <w:r>
        <w:rPr>
          <w:rFonts w:ascii="Arial" w:cs="Arial" w:eastAsia="Arial" w:hAnsi="Arial"/>
          <w:sz w:val="17"/>
          <w:szCs w:val="17"/>
          <w:color w:val="000000"/>
        </w:rPr>
        <w:t>bank loan participations held-for-investment that were determined to be impaired were written down to their fair value of $5.1 million.</w:t>
      </w:r>
    </w:p>
    <w:p>
      <w:pPr>
        <w:spacing w:after="0" w:line="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September 30, 2018, there were no investments for which external sources were unavailable to determine fair value. At December 31, 2017, there was one bank loan participation with an unpaid principal balance of $807,000 and a carrying value of zero for which external sources were unavailable to determine fair value.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1,154,488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1,154,488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1,016,098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1,016,098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84,827</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84,827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82,522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82,522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 trading</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3,808</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262,779</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262,429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238,214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236,532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184,417</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184,417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163,495</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163,495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40,219</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36,804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13,250</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18,758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11,778</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17,104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debt</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98,300</w:t>
            </w: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98,139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98,300</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97,884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Junior subordinated debt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104,055</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115,490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104,055</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116,569</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fixed maturity securities and equity securities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September 30, 2018 and December 31, 2017 were determined by calculating the present value of expected future cash flows under the terms of the note agreements or debt agreements, as applicable, discounted at an estimated market rate of interest at September 30, 2018 and December 31, 2017, respectively.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bank loan participations held-for-investment, senior debt, and junior subordinated debt at September 30, 2018 and December 31, 2017 were determined using inputs to the valuation methodology that are unobservable (Level 3).</w:t>
      </w:r>
    </w:p>
    <w:p>
      <w:pPr>
        <w:spacing w:after="0" w:line="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Capital Stock and Equity Awards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issued 253,438 common shares in the nine months ended September 30, 2018 with 210,134 new shares related to stock option exercises and 43,304 new shares related to vesting of RSUs. The total common shares outstanding increased from 29,696,682 at December 31, 2017 to 29,950,120 at September 30, 2018.</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declared the following dividends during the first nine months of 2018 and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Dividend per</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0"/>
              </w:rPr>
              <w:t>Payable to Shareholders of</w:t>
            </w: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ind w:left="320"/>
              <w:spacing w:after="0"/>
              <w:rPr>
                <w:sz w:val="20"/>
                <w:szCs w:val="20"/>
                <w:color w:val="auto"/>
              </w:rPr>
            </w:pPr>
            <w:r>
              <w:rPr>
                <w:rFonts w:ascii="Arial" w:cs="Arial" w:eastAsia="Arial" w:hAnsi="Arial"/>
                <w:sz w:val="16"/>
                <w:szCs w:val="16"/>
                <w:b w:val="1"/>
                <w:bCs w:val="1"/>
                <w:color w:val="auto"/>
              </w:rPr>
              <w:t>Date of Declaration</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Common Share</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0"/>
              </w:rPr>
              <w:t>Record on</w:t>
            </w:r>
          </w:p>
        </w:tc>
        <w:tc>
          <w:tcPr>
            <w:tcW w:w="19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Payment Date</w:t>
            </w:r>
          </w:p>
        </w:tc>
        <w:tc>
          <w:tcPr>
            <w:tcW w:w="3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Arial" w:cs="Arial" w:eastAsia="Arial" w:hAnsi="Arial"/>
                <w:sz w:val="16"/>
                <w:szCs w:val="16"/>
                <w:b w:val="1"/>
                <w:bCs w:val="1"/>
                <w:color w:val="auto"/>
                <w:w w:val="95"/>
              </w:rPr>
              <w:t>Total Amount</w:t>
            </w:r>
          </w:p>
        </w:tc>
        <w:tc>
          <w:tcPr>
            <w:tcW w:w="5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03"/>
        </w:trPr>
        <w:tc>
          <w:tcPr>
            <w:tcW w:w="28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2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February 22,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March 12, 2018</w:t>
            </w:r>
          </w:p>
        </w:tc>
        <w:tc>
          <w:tcPr>
            <w:tcW w:w="19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1"/>
              </w:rPr>
              <w:t>March 30, 2018</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9.0 million</w:t>
            </w:r>
          </w:p>
        </w:tc>
      </w:tr>
      <w:tr>
        <w:trPr>
          <w:trHeight w:val="237"/>
        </w:trPr>
        <w:tc>
          <w:tcPr>
            <w:tcW w:w="2820" w:type="dxa"/>
            <w:vAlign w:val="bottom"/>
            <w:gridSpan w:val="3"/>
          </w:tcPr>
          <w:p>
            <w:pPr>
              <w:ind w:left="40"/>
              <w:spacing w:after="0"/>
              <w:rPr>
                <w:sz w:val="20"/>
                <w:szCs w:val="20"/>
                <w:color w:val="auto"/>
              </w:rPr>
            </w:pPr>
            <w:r>
              <w:rPr>
                <w:rFonts w:ascii="Arial" w:cs="Arial" w:eastAsia="Arial" w:hAnsi="Arial"/>
                <w:sz w:val="16"/>
                <w:szCs w:val="16"/>
                <w:color w:val="auto"/>
              </w:rPr>
              <w:t>May 1, 2018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2240" w:type="dxa"/>
            <w:vAlign w:val="bottom"/>
          </w:tcPr>
          <w:p>
            <w:pPr>
              <w:jc w:val="center"/>
              <w:spacing w:after="0"/>
              <w:rPr>
                <w:sz w:val="20"/>
                <w:szCs w:val="20"/>
                <w:color w:val="auto"/>
              </w:rPr>
            </w:pPr>
            <w:r>
              <w:rPr>
                <w:rFonts w:ascii="Arial" w:cs="Arial" w:eastAsia="Arial" w:hAnsi="Arial"/>
                <w:sz w:val="16"/>
                <w:szCs w:val="16"/>
                <w:color w:val="auto"/>
                <w:w w:val="88"/>
              </w:rPr>
              <w:t>June 11, 2018</w:t>
            </w:r>
          </w:p>
        </w:tc>
        <w:tc>
          <w:tcPr>
            <w:tcW w:w="1960" w:type="dxa"/>
            <w:vAlign w:val="bottom"/>
          </w:tcPr>
          <w:p>
            <w:pPr>
              <w:jc w:val="center"/>
              <w:ind w:right="99"/>
              <w:spacing w:after="0"/>
              <w:rPr>
                <w:sz w:val="20"/>
                <w:szCs w:val="20"/>
                <w:color w:val="auto"/>
              </w:rPr>
            </w:pPr>
            <w:r>
              <w:rPr>
                <w:rFonts w:ascii="Arial" w:cs="Arial" w:eastAsia="Arial" w:hAnsi="Arial"/>
                <w:sz w:val="16"/>
                <w:szCs w:val="16"/>
                <w:color w:val="auto"/>
                <w:w w:val="88"/>
              </w:rPr>
              <w:t>June 29, 2018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980"/>
              <w:spacing w:after="0"/>
              <w:rPr>
                <w:sz w:val="20"/>
                <w:szCs w:val="20"/>
                <w:color w:val="auto"/>
              </w:rPr>
            </w:pPr>
            <w:r>
              <w:rPr>
                <w:rFonts w:ascii="Arial" w:cs="Arial" w:eastAsia="Arial" w:hAnsi="Arial"/>
                <w:sz w:val="16"/>
                <w:szCs w:val="16"/>
                <w:color w:val="auto"/>
              </w:rPr>
              <w:t>9.1 million</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r>
      <w:tr>
        <w:trPr>
          <w:trHeight w:val="270"/>
        </w:trPr>
        <w:tc>
          <w:tcPr>
            <w:tcW w:w="2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August 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10, 2018</w:t>
            </w:r>
          </w:p>
        </w:tc>
        <w:tc>
          <w:tcPr>
            <w:tcW w:w="19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September 28, 2018</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9.1 million</w:t>
            </w:r>
          </w:p>
        </w:tc>
      </w:tr>
      <w:tr>
        <w:trPr>
          <w:trHeight w:val="21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0.90</w:t>
            </w:r>
          </w:p>
        </w:tc>
        <w:tc>
          <w:tcPr>
            <w:tcW w:w="2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gridSpan w:val="2"/>
          </w:tcPr>
          <w:p>
            <w:pPr>
              <w:ind w:left="900"/>
              <w:spacing w:after="0"/>
              <w:rPr>
                <w:sz w:val="20"/>
                <w:szCs w:val="20"/>
                <w:color w:val="auto"/>
              </w:rPr>
            </w:pPr>
            <w:r>
              <w:rPr>
                <w:rFonts w:ascii="Arial" w:cs="Arial" w:eastAsia="Arial" w:hAnsi="Arial"/>
                <w:sz w:val="16"/>
                <w:szCs w:val="16"/>
                <w:color w:val="auto"/>
              </w:rPr>
              <w:t>27.2 million</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03"/>
        </w:trPr>
        <w:tc>
          <w:tcPr>
            <w:tcW w:w="2820" w:type="dxa"/>
            <w:vAlign w:val="bottom"/>
            <w:gridSpan w:val="3"/>
          </w:tcPr>
          <w:p>
            <w:pPr>
              <w:ind w:left="40"/>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2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February 14,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March 13, 2017</w:t>
            </w:r>
          </w:p>
        </w:tc>
        <w:tc>
          <w:tcPr>
            <w:tcW w:w="19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91"/>
              </w:rPr>
              <w:t>March 31, 2017</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w w:val="98"/>
              </w:rPr>
              <w:t>8.9</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million</w:t>
            </w:r>
          </w:p>
        </w:tc>
      </w:tr>
      <w:tr>
        <w:trPr>
          <w:trHeight w:val="237"/>
        </w:trPr>
        <w:tc>
          <w:tcPr>
            <w:tcW w:w="2820" w:type="dxa"/>
            <w:vAlign w:val="bottom"/>
            <w:gridSpan w:val="3"/>
          </w:tcPr>
          <w:p>
            <w:pPr>
              <w:ind w:left="40"/>
              <w:spacing w:after="0"/>
              <w:rPr>
                <w:sz w:val="20"/>
                <w:szCs w:val="20"/>
                <w:color w:val="auto"/>
              </w:rPr>
            </w:pPr>
            <w:r>
              <w:rPr>
                <w:rFonts w:ascii="Arial" w:cs="Arial" w:eastAsia="Arial" w:hAnsi="Arial"/>
                <w:sz w:val="16"/>
                <w:szCs w:val="16"/>
                <w:color w:val="auto"/>
              </w:rPr>
              <w:t>May 2, 2017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2240" w:type="dxa"/>
            <w:vAlign w:val="bottom"/>
          </w:tcPr>
          <w:p>
            <w:pPr>
              <w:jc w:val="center"/>
              <w:spacing w:after="0"/>
              <w:rPr>
                <w:sz w:val="20"/>
                <w:szCs w:val="20"/>
                <w:color w:val="auto"/>
              </w:rPr>
            </w:pPr>
            <w:r>
              <w:rPr>
                <w:rFonts w:ascii="Arial" w:cs="Arial" w:eastAsia="Arial" w:hAnsi="Arial"/>
                <w:sz w:val="16"/>
                <w:szCs w:val="16"/>
                <w:color w:val="auto"/>
                <w:w w:val="88"/>
              </w:rPr>
              <w:t>June 12, 2017</w:t>
            </w:r>
          </w:p>
        </w:tc>
        <w:tc>
          <w:tcPr>
            <w:tcW w:w="1960" w:type="dxa"/>
            <w:vAlign w:val="bottom"/>
          </w:tcPr>
          <w:p>
            <w:pPr>
              <w:jc w:val="center"/>
              <w:ind w:right="99"/>
              <w:spacing w:after="0"/>
              <w:rPr>
                <w:sz w:val="20"/>
                <w:szCs w:val="20"/>
                <w:color w:val="auto"/>
              </w:rPr>
            </w:pPr>
            <w:r>
              <w:rPr>
                <w:rFonts w:ascii="Arial" w:cs="Arial" w:eastAsia="Arial" w:hAnsi="Arial"/>
                <w:sz w:val="16"/>
                <w:szCs w:val="16"/>
                <w:color w:val="auto"/>
                <w:w w:val="88"/>
              </w:rPr>
              <w:t>June 30, 2017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ind w:left="980"/>
              <w:spacing w:after="0"/>
              <w:rPr>
                <w:sz w:val="20"/>
                <w:szCs w:val="20"/>
                <w:color w:val="auto"/>
              </w:rPr>
            </w:pPr>
            <w:r>
              <w:rPr>
                <w:rFonts w:ascii="Arial" w:cs="Arial" w:eastAsia="Arial" w:hAnsi="Arial"/>
                <w:sz w:val="16"/>
                <w:szCs w:val="16"/>
                <w:color w:val="auto"/>
                <w:w w:val="98"/>
              </w:rPr>
              <w:t>8.9</w:t>
            </w:r>
          </w:p>
        </w:tc>
        <w:tc>
          <w:tcPr>
            <w:tcW w:w="540" w:type="dxa"/>
            <w:vAlign w:val="bottom"/>
          </w:tcPr>
          <w:p>
            <w:pPr>
              <w:ind w:left="40"/>
              <w:spacing w:after="0"/>
              <w:rPr>
                <w:sz w:val="20"/>
                <w:szCs w:val="20"/>
                <w:color w:val="auto"/>
              </w:rPr>
            </w:pPr>
            <w:r>
              <w:rPr>
                <w:rFonts w:ascii="Arial" w:cs="Arial" w:eastAsia="Arial" w:hAnsi="Arial"/>
                <w:sz w:val="16"/>
                <w:szCs w:val="16"/>
                <w:color w:val="auto"/>
              </w:rPr>
              <w:t>million</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2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August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11, 2017</w:t>
            </w:r>
          </w:p>
        </w:tc>
        <w:tc>
          <w:tcPr>
            <w:tcW w:w="196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September 29, 2017</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w w:val="98"/>
              </w:rPr>
              <w:t>8.9</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million</w:t>
            </w:r>
          </w:p>
        </w:tc>
      </w:tr>
      <w:tr>
        <w:trPr>
          <w:trHeight w:val="21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0.90</w:t>
            </w:r>
          </w:p>
        </w:tc>
        <w:tc>
          <w:tcPr>
            <w:tcW w:w="2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gridSpan w:val="2"/>
          </w:tcPr>
          <w:p>
            <w:pPr>
              <w:ind w:left="900"/>
              <w:spacing w:after="0"/>
              <w:rPr>
                <w:sz w:val="20"/>
                <w:szCs w:val="20"/>
                <w:color w:val="auto"/>
              </w:rPr>
            </w:pPr>
            <w:r>
              <w:rPr>
                <w:rFonts w:ascii="Arial" w:cs="Arial" w:eastAsia="Arial" w:hAnsi="Arial"/>
                <w:sz w:val="16"/>
                <w:szCs w:val="16"/>
                <w:color w:val="auto"/>
              </w:rPr>
              <w:t>26.7 million</w:t>
            </w:r>
          </w:p>
        </w:tc>
      </w:tr>
    </w:tbl>
    <w:p>
      <w:pPr>
        <w:spacing w:after="0" w:line="181" w:lineRule="exact"/>
        <w:rPr>
          <w:sz w:val="20"/>
          <w:szCs w:val="20"/>
          <w:color w:val="auto"/>
        </w:rPr>
      </w:pPr>
    </w:p>
    <w:p>
      <w:pPr>
        <w:jc w:val="both"/>
        <w:ind w:right="20" w:firstLine="351"/>
        <w:spacing w:after="0" w:line="308" w:lineRule="auto"/>
        <w:rPr>
          <w:sz w:val="20"/>
          <w:szCs w:val="20"/>
          <w:color w:val="auto"/>
        </w:rPr>
      </w:pPr>
      <w:r>
        <w:rPr>
          <w:rFonts w:ascii="Arial" w:cs="Arial" w:eastAsia="Arial" w:hAnsi="Arial"/>
          <w:sz w:val="17"/>
          <w:szCs w:val="17"/>
          <w:color w:val="auto"/>
        </w:rPr>
        <w:t>Included in the total dividends for the nine months ended September 30, 2018 and 2017 are $297,000 and $232,000 of dividend equivalents on RSUs, respectively. The balance of dividends payable was $599,000 at September 30, 2018 and $434,000 at December 31,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September 30, 2018, 1,703,251 shares are available for grant.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50,000, and at September 30, 2018, 21,663 shares are available for grant.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option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1,479,236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2,234,699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205,244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(280,683)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(735,587)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36.86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(62,489)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1,156,338</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1,641,867</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841,763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26.64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699,922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of the outstanding options vest over two to four years and have a contractual life of seven years from the original date of grant. All of the outstanding options have an exercise price greater than the fair value of the underlying shares at the date of grant. The weighted-average remaining contractual life of the options outstanding and options exercisable was 3.9 years and 3.6 years,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RSU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w w:val="97"/>
              </w:rPr>
              <w:t>Nine Months Ended September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196,800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218,475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39.75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119,312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(63,191)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40.92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(39,113)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40.81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328,277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254,811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32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60" w:type="dxa"/>
            <w:vAlign w:val="bottom"/>
            <w:gridSpan w:val="3"/>
          </w:tcPr>
          <w:p>
            <w:pPr>
              <w:jc w:val="center"/>
              <w:ind w:right="336"/>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5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196"/>
        </w:trPr>
        <w:tc>
          <w:tcPr>
            <w:tcW w:w="5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based compensation expense</w:t>
            </w: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88"/>
              </w:rPr>
              <w:t>1,681</w:t>
            </w:r>
          </w:p>
        </w:tc>
        <w:tc>
          <w:tcPr>
            <w:tcW w:w="9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8"/>
              </w:rPr>
              <w:t>1,760</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4,796</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5,338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U.S. tax benefit on share based compensation expense</w:t>
            </w:r>
          </w:p>
        </w:tc>
        <w:tc>
          <w:tcPr>
            <w:tcW w:w="840" w:type="dxa"/>
            <w:vAlign w:val="bottom"/>
          </w:tcPr>
          <w:p>
            <w:pPr>
              <w:spacing w:after="0"/>
              <w:rPr>
                <w:sz w:val="21"/>
                <w:szCs w:val="21"/>
                <w:color w:val="auto"/>
              </w:rPr>
            </w:pPr>
          </w:p>
        </w:tc>
        <w:tc>
          <w:tcPr>
            <w:tcW w:w="560" w:type="dxa"/>
            <w:vAlign w:val="bottom"/>
          </w:tcPr>
          <w:p>
            <w:pPr>
              <w:jc w:val="right"/>
              <w:ind w:right="56"/>
              <w:spacing w:after="0"/>
              <w:rPr>
                <w:sz w:val="20"/>
                <w:szCs w:val="20"/>
                <w:color w:val="auto"/>
              </w:rPr>
            </w:pPr>
            <w:r>
              <w:rPr>
                <w:rFonts w:ascii="Arial" w:cs="Arial" w:eastAsia="Arial" w:hAnsi="Arial"/>
                <w:sz w:val="18"/>
                <w:szCs w:val="18"/>
                <w:color w:val="auto"/>
              </w:rPr>
              <w:t>198</w:t>
            </w:r>
          </w:p>
        </w:tc>
        <w:tc>
          <w:tcPr>
            <w:tcW w:w="920" w:type="dxa"/>
            <w:vAlign w:val="bottom"/>
          </w:tcPr>
          <w:p>
            <w:pPr>
              <w:spacing w:after="0"/>
              <w:rPr>
                <w:sz w:val="21"/>
                <w:szCs w:val="21"/>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5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8"/>
                <w:szCs w:val="18"/>
                <w:color w:val="auto"/>
              </w:rPr>
              <w:t>569</w:t>
            </w:r>
          </w:p>
        </w:tc>
        <w:tc>
          <w:tcPr>
            <w:tcW w:w="5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1,413</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2018, the Company had $10.2 million of unrecognized share based compensation expense expected to be charged to earnings over a weighted-average period of 1.9 years.</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November 6, 2018, the Board of Directors declared a cash dividend of $0.30 per common share. The dividend is payable on December 28, 2018 to shareholders of record on December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in this Quarterly Report on Form 10-Q, or “Quarterly Report”, and Part I, Item 1A “Risk Factors” in our Annual Report on Form 10-K for the year ended December 31, 2017. The results of operations for the three and nine months ended September 30, 2018 are not necessarily indicative of the results that may be expected for the full year ending December 31, 2018,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2017.</w:t>
      </w:r>
    </w:p>
    <w:p>
      <w:pPr>
        <w:spacing w:after="0" w:line="59" w:lineRule="exact"/>
        <w:rPr>
          <w:sz w:val="20"/>
          <w:szCs w:val="20"/>
          <w:color w:val="auto"/>
        </w:rPr>
      </w:pPr>
    </w:p>
    <w:p>
      <w:pPr>
        <w:jc w:val="both"/>
        <w:ind w:firstLine="396"/>
        <w:spacing w:after="0" w:line="312"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underwriting profit for the three and nine months ended September 30, 2018 was $8.1 million and $20.9 million, respectively. In the prior year, for the same periods, we had an underwriting profit of $1.4 million and $9.8 million,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7" w:lineRule="exact"/>
        <w:rPr>
          <w:sz w:val="20"/>
          <w:szCs w:val="20"/>
          <w:color w:val="auto"/>
        </w:rPr>
      </w:pPr>
    </w:p>
    <w:p>
      <w:pPr>
        <w:jc w:val="both"/>
        <w:ind w:left="660" w:right="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Specialty Admitted Insurance segment focuses on niche classes within the standard insurance markets, such as workers’ compensation coverage for residential contractors, light manufacturing operations, transportation workers and healthcare workers and fronting business, where we retain a small percentage of the risk and seek to earn fee income by allowing other carriers and producers to use our licensure, ratings and infrastructure. This segment has admitted licenses in 49 states and the District of Columbia;</w:t>
      </w:r>
    </w:p>
    <w:p>
      <w:pPr>
        <w:spacing w:after="0" w:line="78"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Casualty Reinsurance segment primarily provides proportional and working layer casualty reinsurance to third parties (primarily through reinsurance intermediaries) and stop loss reinsurance to Carolina Re Ltd. (“Carolina Re”), through JRG Reinsurance Company Ltd. (“JRG Re”), both Bermuda-based reinsurance companies. JRG Re has also in the past provided reinsurance to the Company's U.S. based insurance subsidiaries through a quota-share reinsurance agreement; Carolina Re was formed in 2018 to do this as well; and</w:t>
      </w:r>
    </w:p>
    <w:p>
      <w:pPr>
        <w:spacing w:after="0" w:line="63"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16" w:lineRule="exact"/>
        <w:rPr>
          <w:sz w:val="20"/>
          <w:szCs w:val="20"/>
          <w:color w:val="auto"/>
        </w:rPr>
      </w:pPr>
    </w:p>
    <w:p>
      <w:pPr>
        <w:ind w:right="2020" w:firstLine="324"/>
        <w:spacing w:after="0" w:line="375" w:lineRule="auto"/>
        <w:rPr>
          <w:sz w:val="20"/>
          <w:szCs w:val="20"/>
          <w:color w:val="auto"/>
        </w:rPr>
      </w:pPr>
      <w:r>
        <w:rPr>
          <w:rFonts w:ascii="Arial" w:cs="Arial" w:eastAsia="Arial" w:hAnsi="Arial"/>
          <w:sz w:val="18"/>
          <w:szCs w:val="18"/>
          <w:color w:val="auto"/>
        </w:rPr>
        <w:t xml:space="preserve">All of our insurance and reinsurance subsidiaries have financial strength ratings of “A” (Excellent) from A.M. Best Company.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most critical accounting policies involve significant estimates and include those used in determining the reserve for losses and loss adjustment expenses, investment valuation and impairment, goodwill and intangible assets, and assumed reinsurance premiums. For a detailed discussion of each of these policies, refer to our Annual Report on Form 10-K for the year ended December 31, 2017. There have been no significant changes to any of these policies during the current year.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5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Nine Months Ended</w:t>
            </w:r>
          </w:p>
        </w:tc>
        <w:tc>
          <w:tcPr>
            <w:tcW w:w="1220" w:type="dxa"/>
            <w:vAlign w:val="bottom"/>
            <w:gridSpan w:val="2"/>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279,969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338,351</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(17.3)%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871,463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844,005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3.3 %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3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written premiums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173,441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256,764</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(32.5)%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573,025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622,498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tcPr>
          <w:p>
            <w:pPr>
              <w:ind w:left="40"/>
              <w:spacing w:after="0"/>
              <w:rPr>
                <w:sz w:val="20"/>
                <w:szCs w:val="20"/>
                <w:color w:val="auto"/>
              </w:rPr>
            </w:pPr>
            <w:r>
              <w:rPr>
                <w:rFonts w:ascii="Arial" w:cs="Arial" w:eastAsia="Arial" w:hAnsi="Arial"/>
                <w:sz w:val="18"/>
                <w:szCs w:val="18"/>
                <w:color w:val="auto"/>
              </w:rPr>
              <w:t>Net earned premiums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204,690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202,116</w:t>
            </w:r>
          </w:p>
        </w:tc>
        <w:tc>
          <w:tcPr>
            <w:tcW w:w="1320" w:type="dxa"/>
            <w:vAlign w:val="bottom"/>
          </w:tcPr>
          <w:p>
            <w:pPr>
              <w:jc w:val="right"/>
              <w:ind w:right="73"/>
              <w:spacing w:after="0"/>
              <w:rPr>
                <w:sz w:val="20"/>
                <w:szCs w:val="20"/>
                <w:color w:val="auto"/>
              </w:rPr>
            </w:pPr>
            <w:r>
              <w:rPr>
                <w:rFonts w:ascii="Arial" w:cs="Arial" w:eastAsia="Arial" w:hAnsi="Arial"/>
                <w:sz w:val="18"/>
                <w:szCs w:val="18"/>
                <w:i w:val="1"/>
                <w:iCs w:val="1"/>
                <w:color w:val="auto"/>
              </w:rPr>
              <w:t>1.3 %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613,842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540,880</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13.5 %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Losses and loss adjustment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(150,387)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8"/>
              </w:rPr>
              <w:t>(150,445)</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 %</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(448,754)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(386,898)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16.0 %</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(46,182)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(50,314)</w:t>
            </w:r>
          </w:p>
        </w:tc>
        <w:tc>
          <w:tcPr>
            <w:tcW w:w="1320" w:type="dxa"/>
            <w:vAlign w:val="bottom"/>
          </w:tcPr>
          <w:p>
            <w:pPr>
              <w:jc w:val="right"/>
              <w:ind w:right="53"/>
              <w:spacing w:after="0"/>
              <w:rPr>
                <w:sz w:val="20"/>
                <w:szCs w:val="20"/>
                <w:color w:val="auto"/>
              </w:rPr>
            </w:pPr>
            <w:r>
              <w:rPr>
                <w:rFonts w:ascii="Arial" w:cs="Arial" w:eastAsia="Arial" w:hAnsi="Arial"/>
                <w:sz w:val="18"/>
                <w:szCs w:val="18"/>
                <w:i w:val="1"/>
                <w:iCs w:val="1"/>
                <w:color w:val="auto"/>
              </w:rPr>
              <w:t>(8.2)%</w:t>
            </w: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(144,205)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(144,187)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 %</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(2), (3)</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1,357</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498.5 %</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20,883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9,795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113.2 %</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14,880</w:t>
            </w:r>
          </w:p>
        </w:tc>
        <w:tc>
          <w:tcPr>
            <w:tcW w:w="1320" w:type="dxa"/>
            <w:vAlign w:val="bottom"/>
          </w:tcPr>
          <w:p>
            <w:pPr>
              <w:jc w:val="right"/>
              <w:ind w:right="73"/>
              <w:spacing w:after="0"/>
              <w:rPr>
                <w:sz w:val="20"/>
                <w:szCs w:val="20"/>
                <w:color w:val="auto"/>
              </w:rPr>
            </w:pPr>
            <w:r>
              <w:rPr>
                <w:rFonts w:ascii="Arial" w:cs="Arial" w:eastAsia="Arial" w:hAnsi="Arial"/>
                <w:sz w:val="18"/>
                <w:szCs w:val="18"/>
                <w:i w:val="1"/>
                <w:iCs w:val="1"/>
                <w:color w:val="auto"/>
              </w:rPr>
              <w:t>10.3 %</w:t>
            </w:r>
          </w:p>
        </w:tc>
        <w:tc>
          <w:tcPr>
            <w:tcW w:w="3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45,801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45,327</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1.0 %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Net realized and unrealized gains (losses)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i w:val="1"/>
                <w:iCs w:val="1"/>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 investments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(171)</w:t>
            </w:r>
          </w:p>
        </w:tc>
        <w:tc>
          <w:tcPr>
            <w:tcW w:w="1320" w:type="dxa"/>
            <w:vAlign w:val="bottom"/>
            <w:vMerge w:val="continue"/>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40"/>
              <w:spacing w:after="0"/>
              <w:rPr>
                <w:sz w:val="20"/>
                <w:szCs w:val="20"/>
                <w:color w:val="auto"/>
              </w:rPr>
            </w:pPr>
            <w:r>
              <w:rPr>
                <w:rFonts w:ascii="Arial" w:cs="Arial" w:eastAsia="Arial" w:hAnsi="Arial"/>
                <w:sz w:val="18"/>
                <w:szCs w:val="18"/>
                <w:color w:val="auto"/>
              </w:rPr>
              <w:t>Other income and expense</w:t>
            </w:r>
          </w:p>
        </w:tc>
        <w:tc>
          <w:tcPr>
            <w:tcW w:w="34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1320" w:type="dxa"/>
            <w:vAlign w:val="bottom"/>
          </w:tcPr>
          <w:p>
            <w:pPr>
              <w:jc w:val="right"/>
              <w:ind w:right="253"/>
              <w:spacing w:after="0"/>
              <w:rPr>
                <w:sz w:val="20"/>
                <w:szCs w:val="20"/>
                <w:color w:val="auto"/>
              </w:rPr>
            </w:pPr>
            <w:r>
              <w:rPr>
                <w:rFonts w:ascii="Arial" w:cs="Arial" w:eastAsia="Arial" w:hAnsi="Arial"/>
                <w:sz w:val="18"/>
                <w:szCs w:val="18"/>
                <w:i w:val="1"/>
                <w:iCs w:val="1"/>
                <w:color w:val="auto"/>
              </w:rPr>
              <w:t>‒</w:t>
            </w:r>
          </w:p>
        </w:tc>
        <w:tc>
          <w:tcPr>
            <w:tcW w:w="340" w:type="dxa"/>
            <w:vAlign w:val="bottom"/>
          </w:tcPr>
          <w:p>
            <w:pPr>
              <w:spacing w:after="0"/>
              <w:rPr>
                <w:sz w:val="23"/>
                <w:szCs w:val="23"/>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(2,304)</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29.8 %</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27.2 %</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(149)</w:t>
            </w:r>
          </w:p>
        </w:tc>
        <w:tc>
          <w:tcPr>
            <w:tcW w:w="1320" w:type="dxa"/>
            <w:vAlign w:val="bottom"/>
            <w:tcBorders>
              <w:bottom w:val="single" w:sz="8" w:color="CCEEFF"/>
            </w:tcBorders>
          </w:tcPr>
          <w:p>
            <w:pPr>
              <w:jc w:val="right"/>
              <w:ind w:right="253"/>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22,116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13,589</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62.7 %</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57,737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49,126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17.5 %</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3,238</w:t>
            </w:r>
          </w:p>
        </w:tc>
        <w:tc>
          <w:tcPr>
            <w:tcW w:w="1320" w:type="dxa"/>
            <w:vAlign w:val="bottom"/>
          </w:tcPr>
          <w:p>
            <w:pPr>
              <w:jc w:val="right"/>
              <w:ind w:right="53"/>
              <w:spacing w:after="0"/>
              <w:rPr>
                <w:sz w:val="20"/>
                <w:szCs w:val="20"/>
                <w:color w:val="auto"/>
              </w:rPr>
            </w:pPr>
            <w:r>
              <w:rPr>
                <w:rFonts w:ascii="Arial" w:cs="Arial" w:eastAsia="Arial" w:hAnsi="Arial"/>
                <w:sz w:val="18"/>
                <w:szCs w:val="18"/>
                <w:i w:val="1"/>
                <w:iCs w:val="1"/>
                <w:color w:val="auto"/>
              </w:rPr>
              <w:t>(21.7)%</w:t>
            </w:r>
          </w:p>
        </w:tc>
        <w:tc>
          <w:tcPr>
            <w:tcW w:w="3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5,784</w:t>
            </w: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(4.2)%</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19,581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10,351</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89.2 %</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52,198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43,342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20.4 %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Adjusted net operating income </w:t>
            </w:r>
            <w:r>
              <w:rPr>
                <w:rFonts w:ascii="Arial" w:cs="Arial" w:eastAsia="Arial" w:hAnsi="Arial"/>
                <w:sz w:val="14"/>
                <w:szCs w:val="14"/>
                <w:color w:val="auto"/>
              </w:rPr>
              <w:t>(4)</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19,402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10,731</w:t>
            </w:r>
          </w:p>
        </w:tc>
        <w:tc>
          <w:tcPr>
            <w:tcW w:w="132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i w:val="1"/>
                <w:iCs w:val="1"/>
                <w:color w:val="auto"/>
              </w:rPr>
              <w:t>80.8 %</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53,540</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43,314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23.6 %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w:t>
            </w: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99.3%</w:t>
            </w: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63" w:lineRule="exact"/>
        <w:rPr>
          <w:rFonts w:ascii="Arial" w:cs="Arial" w:eastAsia="Arial" w:hAnsi="Arial"/>
          <w:sz w:val="18"/>
          <w:szCs w:val="18"/>
          <w:i w:val="1"/>
          <w:iCs w:val="1"/>
          <w:color w:val="auto"/>
        </w:rPr>
      </w:pPr>
    </w:p>
    <w:p>
      <w:pPr>
        <w:ind w:left="660" w:right="620" w:hanging="328"/>
        <w:spacing w:after="0" w:line="27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8" w:lineRule="exact"/>
        <w:rPr>
          <w:rFonts w:ascii="Arial" w:cs="Arial" w:eastAsia="Arial" w:hAnsi="Arial"/>
          <w:sz w:val="18"/>
          <w:szCs w:val="18"/>
          <w:i w:val="1"/>
          <w:iCs w:val="1"/>
          <w:color w:val="auto"/>
        </w:rPr>
      </w:pPr>
    </w:p>
    <w:p>
      <w:pPr>
        <w:ind w:left="660" w:right="460" w:hanging="328"/>
        <w:spacing w:after="0" w:line="27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nine months ended September 30, 2018 is gross fee income of $6.8 million and $22.4 million, respectively ($7.0 million and $19.8 million for the same periods in the prior year).</w:t>
      </w:r>
    </w:p>
    <w:p>
      <w:pPr>
        <w:spacing w:after="0" w:line="8" w:lineRule="exact"/>
        <w:rPr>
          <w:rFonts w:ascii="Arial" w:cs="Arial" w:eastAsia="Arial" w:hAnsi="Arial"/>
          <w:sz w:val="18"/>
          <w:szCs w:val="18"/>
          <w:i w:val="1"/>
          <w:iCs w:val="1"/>
          <w:color w:val="auto"/>
        </w:rPr>
      </w:pPr>
    </w:p>
    <w:p>
      <w:pPr>
        <w:ind w:left="660" w:right="460" w:hanging="328"/>
        <w:spacing w:after="0" w:line="27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is a non-GAAP measure. See “Reconciliation of Non-GAAP Measures” for reconciliation to net income and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and 2017</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had an underwriting profit of $8.1 million for the three months ended September 30, 2018. This compares to an underwriting profit of $1.4 million for the same period in the prior year.</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results for the three months ended September 30, 2018 and 2017 include certain non-operating items that are significant to the Company. These items (on a pre-tax basis) include:</w:t>
      </w:r>
    </w:p>
    <w:p>
      <w:pPr>
        <w:spacing w:after="0" w:line="62" w:lineRule="exact"/>
        <w:rPr>
          <w:sz w:val="20"/>
          <w:szCs w:val="20"/>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realized and unrealized investment gains of $467,000 and net realized investment losses of $171,000 for the three months ended September 30, 2018 and 2017, respectively. See “— Investing Results" for more information on these realized investment losses and gains.</w:t>
      </w:r>
    </w:p>
    <w:p>
      <w:pPr>
        <w:spacing w:after="0" w:line="3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expense of $404,000 and $315,000 for the three months ended September 30, 2018 and 2017, respectively, relating to finance expenses in connection with a minority interest in a real estate partnership pursuant to which we are deemed an owner for accounting purposes. The debt is nonrecourse to us and was not arranged by us.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define adjusted net operating income as net income excluding certain non-operating expenses such as net realized and unrealized gains and losses on investments, expenses related to due diligence costs for various merger and acquisition activities, professional service fees related to the filing of registration statements for the offering of securities, severance costs associated</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terminated employees, and interest and other income and expenses on a leased building that we are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4"/>
                <w:szCs w:val="14"/>
                <w:b w:val="1"/>
                <w:bCs w:val="1"/>
                <w:color w:val="auto"/>
                <w:w w:val="96"/>
              </w:rPr>
              <w:t>Three Months Ended September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3"/>
                <w:szCs w:val="13"/>
                <w:color w:val="auto"/>
              </w:rPr>
            </w:pPr>
          </w:p>
        </w:tc>
        <w:tc>
          <w:tcPr>
            <w:tcW w:w="84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Before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22,116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19,581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8"/>
              </w:rPr>
              <w:t>Interest expense on leased building the Company is deemed to own for</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accounting purposes</w:t>
            </w:r>
          </w:p>
        </w:tc>
        <w:tc>
          <w:tcPr>
            <w:tcW w:w="280" w:type="dxa"/>
            <w:vAlign w:val="bottom"/>
          </w:tcPr>
          <w:p>
            <w:pPr>
              <w:spacing w:after="0"/>
              <w:rPr>
                <w:sz w:val="20"/>
                <w:szCs w:val="20"/>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21,922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19,402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10,731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combined ratio for the three months ended September 30, 2018 was 96.0%. The combined ratio is a measure of underwriting performance and represents the relationship of incurred losses, loss adjustment expenses and other operating expenses to net earned premiums. A combined ratio of less than 100% indicates an underwriting profit, while a combined ratio greater than 100% reflects an underwriting loss. The combined ratio for the three months ended September 30, 2018 includes $12.2 million, or 6.0 percentage points, of net adverse reserve development on prior accident years, including $10.4 million of net adverse reserve development from the Excess and Surplus Lines segment, $833,000 of net favorable reserve development from the Specialty Admitted Insurance segment, and $2.7 million of net adverse reserve development from the Casualty Reinsurance segment.</w:t>
      </w:r>
    </w:p>
    <w:p>
      <w:pPr>
        <w:spacing w:after="0" w:line="5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combined ratio for the three months ended September 30, 2017 was 99.3%. The combined ratio for the three months ended September 30, 2017 includes $10.0 million, or 4.9 percentage points, of catastrophe losses from Hurricane Harvey, Irma, and Maria. The combined ratio also included $7.6 million, or 3.7 percentage points, of net favorable reserve development on prior accident years, including $5.1 million of net favorable reserve development from the Excess and Surplus Lines segment, $3.0 million of net favorable reserve development from the Specialty Admitted Insurance segment, and $581,000 of net adverse reserve development from the Casualty Reinsurance segment.</w:t>
      </w:r>
    </w:p>
    <w:p>
      <w:pPr>
        <w:spacing w:after="0" w:line="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expense ratio improved from 24.9% for the three months ended September 30, 2017 to 22.5% for the three months ended September 30, 2018. The improvement is due to a 14.5% increase in the net earned premiums of the Excess and Surplus Lines segment including in lines of business which carry relatively low expenses or that have meaningful ceding commissions. Our Excess and Surplus Lines segment has significant scale and produces a lower expense ratio than our other operating segments. The Excess and Surplus Lines segment is our largest segment and makes up 69.1% of consolidated net earned premiums for the three months ended September 30, 2018. Gross fee income for the Company decreased from $7.0 million for the three months ended September 30, 2017 to $6.8 million for the three months ended September 30,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and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had an underwriting profit of $20.9 million for the nine months ended September 30, 2018. This compares to an underwriting profit of $9.8 million for the same period in the prior year.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nine months ended September 30, 2018 and 2017 include certain non-operating items that are significant to the Company. These items (on a pre-tax basis) include:</w:t>
      </w:r>
    </w:p>
    <w:p>
      <w:pPr>
        <w:spacing w:after="0" w:line="62" w:lineRule="exact"/>
        <w:rPr>
          <w:sz w:val="20"/>
          <w:szCs w:val="20"/>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realized and unrealized investment losses of $407,000 and net realized investment gains of $1.2 million for the nine months ended September 30, 2018 and 2017, respectively. See “— Investing Results" for more information on these realized investment losses and gains.</w:t>
      </w:r>
    </w:p>
    <w:p>
      <w:pPr>
        <w:spacing w:after="0" w:line="3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expense of $1.2 million and $940,000 for the nine months ended September 30, 2018 and 2017, respectively, relating to finance expenses in connection with a minority interest in a real estate partnership pursuant to which we are deemed an owner for accounting purposes. The debt is nonrecourse to us and was not arranged by us.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4"/>
                <w:szCs w:val="14"/>
                <w:b w:val="1"/>
                <w:bCs w:val="1"/>
                <w:color w:val="auto"/>
                <w:w w:val="97"/>
              </w:rPr>
              <w:t>Nine Months Ended September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2018</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3"/>
                <w:szCs w:val="13"/>
                <w:color w:val="auto"/>
              </w:rPr>
            </w:pPr>
          </w:p>
        </w:tc>
        <w:tc>
          <w:tcPr>
            <w:tcW w:w="84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5"/>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57,737</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52,198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49,126</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43,342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8"/>
              </w:rPr>
              <w:t>Interest expense on leased building the Company is deemed to own for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accounting purposes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59,289</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53,540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43,314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combined ratio for the nine months ended September 30, 2018 was 96.6%. The combined ratio for the nine months ended September 30, 2018 includes $11.8 million, or 1.9 percentage points, of net adverse reserve development on prior accident years, including $9.2 million of net adverse reserve development from the Excess and Surplus Lines segment, $2.3 million of net favorable reserve development from the Specialty Admitted Insurance segment, and $4.9 million of net adverse reserve development from the Casualty Reinsurance segment.</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combined ratio for the nine months ended September 30, 2017 was 98.2%. The combined ratio for the nine months ended September 30, 2017 includes $10.0 million, or 1.8 percentage points, of catastrophe losses from Hurricane Harvey, Irma, and Maria. The combined ratio for the nine months ended September 30, 2017 also includes $9.3 million, or 1.7 percentage points, of net favorable reserve development on prior accident years, including $9.8 million of net favorable reserve development from the Excess and Surplus Lines segment, $2.1 million of net favorable reserve development from the Specialty Admitted Insurance segment, and $2.6 million of net adverse reserve development from the Casualty Reinsurance segment.</w:t>
      </w:r>
    </w:p>
    <w:p>
      <w:pPr>
        <w:spacing w:after="0" w:line="5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expense ratio improved from 26.7% for the nine months ended September 30, 2017 to 23.5% for the nine months ended September 30, 2018. The improvement is due to a 22.7% increase in the net earned premiums of the Excess and Surplus Lines segment including in lines of business which carry relatively low expenses or that have meaningful ceding commissions. Our Excess and Surplus Lines segment has significant scale and produces a lower expense ratio than our other operating segments. The Excess and Surplus Lines segment is our largest segment and makes up 66.9% of consolidated net earned premiums for the nine months ended September 30, 2018. Gross fee income for the Company increased from $19.8 million for the nine months ended September 30, 2017 to $22.4 million for the nine months ended September 30, 2018.</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prior periods ceded 70% of their premiums and losses to JRG Re, and starting January 1, 2018, ceded 70% of their premiums and losses to Carolina Re, an Internal Revenue Code of 1986, as amended (the “Code”), a Section 953(d) U.S. tax paying entity domiciled in Bermuda.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2017</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40" w:type="dxa"/>
            <w:vAlign w:val="bottom"/>
          </w:tcPr>
          <w:p>
            <w:pPr>
              <w:jc w:val="center"/>
              <w:ind w:left="34"/>
              <w:spacing w:after="0"/>
              <w:rPr>
                <w:sz w:val="20"/>
                <w:szCs w:val="20"/>
                <w:color w:val="auto"/>
              </w:rPr>
            </w:pPr>
            <w:r>
              <w:rPr>
                <w:rFonts w:ascii="Arial" w:cs="Arial" w:eastAsia="Arial" w:hAnsi="Arial"/>
                <w:sz w:val="14"/>
                <w:szCs w:val="14"/>
                <w:b w:val="1"/>
                <w:bCs w:val="1"/>
                <w:i w:val="1"/>
                <w:iCs w:val="1"/>
                <w:color w:val="auto"/>
                <w:w w:val="88"/>
              </w:rPr>
              <w:t>($ in thousands)</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157,237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140,425</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12.0 %</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490,121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387,424</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26.5 %</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98,607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84,838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16.2 %</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234,073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20.9 %</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24,125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113,088</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(78.7)%</w:t>
            </w: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98,234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222,508</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(55.9)%</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279,969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338,351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871,463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844,005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3.3 %</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0"/>
              <w:spacing w:after="0"/>
              <w:rPr>
                <w:sz w:val="20"/>
                <w:szCs w:val="20"/>
                <w:color w:val="auto"/>
              </w:rPr>
            </w:pPr>
            <w:r>
              <w:rPr>
                <w:rFonts w:ascii="Arial" w:cs="Arial" w:eastAsia="Arial" w:hAnsi="Arial"/>
                <w:sz w:val="18"/>
                <w:szCs w:val="18"/>
                <w:color w:val="auto"/>
              </w:rPr>
              <w:t>Net written premiums: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and Surplus Lines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135,141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125,188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8.0 %</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432,307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346,356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24.8 %</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Specialty Admitted Insurance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14,022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18,503</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(24.2)%</w:t>
            </w: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42,327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53,462</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Casualty Reinsurance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24,278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113,073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(78.5)%</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98,391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222,680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(55.8)%</w:t>
            </w:r>
          </w:p>
        </w:tc>
        <w:tc>
          <w:tcPr>
            <w:tcW w:w="0" w:type="dxa"/>
            <w:vAlign w:val="bottom"/>
          </w:tcPr>
          <w:p>
            <w:pPr>
              <w:spacing w:after="0"/>
              <w:rPr>
                <w:sz w:val="1"/>
                <w:szCs w:val="1"/>
                <w:color w:val="auto"/>
              </w:rPr>
            </w:pPr>
          </w:p>
        </w:tc>
      </w:tr>
      <w:tr>
        <w:trPr>
          <w:trHeight w:val="297"/>
        </w:trPr>
        <w:tc>
          <w:tcPr>
            <w:tcW w:w="40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173,441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2"/>
              </w:rPr>
              <w:t>256,764</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(32.5)%</w:t>
            </w:r>
          </w:p>
        </w:tc>
        <w:tc>
          <w:tcPr>
            <w:tcW w:w="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573,025</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622,498</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(7.9)%</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141,529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123,606</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14.5 %</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410,627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334,723</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22.7 %</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19,324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(28.1)%</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53,337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(22.2)%</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49,263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59,186</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(16.8)%</w:t>
            </w: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161,711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152,820</w:t>
            </w:r>
          </w:p>
        </w:tc>
        <w:tc>
          <w:tcPr>
            <w:tcW w:w="1240" w:type="dxa"/>
            <w:vAlign w:val="bottom"/>
            <w:gridSpan w:val="2"/>
          </w:tcPr>
          <w:p>
            <w:pPr>
              <w:jc w:val="right"/>
              <w:spacing w:after="0"/>
              <w:rPr>
                <w:sz w:val="20"/>
                <w:szCs w:val="20"/>
                <w:color w:val="auto"/>
              </w:rPr>
            </w:pPr>
            <w:r>
              <w:rPr>
                <w:rFonts w:ascii="Arial" w:cs="Arial" w:eastAsia="Arial" w:hAnsi="Arial"/>
                <w:sz w:val="18"/>
                <w:szCs w:val="18"/>
                <w:i w:val="1"/>
                <w:iCs w:val="1"/>
                <w:color w:val="auto"/>
              </w:rPr>
              <w:t>5.8 %</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204,690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202,116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613,842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540,880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13.5 %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Gross written premiums for the Excess and Surplus Lines segment (which represents 56.2% of our consolidated gross written premiums in the first nine months of 2018) increased 12.0% and 26.5% over the corresponding three and nine month periods in the prior year. Excluding commercial auto policies, gross written premiums increased 7.4% and 18.8% over the corresponding three and nine month periods in the prior year. Policy submissions excluding commercial auto policies were 8.3% higher and 9.1% more policies were bound in the nine months ended September 30, 2018 than in the nine months ended September 30, 2017. Rates for the Excess and Surplus Lines segment were up 5.5% compared to the nine months ended September 30, 2017. The change in gross written premiums compared to the same period in 2017 was notable in several divisions as shown below:</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2017</w:t>
            </w: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9"/>
              </w:rPr>
              <w:t>2017</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0" w:type="dxa"/>
            <w:vAlign w:val="bottom"/>
            <w:gridSpan w:val="5"/>
          </w:tcPr>
          <w:p>
            <w:pPr>
              <w:ind w:left="840"/>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Auto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68,671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16.7 %</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238,498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175,636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35.8 %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Manufacturers &amp; Contractors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20,980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21,391</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60,614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66,346</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(8.6)%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13,401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33,321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25.3 %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General Casualty</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10,024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8,660</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15.8 %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41,302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27,660</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49.3 %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23,101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20.8 %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Allied Health</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5,449</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26,933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16,626</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62.0 %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Life Sciences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24.4 %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Small Business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3,064</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20.7 %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10,891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8,302</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31.2 %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 divisions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26.0 %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30,364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26,906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12.9 %</w:t>
            </w:r>
          </w:p>
        </w:tc>
        <w:tc>
          <w:tcPr>
            <w:tcW w:w="0" w:type="dxa"/>
            <w:vAlign w:val="bottom"/>
          </w:tcPr>
          <w:p>
            <w:pPr>
              <w:spacing w:after="0"/>
              <w:rPr>
                <w:sz w:val="1"/>
                <w:szCs w:val="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Excess and Surplus Lines gross written premium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157,237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9"/>
              </w:rPr>
              <w:t>140,425</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12.0 %</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490,121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2"/>
              </w:rPr>
              <w:t>387,424</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26.5 %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Commercial Auto division is focused on underwriting the hired and non-owned auto liability exposures for a variety of industry segments with a particular niche for insuring organizations that operate networks connecting independent contractors with customers.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32.5% of our consolidated gross written premiums for the nine months ended September 30, 2018)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2017</w:t>
            </w: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2017</w:t>
            </w:r>
          </w:p>
        </w:tc>
        <w:tc>
          <w:tcPr>
            <w:tcW w:w="12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40" w:type="dxa"/>
            <w:vAlign w:val="bottom"/>
            <w:gridSpan w:val="5"/>
          </w:tcPr>
          <w:p>
            <w:pPr>
              <w:ind w:left="78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Individual risk workers’ compensation premium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13,848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39,243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32,162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22.0%</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Fronting and program premium</w:t>
            </w:r>
          </w:p>
        </w:tc>
        <w:tc>
          <w:tcPr>
            <w:tcW w:w="260" w:type="dxa"/>
            <w:vAlign w:val="bottom"/>
          </w:tcPr>
          <w:p>
            <w:pPr>
              <w:spacing w:after="0"/>
              <w:rPr>
                <w:sz w:val="21"/>
                <w:szCs w:val="21"/>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rPr>
              <w:t>84,759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74,249</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243,865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201,911</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gross written premium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98,607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84,838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16.2%</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283,108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234,073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Individual risk workers’ compensation premium growth was driven by exposure growth from higher payrolls of our insureds in a strong economy and increased submission flow.</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premium growth in our fronting business was driven by growth in the gross written premium from our largest agency relationship, which produced $156.9 million of gross written premium for the nine months ended September 30, 2018, up from $131.5 million for the nine months ended September 30, 2017.</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Gross written premiums for the Casualty Reinsurance segment (which represents 11.3% of our consolidated gross written premiums in the first nine months of 2018) decreased 78.7% and 55.9% from the corresponding three and nine month periods in the prior year. The reduction included a shift in the renewal date of $49.5 million in premium from the third to the fourth quarter of 2018. The balance of the reduction in gross written premium in this segment was in line with our expectations and is consistent with our planned reductions for the Casualty Reinsurance segment as we redeploy our capital to where we believe we can make the highest operating returns on tangible equity.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28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73.8%</w:t>
            </w:r>
          </w:p>
        </w:tc>
      </w:tr>
    </w:tbl>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net premium retention for the Specialty Admitted Insurance segment decreased from 2017 to 2018 as a result of growth in the segment's fronting business, which generally has much lower net premium retention than our workers’ compensation business. Fronting gross written premium grew 14.2% and 20.8% for the three and nine months ended September 30, 2018 compared to the corresponding period in the prior year. For the three and nine months ended September 30, 2018, the net retention on the segment’s fronting business was 9.2% and 9.9%, respectively (12.0% and 12.1% in the three and nine months ended September 30, 2017, respectively), while the net retention on the workers’ compensation business was 45.2% and 46.6%, respectively (90.4% and 90.3% in the three and nine months ended September 30, 2017, respectively). The significant decline in the net retention from the prior year on the workers' compensation business is due to the 50% third-party quota share reinsurance coverage purchased in this business effective October 1, 2017.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4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3"/>
          </w:tcPr>
          <w:p>
            <w:pPr>
              <w:jc w:val="center"/>
              <w:ind w:left="878"/>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87.3%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and Surplus Lines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Excess and Surplus Lines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28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c>
          <w:tcPr>
            <w:tcW w:w="12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3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3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00" w:type="dxa"/>
            <w:vAlign w:val="bottom"/>
            <w:gridSpan w:val="4"/>
          </w:tcPr>
          <w:p>
            <w:pPr>
              <w:ind w:left="86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157,237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89"/>
              </w:rPr>
              <w:t>140,425</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12.0%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490,121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387,424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135,141</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89"/>
              </w:rPr>
              <w:t>125,188</w:t>
            </w:r>
          </w:p>
        </w:tc>
        <w:tc>
          <w:tcPr>
            <w:tcW w:w="138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i w:val="1"/>
                <w:iCs w:val="1"/>
                <w:color w:val="auto"/>
              </w:rPr>
              <w:t>8.0%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432,307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346,356</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24.8%</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141,529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89"/>
              </w:rPr>
              <w:t>123,606</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14.5%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410,627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334,723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22.7%</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2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(111,292)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5"/>
              </w:rPr>
              <w:t>(95,855)</w:t>
            </w:r>
          </w:p>
        </w:tc>
        <w:tc>
          <w:tcPr>
            <w:tcW w:w="1380" w:type="dxa"/>
            <w:vAlign w:val="bottom"/>
          </w:tcPr>
          <w:p>
            <w:pPr>
              <w:jc w:val="right"/>
              <w:ind w:right="56"/>
              <w:spacing w:after="0"/>
              <w:rPr>
                <w:sz w:val="20"/>
                <w:szCs w:val="20"/>
                <w:color w:val="auto"/>
              </w:rPr>
            </w:pPr>
            <w:r>
              <w:rPr>
                <w:rFonts w:ascii="Arial" w:cs="Arial" w:eastAsia="Arial" w:hAnsi="Arial"/>
                <w:sz w:val="18"/>
                <w:szCs w:val="18"/>
                <w:i w:val="1"/>
                <w:iCs w:val="1"/>
                <w:color w:val="auto"/>
              </w:rPr>
              <w:t>16.1%</w:t>
            </w:r>
          </w:p>
        </w:tc>
        <w:tc>
          <w:tcPr>
            <w:tcW w:w="24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(321,518)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(248,944)</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29.2%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(18,935)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5"/>
              </w:rPr>
              <w:t>(17,805)</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6.3%</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(56,391)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(55,304)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57"/>
        </w:trPr>
        <w:tc>
          <w:tcPr>
            <w:tcW w:w="3720" w:type="dxa"/>
            <w:vAlign w:val="bottom"/>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11,302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9,946</w:t>
            </w:r>
          </w:p>
        </w:tc>
        <w:tc>
          <w:tcPr>
            <w:tcW w:w="1380" w:type="dxa"/>
            <w:vAlign w:val="bottom"/>
          </w:tcPr>
          <w:p>
            <w:pPr>
              <w:jc w:val="right"/>
              <w:ind w:right="56"/>
              <w:spacing w:after="0"/>
              <w:rPr>
                <w:sz w:val="20"/>
                <w:szCs w:val="20"/>
                <w:color w:val="auto"/>
              </w:rPr>
            </w:pPr>
            <w:r>
              <w:rPr>
                <w:rFonts w:ascii="Arial" w:cs="Arial" w:eastAsia="Arial" w:hAnsi="Arial"/>
                <w:sz w:val="18"/>
                <w:szCs w:val="18"/>
                <w:i w:val="1"/>
                <w:iCs w:val="1"/>
                <w:color w:val="auto"/>
              </w:rPr>
              <w:t>13.6%</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32,718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30,475</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7.4%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860" w:type="dxa"/>
            <w:vAlign w:val="bottom"/>
          </w:tcPr>
          <w:p>
            <w:pPr>
              <w:ind w:left="40"/>
              <w:spacing w:after="0"/>
              <w:rPr>
                <w:sz w:val="20"/>
                <w:szCs w:val="20"/>
                <w:color w:val="auto"/>
              </w:rPr>
            </w:pPr>
            <w:r>
              <w:rPr>
                <w:rFonts w:ascii="Arial" w:cs="Arial" w:eastAsia="Arial" w:hAnsi="Arial"/>
                <w:sz w:val="18"/>
                <w:szCs w:val="18"/>
                <w:color w:val="auto"/>
              </w:rPr>
              <w:t>Ratios:</w:t>
            </w:r>
          </w:p>
        </w:tc>
        <w:tc>
          <w:tcPr>
            <w:tcW w:w="2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70"/>
        </w:trPr>
        <w:tc>
          <w:tcPr>
            <w:tcW w:w="286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2440" w:type="dxa"/>
            <w:vAlign w:val="bottom"/>
          </w:tcPr>
          <w:p>
            <w:pPr>
              <w:jc w:val="right"/>
              <w:ind w:right="330"/>
              <w:spacing w:after="0"/>
              <w:rPr>
                <w:sz w:val="20"/>
                <w:szCs w:val="20"/>
                <w:color w:val="auto"/>
              </w:rPr>
            </w:pPr>
            <w:r>
              <w:rPr>
                <w:rFonts w:ascii="Arial" w:cs="Arial" w:eastAsia="Arial" w:hAnsi="Arial"/>
                <w:sz w:val="18"/>
                <w:szCs w:val="18"/>
                <w:color w:val="auto"/>
              </w:rPr>
              <w:t>78.6%</w:t>
            </w:r>
          </w:p>
        </w:tc>
        <w:tc>
          <w:tcPr>
            <w:tcW w:w="1960" w:type="dxa"/>
            <w:vAlign w:val="bottom"/>
          </w:tcPr>
          <w:p>
            <w:pPr>
              <w:jc w:val="right"/>
              <w:ind w:right="970"/>
              <w:spacing w:after="0"/>
              <w:rPr>
                <w:sz w:val="20"/>
                <w:szCs w:val="20"/>
                <w:color w:val="auto"/>
              </w:rPr>
            </w:pPr>
            <w:r>
              <w:rPr>
                <w:rFonts w:ascii="Arial" w:cs="Arial" w:eastAsia="Arial" w:hAnsi="Arial"/>
                <w:sz w:val="18"/>
                <w:szCs w:val="18"/>
                <w:color w:val="auto"/>
              </w:rPr>
              <w:t>77.5%</w:t>
            </w:r>
          </w:p>
        </w:tc>
        <w:tc>
          <w:tcPr>
            <w:tcW w:w="1960" w:type="dxa"/>
            <w:vAlign w:val="bottom"/>
          </w:tcPr>
          <w:p>
            <w:pPr>
              <w:jc w:val="right"/>
              <w:ind w:right="350"/>
              <w:spacing w:after="0"/>
              <w:rPr>
                <w:sz w:val="20"/>
                <w:szCs w:val="20"/>
                <w:color w:val="auto"/>
              </w:rPr>
            </w:pPr>
            <w:r>
              <w:rPr>
                <w:rFonts w:ascii="Arial" w:cs="Arial" w:eastAsia="Arial" w:hAnsi="Arial"/>
                <w:sz w:val="18"/>
                <w:szCs w:val="18"/>
                <w:color w:val="auto"/>
              </w:rPr>
              <w:t>78.3%</w:t>
            </w:r>
          </w:p>
        </w:tc>
        <w:tc>
          <w:tcPr>
            <w:tcW w:w="2200" w:type="dxa"/>
            <w:vAlign w:val="bottom"/>
          </w:tcPr>
          <w:p>
            <w:pPr>
              <w:jc w:val="right"/>
              <w:ind w:right="1230"/>
              <w:spacing w:after="0"/>
              <w:rPr>
                <w:sz w:val="20"/>
                <w:szCs w:val="20"/>
                <w:color w:val="auto"/>
              </w:rPr>
            </w:pPr>
            <w:r>
              <w:rPr>
                <w:rFonts w:ascii="Arial" w:cs="Arial" w:eastAsia="Arial" w:hAnsi="Arial"/>
                <w:sz w:val="18"/>
                <w:szCs w:val="18"/>
                <w:color w:val="auto"/>
              </w:rPr>
              <w:t>74.4%</w:t>
            </w:r>
          </w:p>
        </w:tc>
      </w:tr>
      <w:tr>
        <w:trPr>
          <w:trHeight w:val="27"/>
        </w:trPr>
        <w:tc>
          <w:tcPr>
            <w:tcW w:w="28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2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13.4%</w:t>
            </w:r>
          </w:p>
        </w:tc>
        <w:tc>
          <w:tcPr>
            <w:tcW w:w="196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rPr>
              <w:t>14.5%</w:t>
            </w:r>
          </w:p>
        </w:tc>
        <w:tc>
          <w:tcPr>
            <w:tcW w:w="1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13.7%</w:t>
            </w:r>
          </w:p>
        </w:tc>
        <w:tc>
          <w:tcPr>
            <w:tcW w:w="220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16.5%</w:t>
            </w: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2440" w:type="dxa"/>
            <w:vAlign w:val="bottom"/>
          </w:tcPr>
          <w:p>
            <w:pPr>
              <w:jc w:val="right"/>
              <w:ind w:right="330"/>
              <w:spacing w:after="0"/>
              <w:rPr>
                <w:sz w:val="20"/>
                <w:szCs w:val="20"/>
                <w:color w:val="auto"/>
              </w:rPr>
            </w:pPr>
            <w:r>
              <w:rPr>
                <w:rFonts w:ascii="Arial" w:cs="Arial" w:eastAsia="Arial" w:hAnsi="Arial"/>
                <w:sz w:val="18"/>
                <w:szCs w:val="18"/>
                <w:color w:val="auto"/>
              </w:rPr>
              <w:t>92.0%</w:t>
            </w:r>
          </w:p>
        </w:tc>
        <w:tc>
          <w:tcPr>
            <w:tcW w:w="1960" w:type="dxa"/>
            <w:vAlign w:val="bottom"/>
          </w:tcPr>
          <w:p>
            <w:pPr>
              <w:jc w:val="right"/>
              <w:ind w:right="970"/>
              <w:spacing w:after="0"/>
              <w:rPr>
                <w:sz w:val="20"/>
                <w:szCs w:val="20"/>
                <w:color w:val="auto"/>
              </w:rPr>
            </w:pPr>
            <w:r>
              <w:rPr>
                <w:rFonts w:ascii="Arial" w:cs="Arial" w:eastAsia="Arial" w:hAnsi="Arial"/>
                <w:sz w:val="18"/>
                <w:szCs w:val="18"/>
                <w:color w:val="auto"/>
              </w:rPr>
              <w:t>92.0%</w:t>
            </w:r>
          </w:p>
        </w:tc>
        <w:tc>
          <w:tcPr>
            <w:tcW w:w="1960" w:type="dxa"/>
            <w:vAlign w:val="bottom"/>
          </w:tcPr>
          <w:p>
            <w:pPr>
              <w:jc w:val="right"/>
              <w:ind w:right="350"/>
              <w:spacing w:after="0"/>
              <w:rPr>
                <w:sz w:val="20"/>
                <w:szCs w:val="20"/>
                <w:color w:val="auto"/>
              </w:rPr>
            </w:pPr>
            <w:r>
              <w:rPr>
                <w:rFonts w:ascii="Arial" w:cs="Arial" w:eastAsia="Arial" w:hAnsi="Arial"/>
                <w:sz w:val="18"/>
                <w:szCs w:val="18"/>
                <w:color w:val="auto"/>
              </w:rPr>
              <w:t>92.0%</w:t>
            </w:r>
          </w:p>
        </w:tc>
        <w:tc>
          <w:tcPr>
            <w:tcW w:w="2200" w:type="dxa"/>
            <w:vAlign w:val="bottom"/>
          </w:tcPr>
          <w:p>
            <w:pPr>
              <w:jc w:val="right"/>
              <w:ind w:right="1230"/>
              <w:spacing w:after="0"/>
              <w:rPr>
                <w:sz w:val="20"/>
                <w:szCs w:val="20"/>
                <w:color w:val="auto"/>
              </w:rPr>
            </w:pPr>
            <w:r>
              <w:rPr>
                <w:rFonts w:ascii="Arial" w:cs="Arial" w:eastAsia="Arial" w:hAnsi="Arial"/>
                <w:sz w:val="18"/>
                <w:szCs w:val="18"/>
                <w:color w:val="auto"/>
              </w:rPr>
              <w:t>90.9%</w:t>
            </w:r>
          </w:p>
        </w:tc>
      </w:tr>
    </w:tbl>
    <w:p>
      <w:pPr>
        <w:spacing w:after="0" w:line="121" w:lineRule="exact"/>
        <w:rPr>
          <w:sz w:val="20"/>
          <w:szCs w:val="20"/>
          <w:color w:val="auto"/>
        </w:rPr>
      </w:pPr>
    </w:p>
    <w:p>
      <w:pPr>
        <w:ind w:left="660" w:right="580" w:hanging="328"/>
        <w:spacing w:after="0" w:line="258"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right="880" w:hanging="328"/>
        <w:spacing w:after="0" w:line="261"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$3.0 million and $11.5 million for the three and nine months ended September 30, 2018, respectively ($3.9 million and $12.0 million for the same periods in the prior year).</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ratio of 78.6% and 78.3% for the three and nine months ended September 30, 2018 includes $10.4 million and $9.2 million (7.3 and 2.2 percentage points), respectively, of net adverse development in our loss estimates for prior accident years. The loss ratio of 77.5% and 74.4% for the three and nine months ended September 30, 2017, respectively, includes $5.1 million and $9.8 million (4.1 and 2.9 percentage points), respectively, in net favorable reserve development in our loss estimates for prior accident years.</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expense ratio for this segment declined from 14.5% and 16.5% for the three and nine months ended September 30, 2017, respectively to 13.4% and 13.7% for the three and nine months ended September 30, 2018, respectively. The decrease in the expense ratio is attributable to the increase in net earned premium of 14.5% and 22.7% for the three and nine months ended September 30, 2018, respectively, without a proportional increase in the total amount of underwriting expenses. Gross fee income contributed to a reduction in the expense ratio of 2.1 and 2.8 percentage points for the three and nine months ended September 30, 2018, respectively (3.2 and 3.6 percentage points for the same periods in the prior year).</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commercial auto business has a lower expense ratio and higher loss ratio than the other underwriting divisions in the segment. Commercial auto made up 55.6% and 56.5% of the segment’s net earned premiums for the three and nine months ended September 30, 2018, respectively (55.4% and 52.2% for the same periods in the prior year).</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items discussed above, the underwriting profit of the Excess and Surplus Lines segment increased 13.6% and 7.4%, respectively, from $9.9 million and $30.5 million for the three and nine months ended September 30, 2017 to $11.3 million and $32.7 million for the three and nine months ended September 30,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2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4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89"/>
              </w:rPr>
              <w:t>2017</w:t>
            </w:r>
          </w:p>
        </w:tc>
        <w:tc>
          <w:tcPr>
            <w:tcW w:w="14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2017</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20" w:type="dxa"/>
            <w:vAlign w:val="bottom"/>
            <w:gridSpan w:val="4"/>
          </w:tcPr>
          <w:p>
            <w:pPr>
              <w:ind w:left="900"/>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98,607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84,838</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i w:val="1"/>
                <w:iCs w:val="1"/>
                <w:color w:val="auto"/>
              </w:rPr>
              <w:t>16.2 %</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283,108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6"/>
              </w:rPr>
              <w:t>234,073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20.9 %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14,022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18,503</w:t>
            </w:r>
          </w:p>
        </w:tc>
        <w:tc>
          <w:tcPr>
            <w:tcW w:w="144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i w:val="1"/>
                <w:iCs w:val="1"/>
                <w:color w:val="auto"/>
              </w:rPr>
              <w:t>(24.2)%</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42,327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53,462</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13,898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19,324</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(28.1)%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41,504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53,337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(8,246)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2"/>
              </w:rPr>
              <w:t>(12,506)</w:t>
            </w:r>
          </w:p>
        </w:tc>
        <w:tc>
          <w:tcPr>
            <w:tcW w:w="1440" w:type="dxa"/>
            <w:vAlign w:val="bottom"/>
          </w:tcPr>
          <w:p>
            <w:pPr>
              <w:jc w:val="right"/>
              <w:ind w:right="56"/>
              <w:spacing w:after="0"/>
              <w:rPr>
                <w:sz w:val="20"/>
                <w:szCs w:val="20"/>
                <w:color w:val="auto"/>
              </w:rPr>
            </w:pPr>
            <w:r>
              <w:rPr>
                <w:rFonts w:ascii="Arial" w:cs="Arial" w:eastAsia="Arial" w:hAnsi="Arial"/>
                <w:sz w:val="18"/>
                <w:szCs w:val="18"/>
                <w:i w:val="1"/>
                <w:iCs w:val="1"/>
                <w:color w:val="auto"/>
              </w:rPr>
              <w:t>(34.1)%</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(25,283)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w w:val="92"/>
              </w:rPr>
              <w:t>(34,354)</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(26.4)%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(5,967)</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(34.9)%</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(11,841)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2"/>
              </w:rPr>
              <w:t>(16,737)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(29.3)%</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1,769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851</w:t>
            </w:r>
          </w:p>
        </w:tc>
        <w:tc>
          <w:tcPr>
            <w:tcW w:w="1440" w:type="dxa"/>
            <w:vAlign w:val="bottom"/>
            <w:tcBorders>
              <w:bottom w:val="single" w:sz="8" w:color="CCEEFF"/>
            </w:tcBorders>
          </w:tcPr>
          <w:p>
            <w:pPr>
              <w:jc w:val="right"/>
              <w:ind w:right="76"/>
              <w:spacing w:after="0"/>
              <w:rPr>
                <w:sz w:val="20"/>
                <w:szCs w:val="20"/>
                <w:color w:val="auto"/>
              </w:rPr>
            </w:pPr>
            <w:r>
              <w:rPr>
                <w:rFonts w:ascii="Arial" w:cs="Arial" w:eastAsia="Arial" w:hAnsi="Arial"/>
                <w:sz w:val="18"/>
                <w:szCs w:val="18"/>
                <w:i w:val="1"/>
                <w:iCs w:val="1"/>
                <w:color w:val="auto"/>
              </w:rPr>
              <w:t>107.9 %</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2,246</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95.0 %</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w:t>
            </w: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ratio</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Combined ratio</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95.6%</w:t>
            </w: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580" w:hanging="328"/>
        <w:spacing w:after="0" w:line="258"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1" w:lineRule="exact"/>
        <w:rPr>
          <w:rFonts w:ascii="Arial" w:cs="Arial" w:eastAsia="Arial" w:hAnsi="Arial"/>
          <w:sz w:val="18"/>
          <w:szCs w:val="18"/>
          <w:i w:val="1"/>
          <w:iCs w:val="1"/>
          <w:color w:val="auto"/>
        </w:rPr>
      </w:pPr>
    </w:p>
    <w:p>
      <w:pPr>
        <w:ind w:left="660" w:right="860" w:hanging="328"/>
        <w:spacing w:after="0" w:line="261"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$3.8 million and $10.9 million for the three and nine months ended September 30, 2018, respectively ($3.1 million and $7.8 million for the same periods in the prior year).</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loss ratio of 59.3% and 60.9% for the three and nine months ended September 30, 2018 includes $833,000 and $2.3 million (6.0 and 5.6 percentage points), respectively, of net favorable development in our loss estimates for prior accident years. The favorable reserve development in 2018 reflects the fact that actual loss emergence of the workers’ compensation book has been better than expected. The loss ratio of 64.7% and 64.4% for the three and nine months ended September 30, 2017 includes $3.0 million and $2.1 million (15.7 and 4.0 percentage points), respectively, of net favorable reserve development in our loss estimates for prior accident years.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expense ratio of the Specialty Admitted Insurance segment was 28.0% and 28.5% for the three and nine months ended September 30, 2018 compared to the prior year ratios of 30.9% and 31.4%, respectively. The expense ratio declined in 2018 for this segment due to gross fee income from the fronting business which increased 23.2% and 39.2% for the three and nine months ended September 30, 2018 compared to the same periods in the prior year and to ceding commissions received on the 50% third-party quota share reinsurance coverage purchased on individual risk workers' compensation business effective October 1, 2017.</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items discussed above, the underwriting profit of the Specialty Admitted Insurance segment increased 107.9% and 95.0% from $851,000 and $2.2 million for the three and nine months ended September 30, 2017, respectively, to $1.8 million and $4.4 million for the three and nine months ended September 30,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4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2017</w:t>
            </w:r>
          </w:p>
        </w:tc>
        <w:tc>
          <w:tcPr>
            <w:tcW w:w="14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20" w:type="dxa"/>
            <w:vAlign w:val="bottom"/>
            <w:gridSpan w:val="4"/>
          </w:tcPr>
          <w:p>
            <w:pPr>
              <w:ind w:left="900"/>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24,125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9"/>
              </w:rPr>
              <w:t>113,088</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(78.7)%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98,234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222,508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(55.9)%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24,278</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9"/>
              </w:rPr>
              <w:t>113,073</w:t>
            </w:r>
          </w:p>
        </w:tc>
        <w:tc>
          <w:tcPr>
            <w:tcW w:w="144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i w:val="1"/>
                <w:iCs w:val="1"/>
                <w:color w:val="auto"/>
              </w:rPr>
              <w:t>(78.5)%</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98,391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222,680</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(55.8)%</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49,263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59,186</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(16.8)%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161,711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152,820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5.8 %</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(30,849)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5"/>
              </w:rPr>
              <w:t>(42,084)</w:t>
            </w:r>
          </w:p>
        </w:tc>
        <w:tc>
          <w:tcPr>
            <w:tcW w:w="1440" w:type="dxa"/>
            <w:vAlign w:val="bottom"/>
          </w:tcPr>
          <w:p>
            <w:pPr>
              <w:jc w:val="right"/>
              <w:ind w:right="56"/>
              <w:spacing w:after="0"/>
              <w:rPr>
                <w:sz w:val="20"/>
                <w:szCs w:val="20"/>
                <w:color w:val="auto"/>
              </w:rPr>
            </w:pPr>
            <w:r>
              <w:rPr>
                <w:rFonts w:ascii="Arial" w:cs="Arial" w:eastAsia="Arial" w:hAnsi="Arial"/>
                <w:sz w:val="18"/>
                <w:szCs w:val="18"/>
                <w:i w:val="1"/>
                <w:iCs w:val="1"/>
                <w:color w:val="auto"/>
              </w:rPr>
              <w:t>(26.7)%</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(101,953)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(103,600)</w:t>
            </w: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(16,838)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(20,035)</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i w:val="1"/>
                <w:iCs w:val="1"/>
                <w:color w:val="auto"/>
              </w:rPr>
              <w:t>(16.0)%</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(54,709)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(53,083)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3.1 %</w:t>
            </w:r>
          </w:p>
        </w:tc>
        <w:tc>
          <w:tcPr>
            <w:tcW w:w="0" w:type="dxa"/>
            <w:vAlign w:val="bottom"/>
          </w:tcPr>
          <w:p>
            <w:pPr>
              <w:spacing w:after="0"/>
              <w:rPr>
                <w:sz w:val="1"/>
                <w:szCs w:val="1"/>
                <w:color w:val="auto"/>
              </w:rPr>
            </w:pPr>
          </w:p>
        </w:tc>
      </w:tr>
      <w:tr>
        <w:trPr>
          <w:trHeight w:val="264"/>
        </w:trPr>
        <w:tc>
          <w:tcPr>
            <w:tcW w:w="3700" w:type="dxa"/>
            <w:vAlign w:val="bottom"/>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(2,933)</w:t>
            </w:r>
          </w:p>
        </w:tc>
        <w:tc>
          <w:tcPr>
            <w:tcW w:w="1440" w:type="dxa"/>
            <w:vAlign w:val="bottom"/>
          </w:tcPr>
          <w:p>
            <w:pPr>
              <w:jc w:val="right"/>
              <w:ind w:right="276"/>
              <w:spacing w:after="0"/>
              <w:rPr>
                <w:sz w:val="20"/>
                <w:szCs w:val="20"/>
                <w:color w:val="auto"/>
              </w:rPr>
            </w:pPr>
            <w:r>
              <w:rPr>
                <w:rFonts w:ascii="Arial" w:cs="Arial" w:eastAsia="Arial" w:hAnsi="Arial"/>
                <w:sz w:val="18"/>
                <w:szCs w:val="18"/>
                <w:i w:val="1"/>
                <w:iCs w:val="1"/>
                <w:color w:val="auto"/>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(3,863)</w:t>
            </w:r>
          </w:p>
        </w:tc>
        <w:tc>
          <w:tcPr>
            <w:tcW w:w="1320" w:type="dxa"/>
            <w:vAlign w:val="bottom"/>
          </w:tcPr>
          <w:p>
            <w:pPr>
              <w:jc w:val="right"/>
              <w:ind w:right="15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2460" w:type="dxa"/>
            <w:vAlign w:val="bottom"/>
          </w:tcPr>
          <w:p>
            <w:pPr>
              <w:jc w:val="right"/>
              <w:ind w:right="290"/>
              <w:spacing w:after="0"/>
              <w:rPr>
                <w:sz w:val="20"/>
                <w:szCs w:val="20"/>
                <w:color w:val="auto"/>
              </w:rPr>
            </w:pPr>
            <w:r>
              <w:rPr>
                <w:rFonts w:ascii="Arial" w:cs="Arial" w:eastAsia="Arial" w:hAnsi="Arial"/>
                <w:sz w:val="18"/>
                <w:szCs w:val="18"/>
                <w:color w:val="auto"/>
              </w:rPr>
              <w:t>62.6%</w:t>
            </w:r>
          </w:p>
        </w:tc>
        <w:tc>
          <w:tcPr>
            <w:tcW w:w="2000" w:type="dxa"/>
            <w:vAlign w:val="bottom"/>
          </w:tcPr>
          <w:p>
            <w:pPr>
              <w:jc w:val="right"/>
              <w:ind w:right="990"/>
              <w:spacing w:after="0"/>
              <w:rPr>
                <w:sz w:val="20"/>
                <w:szCs w:val="20"/>
                <w:color w:val="auto"/>
              </w:rPr>
            </w:pPr>
            <w:r>
              <w:rPr>
                <w:rFonts w:ascii="Arial" w:cs="Arial" w:eastAsia="Arial" w:hAnsi="Arial"/>
                <w:sz w:val="18"/>
                <w:szCs w:val="18"/>
                <w:color w:val="auto"/>
              </w:rPr>
              <w:t>71.1%</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63.0%</w:t>
            </w:r>
          </w:p>
        </w:tc>
        <w:tc>
          <w:tcPr>
            <w:tcW w:w="2280" w:type="dxa"/>
            <w:vAlign w:val="bottom"/>
          </w:tcPr>
          <w:p>
            <w:pPr>
              <w:jc w:val="right"/>
              <w:ind w:right="1270"/>
              <w:spacing w:after="0"/>
              <w:rPr>
                <w:sz w:val="20"/>
                <w:szCs w:val="20"/>
                <w:color w:val="auto"/>
              </w:rPr>
            </w:pPr>
            <w:r>
              <w:rPr>
                <w:rFonts w:ascii="Arial" w:cs="Arial" w:eastAsia="Arial" w:hAnsi="Arial"/>
                <w:sz w:val="18"/>
                <w:szCs w:val="18"/>
                <w:color w:val="auto"/>
              </w:rPr>
              <w:t>67.8%</w:t>
            </w:r>
          </w:p>
        </w:tc>
      </w:tr>
      <w:tr>
        <w:trPr>
          <w:trHeight w:val="27"/>
        </w:trPr>
        <w:tc>
          <w:tcPr>
            <w:tcW w:w="27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2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34.2%</w:t>
            </w:r>
          </w:p>
        </w:tc>
        <w:tc>
          <w:tcPr>
            <w:tcW w:w="20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33.9%</w:t>
            </w:r>
          </w:p>
        </w:tc>
        <w:tc>
          <w:tcPr>
            <w:tcW w:w="1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33.9%</w:t>
            </w:r>
          </w:p>
        </w:tc>
        <w:tc>
          <w:tcPr>
            <w:tcW w:w="22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rPr>
              <w:t>34.7%</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2460" w:type="dxa"/>
            <w:vAlign w:val="bottom"/>
          </w:tcPr>
          <w:p>
            <w:pPr>
              <w:jc w:val="right"/>
              <w:ind w:right="290"/>
              <w:spacing w:after="0"/>
              <w:rPr>
                <w:sz w:val="20"/>
                <w:szCs w:val="20"/>
                <w:color w:val="auto"/>
              </w:rPr>
            </w:pPr>
            <w:r>
              <w:rPr>
                <w:rFonts w:ascii="Arial" w:cs="Arial" w:eastAsia="Arial" w:hAnsi="Arial"/>
                <w:sz w:val="18"/>
                <w:szCs w:val="18"/>
                <w:color w:val="auto"/>
              </w:rPr>
              <w:t>96.8%</w:t>
            </w:r>
          </w:p>
        </w:tc>
        <w:tc>
          <w:tcPr>
            <w:tcW w:w="2000" w:type="dxa"/>
            <w:vAlign w:val="bottom"/>
          </w:tcPr>
          <w:p>
            <w:pPr>
              <w:jc w:val="right"/>
              <w:ind w:right="990"/>
              <w:spacing w:after="0"/>
              <w:rPr>
                <w:sz w:val="20"/>
                <w:szCs w:val="20"/>
                <w:color w:val="auto"/>
              </w:rPr>
            </w:pPr>
            <w:r>
              <w:rPr>
                <w:rFonts w:ascii="Arial" w:cs="Arial" w:eastAsia="Arial" w:hAnsi="Arial"/>
                <w:sz w:val="18"/>
                <w:szCs w:val="18"/>
                <w:color w:val="auto"/>
              </w:rPr>
              <w:t>105.0%</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96.9%</w:t>
            </w:r>
          </w:p>
        </w:tc>
        <w:tc>
          <w:tcPr>
            <w:tcW w:w="2280" w:type="dxa"/>
            <w:vAlign w:val="bottom"/>
          </w:tcPr>
          <w:p>
            <w:pPr>
              <w:jc w:val="right"/>
              <w:ind w:right="1270"/>
              <w:spacing w:after="0"/>
              <w:rPr>
                <w:sz w:val="20"/>
                <w:szCs w:val="20"/>
                <w:color w:val="auto"/>
              </w:rPr>
            </w:pPr>
            <w:r>
              <w:rPr>
                <w:rFonts w:ascii="Arial" w:cs="Arial" w:eastAsia="Arial" w:hAnsi="Arial"/>
                <w:sz w:val="18"/>
                <w:szCs w:val="18"/>
                <w:color w:val="auto"/>
              </w:rPr>
              <w:t>102.5%</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8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loss ratio of 62.6% and 63.0% for the three and nine months ended September 30, 2018 includes $2.7 million and $4.9 million (5.4 and 3.0 percentage points), respectively, of net adverse development in our loss estimates for prior accident years. The adverse reserve development was primarily related to losses from risk profiles and treaty structures that we no longer underwrite. The loss ratio of 71.1% and 67.8% for the three and nine months ended September 30, 2017 includes $581,000 and $2.6 million (1.0 and 1.7 percentage points), respectively, in net adverse reserve development in our loss estimates for prior accident years, primarily related to the 2011 and 2013 workers' compensation business from one reinsured.</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expense ratio of the Casualty Reinsurance segment was 34.2% and 33.9% for the three and nine months ended September 30, 2018, respectively, compared to the prior year ratios of 33.9% and 34.7%, respectively. The expense ratio for the nine months ended September 30, 2017 was impacted by the correction of a contingent commission accrual and related commission expense, which increased underwriting expenses by $2.0 million in the nine months ended September 30, 2017.</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items discussed above, underwriting profit for the Casualty Reinsurance segment was $1.6 million and $5.0 million for the three and nine months ended September 30, 2018, respectively, compared to underwriting losses of $2.9 million and $3.9 million for the three and nine months ended September 30, 2017,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gross reserve for losses and loss adjustment expenses at September 30, 2018 was $1,569.8 million. Of this amount, 63.3% relates to amounts that are IBNR. This amount was 64.6% at December 31, 2017. The Company’s gross reserves for losses and loss adjustment expenses by segment are summarized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b w:val="1"/>
                <w:bCs w:val="1"/>
                <w:color w:val="auto"/>
                <w:w w:val="90"/>
              </w:rPr>
              <w:t>Gross Reserves at September 30, 2018</w:t>
            </w:r>
          </w:p>
        </w:tc>
        <w:tc>
          <w:tcPr>
            <w:tcW w:w="92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IBNR</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316,268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591,825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908,093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152,059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237,557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389,616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108,181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163,871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272,052</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576,508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993,253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1,569,761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2018, the amount of net reserves of $1,145.4 million that related to IBNR was 62.7%. This amount was 65.0% at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reserves for losses and loss adjustment expenses by segment are summarized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556"/>
              <w:spacing w:after="0"/>
              <w:rPr>
                <w:sz w:val="20"/>
                <w:szCs w:val="20"/>
                <w:color w:val="auto"/>
              </w:rPr>
            </w:pPr>
            <w:r>
              <w:rPr>
                <w:rFonts w:ascii="Arial" w:cs="Arial" w:eastAsia="Arial" w:hAnsi="Arial"/>
                <w:sz w:val="14"/>
                <w:szCs w:val="14"/>
                <w:b w:val="1"/>
                <w:bCs w:val="1"/>
                <w:color w:val="auto"/>
                <w:w w:val="90"/>
              </w:rPr>
              <w:t>Net Reserves at September 30, 2018</w:t>
            </w:r>
          </w:p>
        </w:tc>
        <w:tc>
          <w:tcPr>
            <w:tcW w:w="9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IBNR</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290,061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500,577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790,638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33,326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54,347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87,673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104,324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162,726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267,050</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427,711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717,650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1,145,361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to the underwriting, acquisition, and insurance expenses of the Excess and Surplus Lines segment, the Specialty Admitted Insurance segment, and the Casualty Reinsurance segment discussed previously, other operating expenses also includes the expenses of the Corporate and Other segment.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For both the three months ended September 30, 2018 and 2017, the total operating expenses of the Corporate and Other segment were $6.5 million. For the nine months ended September 30, 2018 and 2017, the total operating expenses of the Corporate and Other segment were $21.3 million and $19.1 million, respectively, representing a 11.5% increase over the prior year. The increases were driven by compensation costs, including stock compensation expenses, associated with increases in headcount and costs associated with the formation and operations of Carolina Re (a new Class 3A reinsurer that has made an irrevocable election to be taxed as a U.S. domestic corporation under Section 953(d) of the Code. See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for additional discussions regarding this newly formed 953(d) reinsurer).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investment income was $16.4 million and $45.8 million for the three and nine months ended September 30, 2018, respectively, compared to $14.9 million and $45.3 million for the same periods in the prior year. The change in our net investment income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2017</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90"/>
              </w:rPr>
              <w:t>($ in thousands)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Renewable energy LLCs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(76.0)%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 private investments</w:t>
            </w:r>
          </w:p>
        </w:tc>
        <w:tc>
          <w:tcPr>
            <w:tcW w:w="2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800</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75.3 %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2,106</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67.0 %</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(48.0)%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All other net investment income</w:t>
            </w:r>
          </w:p>
        </w:tc>
        <w:tc>
          <w:tcPr>
            <w:tcW w:w="2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14,679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12,564</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16.8 %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40,213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34,590</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16.3 %</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investment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16,410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14,880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10.3 %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45,801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45,327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Net investment income from renewable energy LLCs declined from $1.5 million and $8.6 million in three and nine months ended September 30, 2017, respectively, to $329,000 and $2.1 million in the three and nine months ended September 30, 2018, respectively. These investments are interests in certain limited liability companies that are managed by an entity for which two of our directors are officers. The Company's Non-Executive Chairman has invested in certain of these LLCs. Together, the carrying value of these investments was $31.9 million at September 30, 2018. Our interests in these companies are classified as “other invested assets” and the equity method is being used to account for the investments. Excluding private investments, our net investment income increased by 16.8% and 16.3% for the three and nine months ending September 30, 2018, respectively, over the same periods in the prior year. This increase in net investment income was due to a 15.3% and 13.7% increase in our average cash and invested assets for the three and nine months ended September 30, 2018 compared to the same periods in the prior year, as well as increases in average investment yields. The average duration of our fixed maturity portfolio was 3.6 years at September 30, 2018.</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8,673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7,677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24,513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20,867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13,265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12,706</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5,588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10,737</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short-term investments,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Trading (losses) gains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48,357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Investment expense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(3,030)</w:t>
            </w: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16,410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14,880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45,801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45,327</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54"/>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investment returns: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3"/>
          </w:tcPr>
          <w:p>
            <w:pPr>
              <w:jc w:val="center"/>
              <w:ind w:left="881"/>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Annualized gross investment yield on:</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Average cash and invested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fixed maturity securities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49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Of our total cash and invested assets of $1,803.7 million at September 30, 2018, $184.4 million represents the cash and cash equivalents portion of the portfolio. The majority of the portfolio, or $1,154.5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$262.8 million of bank loan participations, $84.8 million of equity securities, $40.2 million of short-term investments, and $77.0 million of other invested assets.</w:t>
      </w:r>
    </w:p>
    <w:p>
      <w:pPr>
        <w:spacing w:after="0" w:line="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$262.8 million of bank loan participations in our investment portfolio are classified as held-for-investment and reported at amortized cost, net of any allowance for credit losses. Changes in this credit allowance are included in realized gains or losses. At September 30, 2018, there was no allowance for credit losses, as none of the loans in the Company's portfolio were considered impaired. These bank loan participations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September 30, 2018 and December 31, 2017, the fair market value of these securities was $262.4 million and $236.5 million, respectively.</w:t>
      </w:r>
    </w:p>
    <w:p>
      <w:pPr>
        <w:spacing w:after="0" w:line="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nine months ended September 30, 2018, the Company recognized net realized and unrealized investment losses of $407,000 ($467,000 of net realized and unrealized investment gains for the three months ended September 30, 2018), including $695,000 of losses for the change in the fair value of equity securities, $306,000 of net realized investment losses on the sale of fixed maturity securities, $1.5 million of net realized investment gains on the sale of bank loan securities (including an $807,000 realized gain on the repayment of the loan to the producer and supplier of power in Puerto Rico described below), and $851,000 of net realized investment losses from an increase in our bank loan credit allowance.</w:t>
      </w:r>
    </w:p>
    <w:p>
      <w:pPr>
        <w:spacing w:after="0" w:line="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nine months ended September 30, 2017, the Company recognized net realized investment gains of $1.2 million ($171,000 net realized investment losses for the three months ended September 30, 2017), including $1.0 million of net realized investment gains recognized on the sale of bank loan securities, $403,000 of net realized investment gains on the sale of fixed maturity securities, $364,000 of net realized investment gains on the sale of equity securities, and $594,000 of net realized investment losses from an increase in our bank loan credit allowance.</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conjunction with its outside investment managers, the Company performs quarterly reviews of all securities within its investment portfolio to determine whether any impairment has occurred.</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Management concluded that none of the loans in the Company's bank loan portfolio were impaired as of September 30, 2018. At December 31, 2017, the aggregate allowance for credit losses was $3.2 million on impaired loans from five issuers with a total carrying value of $5.1 million and unpaid principal of $8.4 million.</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At December 31, 2017, the Company held a participation in a loan with unpaid principal of $807,000 issued by a company that produces and supplies power to Puerto Rico through a power purchase agreement with Puerto Rico Electric Power Authority (“PREPA”), a public corporation and governmental agency of the Commonwealth of Puerto Rico. PREPA’s credit strength and ability to make timely payments had been impacted by the economic conditions in Puerto Rico. The loan was scheduled to mature in November 2017, but the issuer deferred payment until March 2018. Based on this deferral request and the uncertainty regarding repayment, management had concluded that an allowance for credit losses should be established on the loan to reduce its carrying value to $0 at December 31, 2017. In the first quarter of 2018, the remaining principal balance on the loan was repaid, and the Company recognized an $807,000 realized investment gain associated with the repayment.</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2018, 99.7% of the Company’s fixed maturity security portfolio was rated “BBB-” or better (“investment grade”) by Standard &amp; Poor’s or received an equivalent rating from another nationally recognized rating agency.</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Management concluded that none of the fixed maturity securities with an unrealized loss at September 30, 2018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September 30, 2018</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December 31, 2017</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Cost or</w:t>
            </w:r>
          </w:p>
        </w:tc>
        <w:tc>
          <w:tcPr>
            <w:tcW w:w="280" w:type="dxa"/>
            <w:vAlign w:val="bottom"/>
          </w:tcPr>
          <w:p>
            <w:pPr>
              <w:spacing w:after="0"/>
              <w:rPr>
                <w:sz w:val="13"/>
                <w:szCs w:val="13"/>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Cost or</w:t>
            </w:r>
          </w:p>
        </w:tc>
        <w:tc>
          <w:tcPr>
            <w:tcW w:w="280" w:type="dxa"/>
            <w:vAlign w:val="bottom"/>
          </w:tcPr>
          <w:p>
            <w:pPr>
              <w:spacing w:after="0"/>
              <w:rPr>
                <w:sz w:val="13"/>
                <w:szCs w:val="13"/>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ind w:left="90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146,597</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146,287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139,382</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144,366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14.2%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206,588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158,661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15.6%</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517,313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506,715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408,857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413,721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40.7%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Commercial mortgage and asset-backed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186,084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182,611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18.0%</w:t>
            </w:r>
          </w:p>
        </w:tc>
        <w:tc>
          <w:tcPr>
            <w:tcW w:w="0" w:type="dxa"/>
            <w:vAlign w:val="bottom"/>
          </w:tcPr>
          <w:p>
            <w:pPr>
              <w:spacing w:after="0"/>
              <w:rPr>
                <w:sz w:val="1"/>
                <w:szCs w:val="1"/>
                <w:color w:val="auto"/>
              </w:rPr>
            </w:pPr>
          </w:p>
        </w:tc>
      </w:tr>
      <w:tr>
        <w:trPr>
          <w:trHeight w:val="229"/>
        </w:trPr>
        <w:tc>
          <w:tcPr>
            <w:tcW w:w="3240" w:type="dxa"/>
            <w:vAlign w:val="bottom"/>
          </w:tcPr>
          <w:p>
            <w:pPr>
              <w:ind w:left="180"/>
              <w:spacing w:after="0"/>
              <w:rPr>
                <w:sz w:val="20"/>
                <w:szCs w:val="20"/>
                <w:color w:val="auto"/>
              </w:rPr>
            </w:pPr>
            <w:r>
              <w:rPr>
                <w:rFonts w:ascii="Arial" w:cs="Arial" w:eastAsia="Arial" w:hAnsi="Arial"/>
                <w:sz w:val="18"/>
                <w:szCs w:val="18"/>
                <w:color w:val="auto"/>
              </w:rPr>
              <w:t>Obligations of U.S. government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corporations and agencies</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35,948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35,847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U.S. Treasury securities and obligations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guaranteed by the U.S. government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108,629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106,875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79,476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78,874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7.8%</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Total fixed maturity securities, available-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1,177,675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1,154,488</w:t>
            </w:r>
          </w:p>
        </w:tc>
        <w:tc>
          <w:tcPr>
            <w:tcW w:w="1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1,008,662</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1,016,098</w:t>
            </w:r>
          </w:p>
        </w:tc>
        <w:tc>
          <w:tcPr>
            <w:tcW w:w="1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sets forth the composition of the Company’s portfolio of available-for-sale fixed maturity securities by rating as of </w:t>
      </w:r>
      <w:r>
        <w:rPr>
          <w:rFonts w:ascii="Arial" w:cs="Arial" w:eastAsia="Arial" w:hAnsi="Arial"/>
          <w:sz w:val="17"/>
          <w:szCs w:val="17"/>
          <w:color w:val="231F20"/>
        </w:rPr>
        <w:t>September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2018</w:t>
      </w:r>
      <w:r>
        <w:rPr>
          <w:rFonts w:ascii="Arial" w:cs="Arial" w:eastAsia="Arial" w:hAnsi="Arial"/>
          <w:sz w:val="18"/>
          <w:szCs w:val="18"/>
          <w:color w:val="000000"/>
        </w:rPr>
        <w: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3"/>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186,069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453,953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400,988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109,498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8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BB and unrated</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3,980</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8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1,154,488</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At September 30, 2018, our portfolio of fixed maturity securities contained corporate fixed maturity securities (available-for-sale) with a fair value of $506.7 million. A summary of these securities by industry segment is shown below as of </w:t>
      </w:r>
      <w:r>
        <w:rPr>
          <w:rFonts w:ascii="Arial" w:cs="Arial" w:eastAsia="Arial" w:hAnsi="Arial"/>
          <w:sz w:val="18"/>
          <w:szCs w:val="18"/>
          <w:color w:val="231F20"/>
        </w:rPr>
        <w:t>September 30, 2018</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w:t>
            </w:r>
          </w:p>
        </w:tc>
        <w:tc>
          <w:tcPr>
            <w:tcW w:w="5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2"/>
              <w:spacing w:after="0"/>
              <w:rPr>
                <w:sz w:val="20"/>
                <w:szCs w:val="20"/>
                <w:color w:val="auto"/>
              </w:rPr>
            </w:pPr>
            <w:r>
              <w:rPr>
                <w:rFonts w:ascii="Arial" w:cs="Arial" w:eastAsia="Arial" w:hAnsi="Arial"/>
                <w:sz w:val="14"/>
                <w:szCs w:val="14"/>
                <w:b w:val="1"/>
                <w:bCs w:val="1"/>
                <w:i w:val="1"/>
                <w:iCs w:val="1"/>
                <w:color w:val="auto"/>
              </w:rPr>
              <w:t>($ in thousands)</w:t>
            </w:r>
          </w:p>
        </w:tc>
        <w:tc>
          <w:tcPr>
            <w:tcW w:w="0" w:type="dxa"/>
            <w:vAlign w:val="bottom"/>
          </w:tcPr>
          <w:p>
            <w:pPr>
              <w:spacing w:after="0"/>
              <w:rPr>
                <w:sz w:val="1"/>
                <w:szCs w:val="1"/>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 and Other</w:t>
            </w:r>
          </w:p>
        </w:tc>
        <w:tc>
          <w:tcPr>
            <w:tcW w:w="5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125,499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Financial</w:t>
            </w:r>
          </w:p>
        </w:tc>
        <w:tc>
          <w:tcPr>
            <w:tcW w:w="5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102,849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Discretionary</w:t>
            </w:r>
          </w:p>
        </w:tc>
        <w:tc>
          <w:tcPr>
            <w:tcW w:w="5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71,619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Health Care</w:t>
            </w:r>
          </w:p>
        </w:tc>
        <w:tc>
          <w:tcPr>
            <w:tcW w:w="5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82,224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Staples</w:t>
            </w:r>
          </w:p>
        </w:tc>
        <w:tc>
          <w:tcPr>
            <w:tcW w:w="5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62,991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Utilities</w:t>
            </w:r>
          </w:p>
        </w:tc>
        <w:tc>
          <w:tcPr>
            <w:tcW w:w="5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61,533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506,715</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jc w:val="right"/>
              <w:ind w:right="2850"/>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2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Corporate fixed maturity securities (both available-for-sale and trading) include publicly traded securities and privately placed bonds as shown below as of </w:t>
      </w:r>
      <w:r>
        <w:rPr>
          <w:rFonts w:ascii="Arial" w:cs="Arial" w:eastAsia="Arial" w:hAnsi="Arial"/>
          <w:sz w:val="18"/>
          <w:szCs w:val="18"/>
          <w:color w:val="231F20"/>
        </w:rPr>
        <w:t>September 30, 2018</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Public/Private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3"/>
          </w:tcPr>
          <w:p>
            <w:pPr>
              <w:jc w:val="right"/>
              <w:ind w:right="75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Publicly traded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463,477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Privately placed</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43,238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8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506,715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September 30, 2018</w:t>
            </w:r>
          </w:p>
        </w:tc>
        <w:tc>
          <w:tcPr>
            <w:tcW w:w="1320" w:type="dxa"/>
            <w:vAlign w:val="bottom"/>
            <w:tcBorders>
              <w:bottom w:val="single" w:sz="8" w:color="auto"/>
            </w:tcBorders>
          </w:tcPr>
          <w:p>
            <w:pPr>
              <w:spacing w:after="0"/>
              <w:rPr>
                <w:sz w:val="16"/>
                <w:szCs w:val="16"/>
                <w:color w:val="auto"/>
              </w:rPr>
            </w:pPr>
          </w:p>
        </w:tc>
      </w:tr>
      <w:tr>
        <w:trPr>
          <w:trHeight w:val="152"/>
        </w:trPr>
        <w:tc>
          <w:tcPr>
            <w:tcW w:w="7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3"/>
                <w:szCs w:val="13"/>
                <w:color w:val="auto"/>
              </w:rPr>
            </w:pPr>
          </w:p>
        </w:tc>
        <w:tc>
          <w:tcPr>
            <w:tcW w:w="10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Fair</w:t>
            </w:r>
          </w:p>
        </w:tc>
        <w:tc>
          <w:tcPr>
            <w:tcW w:w="132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 Value</w:t>
            </w:r>
          </w:p>
        </w:tc>
      </w:tr>
      <w:tr>
        <w:trPr>
          <w:trHeight w:val="196"/>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38,130</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37,994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3.3%</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402,788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397,242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34.4%</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210,301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203,281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17.6%</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121,320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121,360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10.5%</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213,908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206,588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17.9%</w:t>
            </w:r>
          </w:p>
        </w:tc>
      </w:tr>
      <w:tr>
        <w:trPr>
          <w:trHeight w:val="27"/>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189,203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186,084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16.1%</w:t>
            </w:r>
          </w:p>
        </w:tc>
      </w:tr>
      <w:tr>
        <w:trPr>
          <w:trHeight w:val="243"/>
        </w:trPr>
        <w:tc>
          <w:tcPr>
            <w:tcW w:w="736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0.2%</w:t>
            </w:r>
          </w:p>
        </w:tc>
      </w:tr>
      <w:tr>
        <w:trPr>
          <w:trHeight w:val="27"/>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1,177,675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1,154,488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100.0%</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40" w:firstLine="351"/>
        <w:spacing w:after="0" w:line="375" w:lineRule="auto"/>
        <w:rPr>
          <w:sz w:val="20"/>
          <w:szCs w:val="20"/>
          <w:color w:val="auto"/>
        </w:rPr>
      </w:pPr>
      <w:r>
        <w:rPr>
          <w:rFonts w:ascii="Arial" w:cs="Arial" w:eastAsia="Arial" w:hAnsi="Arial"/>
          <w:sz w:val="18"/>
          <w:szCs w:val="18"/>
          <w:color w:val="auto"/>
        </w:rPr>
        <w:t xml:space="preserve">At September 30, 2018, the Company had no investments in securitizations of alternative-A mortgages or sub-prime mortgages. </w:t>
      </w:r>
      <w:r>
        <w:rPr>
          <w:rFonts w:ascii="Arial" w:cs="Arial" w:eastAsia="Arial" w:hAnsi="Arial"/>
          <w:sz w:val="18"/>
          <w:szCs w:val="18"/>
          <w:b w:val="1"/>
          <w:bCs w:val="1"/>
          <w:i w:val="1"/>
          <w:iCs w:val="1"/>
          <w:color w:val="auto"/>
        </w:rPr>
        <w:t>Interest Expense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was $3.0 million and $2.3 million for the three months ended September 30, 2018 and 2017, respectively ($8.5 million and $6.7 million for the respective nine month periods). The increase in interest expense over the prior year reflects higher LIBOR rates and a $10.0 million increase in Senior Debt outstanding. See “—Liquidity and Capital Resources—Sources and Uses of Funds” for more information regarding our senior bank debt facility and trust preferred securities.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$149,000 and $447,000 of amortization of intangible assets for each of the three and nine months ended September 30, 2018 and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effective tax rate fluctuates from period to period based on the relative mix of income reported by country and the respective tax rates imposed by each tax jurisdiction. For the three months ended September 30, 2018 and 2017, our U.S. federal income tax expense was 11.5% and 23.8% of income before taxes, respectively (9.6% and 11.8% for the nine months ended September 30, 2018 and 2017, respectively). For U.S.-sourced income, the Company’s U.S. federal income tax expense differs from the amounts computed by applying the federal statutory income tax rate to income before taxes due primarily to interest income on tax-advantaged state and municipal securities (state and municipal securities represent 11.8% and 12.2% of our available-for-sale securities at September 30, 2018 and 2017, respectively), dividends received income, and excess tax benefits on share based compensation. Income tax expense for the three and nine months ended September 30, 2018 reflects both the reduction in the enacted U.S. Federal tax rate from 35% in 2017 to 21% in 2018 as a result of Public Law No. 115-97, informally titled the Tax Cuts and Jobs Act (the “Tax Act”), and the changes in our organizational structure in response to the Tax Act.</w:t>
      </w:r>
    </w:p>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response to the Tax Act, we made changes to our structure in 2018 to minimize the impact of the base erosion and anti-abuse tax (“BEAT”) that included the formation of Carolina Re, a Bermuda-domiciled, wholly-owned subsidiary of James River Group, Inc. Carolina Re is a Class 3A reinsurer and made an irrevocable election to be taxed as a U.S. domestic corporation under Section 953(d) of the Code. Effective January 1, 2018, we generally discontinued ceding 70% of our U.S.-written premiums to JRG Re and instead ceded 70% of our U.S.-written premiums to Carolina Re. Carolina Re also entered into a stop loss reinsurance agreement with JRG Re. While Carolina Re is subject to U.S. corporate income tax, we will not be subject to BEAT in 2018 if we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have sufficient regular U.S. income tax liability compared to the BEAT liability. The applicability of BEAT depends on a number of factors, and it is uncertain whether we will be subject to BEAT in future periods.</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Financial results reflect provisional amounts related to the December 2017 enactment of the Tax Act. These provisional estimates are based on the Company’s initial analysis and current interpretation of the legislation. Given the complexity of the legislation, anticipated guidance from the U.S. Treasury, and the potential for additional guidance from the SEC or the Financial Accounting Standards Board, these estimates may be adjusted during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the reduction of statutory surplus to inadequate levels and could refuse to permit the payment of dividends calculated under any applicable formula. The maximum amount of dividends and return of capital available to us from JRG Re in 2018 is calculated to be approximately $102.3 million. However, any dividend payment is contingent upon continued compliance with Bermuda regulatory requirements, including but not limited to the enhanced solvency requirement calculations. The maximum amount of dividends available to the U.S. holding company from our U.S. insurance subsidiaries during 2018 without regulatory approval is $37.0 million. On April 30, 2018, a $15.0 million dividend was paid to the U.S. holding company by James River Insurance Company.</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September 30, 2018, the Bermuda holding company had $1.0 million of cash and cash equivalents. The U.S. holding company had $52.6 million of cash and invested assets, comprised of cash and cash equivalents of $2.6 million, short-term investments of $1.3 million, and other invested assets of $48.6 million, which are not subject to regulatory restrictions. Additionally, our U.K. intermediate holding company had no invested assets and cash of less than ten thousand dollars at September 30, 2018.</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net written premium to surplus ratio (defined as the ratio of net written premiums to regulatory capital and surplus) is reviewed by management as well as our rating agency as a component of leverage and efficiency of deployed capital. For the nine months ended September 30, 2018 and 2017, our annualized net written premium to surplus ratio was 1.1 to 1.0 and 1.2 to 1.0, respectively.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$215.0 million senior revolving credit facility (as amended or amended and restated, the “2013 Facility”). The 2013 Facility is comprised of the following at September 30, 2018:</w:t>
      </w:r>
    </w:p>
    <w:p>
      <w:pPr>
        <w:spacing w:after="0" w:line="62" w:lineRule="exact"/>
        <w:rPr>
          <w:sz w:val="20"/>
          <w:szCs w:val="20"/>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September 30, 2018, the Company had $100.8 million of letters of credit issued under the secured facility.</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$112.5 million unsecured revolving facility to meet the working capital needs of the Company. All unpaid principal on the revolver is due at maturity. Interest accrues quarterly and is payable in arrears at 3-month LIBOR plus a margin which is currently 1.5% and is subject to change according to terms in the credit agreement. At September 30, 2018, the Company had a drawn balance of $73.3 million outstanding on the unsecured revolver.</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2013 Facility has been amended from time to time since its inception in 2013. On December 7, 2016, the Company entered into an Amended and Restated Credit Agreement for the 2013 Facility which, among other things, extended the maturity date of the 2013 Facility until December 7, 2021 and modified other terms including reducing the rate of interest and reducing the number of financial covenants. On June 8, 2017, the Company entered into a First Amendment to the 2013 Facility, which among other things, modified the financial covenants and increased the amount of additional debt the Company may incur under new financings, subject to compliance with certain conditions.</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2013 Facility contains certain financial and other covenants (including risk-based capital, minimum shareholders’ equity levels, maximum ratios of total debt outstanding to total capitalization and minimum fixed charge coverage ratios) with which the Company is in compliance at September 30, 2018.</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 2017, the Company, and its wholly-owned subsidiary, JRG Re, together as borrowers, entered into a credit agreement (the "2017 Facility") that provides the Company with a revolving line of credit of up to $100 million, which may be used for loans and letters of credit made or issued, at the borrowers' option, on a secured or unsecured basis. Obligations under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2017 Facility will carry a variable rate of interest subject to terms in the credit agreement and will mature 30 days after notice of termination from the lender. The 2017 Facility contains certain financial and other covenants with which we are in compliance at September 30, 2018. The loans and letters of credit made or issued under the revolving line of credit of the 2017 Facility may be used to finance the borrowers' general corporate purposes. At September 30, 2018, unsecured loans of $10.0 million and secured letters of credit totaling $6.9 million were outstanding on the 2017 Facility.</w:t>
      </w:r>
    </w:p>
    <w:p>
      <w:pPr>
        <w:spacing w:after="0" w:line="6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2004, we issued $15.0 million of senior debt due April 29, 2034, with net proceeds to us of $14.5 million.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September 30, 2018, and which, among other things, restrict our ability to assume senior indebtedness secured by our U.S. holding company’s common stock or its subsidiaries’ capital stock or to issue shares of its subsidiaries’ capital stock.</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September 30, 2018 (including the Company’s repurchases of a portion of these trust preferred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James River</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(Bermuda)</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Capital Trust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III</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IV</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 date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26,</w:t>
            </w:r>
          </w:p>
        </w:tc>
        <w:tc>
          <w:tcPr>
            <w:tcW w:w="166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64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10,</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15, 2004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11, 2007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8"/>
              </w:rPr>
              <w:t>Principal amount of trust preferred securities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$7,000</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$15,000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$54,000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$30,000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Principal amount of junior subordinated debt</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$7,217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$15,464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$20,619</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$55,670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$30,928</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9"/>
              </w:rPr>
              <w:t>Carrying amount of junior subordinated debt</w:t>
            </w: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net of repurchases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$7,217</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$15,464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$20,619</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$44,827</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$15,928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date of junior subordinated debt,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24,</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15,</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unless accelerated earlier</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Trust common stock</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$217</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$464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$619</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$1,670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$928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per annum</w:t>
            </w:r>
          </w:p>
        </w:tc>
        <w:tc>
          <w:tcPr>
            <w:tcW w:w="15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plus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junior subordinated debt contains certain covenants with which we are in compliance as of September 30, 2018.</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September 30, 2018 and December 31, 2017, the ratio of total debt outstanding, including both senior debt and junior subordinated debt, to total capitalization (defined as total debt plus total stockholders’ equity) was 22.5% and 22.6%, respectively. Having debt as part of our capital structure allows us to generate a higher return on equity and greater book value per share results than we could by using equity capital alone.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September 30, 2018 and 2017, our net premium retention was 62.0% and 75.9%, respectively (65.8% and 73.8% for the nine month periods, respectively).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Excess and Surplus Lines segment’s ceded reinsurance in place as of September 30,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72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Company Retention</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spacing w:after="0"/>
              <w:rPr>
                <w:sz w:val="21"/>
                <w:szCs w:val="21"/>
                <w:color w:val="auto"/>
              </w:rPr>
            </w:pPr>
          </w:p>
        </w:tc>
      </w:tr>
      <w:tr>
        <w:trPr>
          <w:trHeight w:val="256"/>
        </w:trPr>
        <w:tc>
          <w:tcPr>
            <w:tcW w:w="2320" w:type="dxa"/>
            <w:vAlign w:val="bottom"/>
          </w:tcPr>
          <w:p>
            <w:pPr>
              <w:ind w:left="280"/>
              <w:spacing w:after="0"/>
              <w:rPr>
                <w:sz w:val="20"/>
                <w:szCs w:val="20"/>
                <w:color w:val="auto"/>
              </w:rPr>
            </w:pPr>
            <w:r>
              <w:rPr>
                <w:rFonts w:ascii="Arial" w:cs="Arial" w:eastAsia="Arial" w:hAnsi="Arial"/>
                <w:sz w:val="18"/>
                <w:szCs w:val="18"/>
                <w:color w:val="auto"/>
                <w:w w:val="91"/>
              </w:rPr>
              <w:t>Primary Specialty Casualty,</w:t>
            </w:r>
          </w:p>
        </w:tc>
        <w:tc>
          <w:tcPr>
            <w:tcW w:w="9100" w:type="dxa"/>
            <w:vAlign w:val="bottom"/>
            <w:gridSpan w:val="3"/>
          </w:tcPr>
          <w:p>
            <w:pPr>
              <w:ind w:left="60"/>
              <w:spacing w:after="0"/>
              <w:rPr>
                <w:sz w:val="20"/>
                <w:szCs w:val="20"/>
                <w:color w:val="auto"/>
              </w:rPr>
            </w:pPr>
            <w:r>
              <w:rPr>
                <w:rFonts w:ascii="Arial" w:cs="Arial" w:eastAsia="Arial" w:hAnsi="Arial"/>
                <w:sz w:val="18"/>
                <w:szCs w:val="18"/>
                <w:color w:val="auto"/>
              </w:rPr>
              <w:t>including Professional</w:t>
            </w:r>
          </w:p>
        </w:tc>
      </w:tr>
      <w:tr>
        <w:trPr>
          <w:trHeight w:val="230"/>
        </w:trPr>
        <w:tc>
          <w:tcPr>
            <w:tcW w:w="2320" w:type="dxa"/>
            <w:vAlign w:val="bottom"/>
          </w:tcPr>
          <w:p>
            <w:pPr>
              <w:ind w:left="440"/>
              <w:spacing w:after="0"/>
              <w:rPr>
                <w:sz w:val="20"/>
                <w:szCs w:val="20"/>
                <w:color w:val="auto"/>
              </w:rPr>
            </w:pPr>
            <w:r>
              <w:rPr>
                <w:rFonts w:ascii="Arial" w:cs="Arial" w:eastAsia="Arial" w:hAnsi="Arial"/>
                <w:sz w:val="18"/>
                <w:szCs w:val="18"/>
                <w:color w:val="auto"/>
              </w:rPr>
              <w:t>Liability</w:t>
            </w:r>
          </w:p>
        </w:tc>
        <w:tc>
          <w:tcPr>
            <w:tcW w:w="1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Up to $1.0 million per occurrence, subject to a $1.0 million aggregate deductible.</w:t>
            </w:r>
          </w:p>
        </w:tc>
      </w:tr>
      <w:tr>
        <w:trPr>
          <w:trHeight w:val="27"/>
        </w:trPr>
        <w:tc>
          <w:tcPr>
            <w:tcW w:w="2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Primary Casualty</w:t>
            </w:r>
          </w:p>
        </w:tc>
        <w:tc>
          <w:tcPr>
            <w:tcW w:w="1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Up to $2.0 million per occurrence. </w:t>
            </w:r>
            <w:r>
              <w:rPr>
                <w:rFonts w:ascii="Arial" w:cs="Arial" w:eastAsia="Arial" w:hAnsi="Arial"/>
                <w:sz w:val="18"/>
                <w:szCs w:val="18"/>
                <w:i w:val="1"/>
                <w:iCs w:val="1"/>
                <w:color w:val="auto"/>
              </w:rPr>
              <w:t>(1)</w:t>
            </w:r>
          </w:p>
        </w:tc>
      </w:tr>
      <w:tr>
        <w:trPr>
          <w:trHeight w:val="243"/>
        </w:trPr>
        <w:tc>
          <w:tcPr>
            <w:tcW w:w="2320" w:type="dxa"/>
            <w:vAlign w:val="bottom"/>
          </w:tcPr>
          <w:p>
            <w:pPr>
              <w:ind w:left="280"/>
              <w:spacing w:after="0"/>
              <w:rPr>
                <w:sz w:val="20"/>
                <w:szCs w:val="20"/>
                <w:color w:val="auto"/>
              </w:rPr>
            </w:pPr>
            <w:r>
              <w:rPr>
                <w:rFonts w:ascii="Arial" w:cs="Arial" w:eastAsia="Arial" w:hAnsi="Arial"/>
                <w:sz w:val="18"/>
                <w:szCs w:val="18"/>
                <w:color w:val="auto"/>
              </w:rPr>
              <w:t>Excess Casualty</w:t>
            </w: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 xml:space="preserve">Up to $1.0 million per occurrence. </w:t>
            </w:r>
            <w:r>
              <w:rPr>
                <w:rFonts w:ascii="Arial" w:cs="Arial" w:eastAsia="Arial" w:hAnsi="Arial"/>
                <w:sz w:val="18"/>
                <w:szCs w:val="18"/>
                <w:i w:val="1"/>
                <w:iCs w:val="1"/>
                <w:color w:val="auto"/>
              </w:rPr>
              <w:t>(2)</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Property</w:t>
            </w: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 xml:space="preserve">Up to $5.0 million per event. </w:t>
            </w:r>
            <w:r>
              <w:rPr>
                <w:rFonts w:ascii="Arial" w:cs="Arial" w:eastAsia="Arial" w:hAnsi="Arial"/>
                <w:sz w:val="18"/>
                <w:szCs w:val="18"/>
                <w:i w:val="1"/>
                <w:iCs w:val="1"/>
                <w:color w:val="auto"/>
              </w:rPr>
              <w:t>(3)</w:t>
            </w:r>
          </w:p>
        </w:tc>
      </w:tr>
    </w:tbl>
    <w:p>
      <w:pPr>
        <w:spacing w:after="0" w:line="121" w:lineRule="exact"/>
        <w:rPr>
          <w:sz w:val="20"/>
          <w:szCs w:val="20"/>
          <w:color w:val="auto"/>
        </w:rPr>
      </w:pPr>
    </w:p>
    <w:p>
      <w:pPr>
        <w:ind w:left="580" w:hanging="329"/>
        <w:spacing w:after="0"/>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63" w:lineRule="exact"/>
        <w:rPr>
          <w:rFonts w:ascii="Arial" w:cs="Arial" w:eastAsia="Arial" w:hAnsi="Arial"/>
          <w:sz w:val="18"/>
          <w:szCs w:val="18"/>
          <w:i w:val="1"/>
          <w:iCs w:val="1"/>
          <w:color w:val="auto"/>
        </w:rPr>
      </w:pPr>
    </w:p>
    <w:p>
      <w:pPr>
        <w:jc w:val="both"/>
        <w:ind w:left="580" w:hanging="329"/>
        <w:spacing w:after="0" w:line="264" w:lineRule="auto"/>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For policies with an occurrence limit of $1.0 million or higher, the excess casualty treaty is set such that our retention is $1.0 million or less. For policies where we also write an underlying primary casualty policy, the net excess casualty limit is added to the primary limit and the retention remains the same at $1.0 million.</w:t>
      </w:r>
    </w:p>
    <w:p>
      <w:pPr>
        <w:spacing w:after="0" w:line="19" w:lineRule="exact"/>
        <w:rPr>
          <w:rFonts w:ascii="Arial" w:cs="Arial" w:eastAsia="Arial" w:hAnsi="Arial"/>
          <w:sz w:val="18"/>
          <w:szCs w:val="18"/>
          <w:i w:val="1"/>
          <w:iCs w:val="1"/>
          <w:color w:val="auto"/>
        </w:rPr>
      </w:pPr>
    </w:p>
    <w:p>
      <w:pPr>
        <w:ind w:left="580" w:hanging="329"/>
        <w:spacing w:after="0"/>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 Based upon the modeling of our Excess and Surplus Lines segment, a $45.0 million gross catastrophe loss would exceed our 1 in 1,000 year PML. In the event of a $45.0 million gross property catastrophe loss to the Excess and Surplus Lines segment, we estimate our pre-tax cost at approximately $7.1 million, including reinstatement premiums and net retentions. In addition to this retention, we would retain any losses in excess of our reinsurance coverage limits.</w:t>
      </w:r>
    </w:p>
    <w:p>
      <w:pPr>
        <w:spacing w:after="0" w:line="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September 30,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Line of Business</w:t>
            </w:r>
          </w:p>
        </w:tc>
        <w:tc>
          <w:tcPr>
            <w:tcW w:w="460" w:type="dxa"/>
            <w:vAlign w:val="bottom"/>
          </w:tcPr>
          <w:p>
            <w:pPr>
              <w:spacing w:after="0"/>
              <w:rPr>
                <w:sz w:val="16"/>
                <w:szCs w:val="16"/>
                <w:color w:val="auto"/>
              </w:rPr>
            </w:pPr>
          </w:p>
        </w:tc>
        <w:tc>
          <w:tcPr>
            <w:tcW w:w="7520" w:type="dxa"/>
            <w:vAlign w:val="bottom"/>
            <w:tcBorders>
              <w:bottom w:val="single" w:sz="8" w:color="auto"/>
            </w:tcBorders>
          </w:tcPr>
          <w:p>
            <w:pPr>
              <w:ind w:left="3460"/>
              <w:spacing w:after="0"/>
              <w:rPr>
                <w:sz w:val="20"/>
                <w:szCs w:val="20"/>
                <w:color w:val="auto"/>
              </w:rPr>
            </w:pPr>
            <w:r>
              <w:rPr>
                <w:rFonts w:ascii="Arial" w:cs="Arial" w:eastAsia="Arial" w:hAnsi="Arial"/>
                <w:sz w:val="14"/>
                <w:szCs w:val="14"/>
                <w:b w:val="1"/>
                <w:bCs w:val="1"/>
                <w:color w:val="auto"/>
              </w:rPr>
              <w:t>Coverage</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Casualty</w:t>
            </w:r>
          </w:p>
        </w:tc>
        <w:tc>
          <w:tcPr>
            <w:tcW w:w="7520" w:type="dxa"/>
            <w:vAlign w:val="bottom"/>
          </w:tcPr>
          <w:p>
            <w:pPr>
              <w:spacing w:after="0"/>
              <w:rPr>
                <w:sz w:val="21"/>
                <w:szCs w:val="21"/>
                <w:color w:val="auto"/>
              </w:rPr>
            </w:pPr>
          </w:p>
        </w:tc>
      </w:tr>
      <w:tr>
        <w:trPr>
          <w:trHeight w:val="270"/>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Workers’ Compensation</w:t>
            </w:r>
          </w:p>
        </w:tc>
        <w:tc>
          <w:tcPr>
            <w:tcW w:w="7520" w:type="dxa"/>
            <w:vAlign w:val="bottom"/>
          </w:tcPr>
          <w:p>
            <w:pPr>
              <w:ind w:left="20"/>
              <w:spacing w:after="0"/>
              <w:rPr>
                <w:sz w:val="20"/>
                <w:szCs w:val="20"/>
                <w:color w:val="auto"/>
              </w:rPr>
            </w:pPr>
            <w:r>
              <w:rPr>
                <w:rFonts w:ascii="Arial" w:cs="Arial" w:eastAsia="Arial" w:hAnsi="Arial"/>
                <w:sz w:val="18"/>
                <w:szCs w:val="18"/>
                <w:color w:val="auto"/>
              </w:rPr>
              <w:t xml:space="preserve">Excess of loss coverage for $29.4 million in excess of $600,000. </w:t>
            </w:r>
            <w:r>
              <w:rPr>
                <w:rFonts w:ascii="Arial" w:cs="Arial" w:eastAsia="Arial" w:hAnsi="Arial"/>
                <w:sz w:val="18"/>
                <w:szCs w:val="18"/>
                <w:i w:val="1"/>
                <w:iCs w:val="1"/>
                <w:color w:val="auto"/>
              </w:rPr>
              <w:t>(1)</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Workers’ Compensation – Program</w:t>
            </w: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Quota share coverage for 50% of the first $600,000 per occurrence. </w:t>
            </w:r>
            <w:r>
              <w:rPr>
                <w:rFonts w:ascii="Arial" w:cs="Arial" w:eastAsia="Arial" w:hAnsi="Arial"/>
                <w:sz w:val="18"/>
                <w:szCs w:val="18"/>
                <w:i w:val="1"/>
                <w:iCs w:val="1"/>
                <w:color w:val="auto"/>
              </w:rPr>
              <w:t>(1)(2)</w:t>
            </w: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Commercial Auto – Programs</w:t>
            </w:r>
          </w:p>
        </w:tc>
        <w:tc>
          <w:tcPr>
            <w:tcW w:w="7520" w:type="dxa"/>
            <w:vAlign w:val="bottom"/>
          </w:tcPr>
          <w:p>
            <w:pPr>
              <w:ind w:left="20"/>
              <w:spacing w:after="0"/>
              <w:rPr>
                <w:sz w:val="20"/>
                <w:szCs w:val="20"/>
                <w:color w:val="auto"/>
              </w:rPr>
            </w:pPr>
            <w:r>
              <w:rPr>
                <w:rFonts w:ascii="Arial" w:cs="Arial" w:eastAsia="Arial" w:hAnsi="Arial"/>
                <w:sz w:val="18"/>
                <w:szCs w:val="18"/>
                <w:color w:val="auto"/>
              </w:rPr>
              <w:t>Quota share coverage for 90% of $1.0 million per occurrence.</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9"/>
        </w:trPr>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General Liability – Program</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Quota share coverage for 90% of the first $1.0 million per occurrence and excess of loss coverage for</w:t>
            </w: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 million in excess of $1.0 million per occurrence.</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Property</w:t>
            </w:r>
          </w:p>
        </w:tc>
        <w:tc>
          <w:tcPr>
            <w:tcW w:w="7520" w:type="dxa"/>
            <w:vAlign w:val="bottom"/>
          </w:tcPr>
          <w:p>
            <w:pPr>
              <w:ind w:left="20"/>
              <w:spacing w:after="0"/>
              <w:rPr>
                <w:sz w:val="20"/>
                <w:szCs w:val="20"/>
                <w:color w:val="auto"/>
              </w:rPr>
            </w:pPr>
            <w:r>
              <w:rPr>
                <w:rFonts w:ascii="Arial" w:cs="Arial" w:eastAsia="Arial" w:hAnsi="Arial"/>
                <w:sz w:val="18"/>
                <w:szCs w:val="18"/>
                <w:color w:val="auto"/>
              </w:rPr>
              <w:t>Excess of loss coverage for $44.0 million in excess of $1.0 million.</w:t>
            </w:r>
          </w:p>
        </w:tc>
      </w:tr>
    </w:tbl>
    <w:p>
      <w:pPr>
        <w:spacing w:after="0" w:line="13" w:lineRule="exact"/>
        <w:rPr>
          <w:sz w:val="20"/>
          <w:szCs w:val="20"/>
          <w:color w:val="auto"/>
        </w:rPr>
      </w:pPr>
    </w:p>
    <w:p>
      <w:pPr>
        <w:ind w:firstLine="8"/>
        <w:spacing w:after="0" w:line="277" w:lineRule="auto"/>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90% of the first $1.0 million per occurrence and excess of loss coverage for $49.0 million in excess of $1.0 million.</w:t>
      </w:r>
    </w:p>
    <w:p>
      <w:pPr>
        <w:spacing w:after="0" w:line="8"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individual risk expansion states and any residual market pools.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our Casualty Reinsurance segment, we also have limited property catastrophe exposure, primarily through auto physical damage coverage.</w:t>
      </w:r>
    </w:p>
    <w:p>
      <w:pPr>
        <w:spacing w:after="0" w:line="1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aggregate, we believe our pre-tax group-wide PML from a 1 in 1,000 year property catastrophe event would not exceed $10.0 million, inclusive of reinstatement premiums payable.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allowances for amounts considered uncollectible. At September 30, 2018, there was no allowance for such uncollectible reinsurance recoverables.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September 30, 2018, we had reinsurance recoverables on unpaid losses of $424.4 million and reinsurance recoverables on paid losses of $18.8 million, and all material recoverable amounts were from companies with A.M. Best ratings of “A-” or better or collateral had been posted by the reinsurer for our benefit.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on Amounts Recoverable from an Indemnifying Party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is also exposed to credit risk relating to a set of insurance contracts with an insured group of companies under which the Company pays losses and loss adjustment expenses on the contract. The Company has indemnity agreements with this group of insured parties (non-insurance entities) and is contractually entitled to receive reimbursement for a significant portion of the losses and loss adjustment expenses paid on behalf of the insured parties and other expenses incurred by the Company. The insured parties are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This collateral is currently provided through a collateral trust arrangement established in favor of the Company by a captive insurance company affiliate of the insured group. At September 30, 2018, the cash equivalent collateral held in the collateral trust arrangement was approximately $1,014.7 million, which exceeds the amount of claims receivable and unpaid reported losses and loss adjustment expenses outstanding. 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sources of funds consist primarily of premiums written, investment income, reinsurance recoveries and proceeds from offerings of debt and equity securities and from sales and redemptions of investments. We use operating cash flows primarily to pay operating expenses, losses and loss adjustment expenses, reinsurance premiums, and income taxes. The following table summarizes our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7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4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251,913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121,001</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(92,002)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(32,283)</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20,922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provided by operating activities grew from $121.0 million for the nine months ended September 30, 2017 to $251.9 million for the nine months ended September 30, 2018. The growth in reserves for losses and loss adjustment expenses exceeded the growth in premiums receivable by $314.6 million for the nine months ended September 30, 2018 compared to $118.2 million in the nine months ended September 30, 2017. The fact that we are collecting premiums receivable at a quicker rate than we are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paying loss and loss adjustment expenses has a favorable impact on our cash provided by operating activities for the nine months ended September 30, 2018 compared to the nine months ended September 30, 2017.</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financing activities for the nine months ended September 30, 2018 and 2017 included $27.0 million and $26.6 million of dividends paid to shareholders,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issued 253,438 common shares in the nine months ended September 30, 2018 with 210,134 new shares related to stock option exercises and 43,304 new shares related to vesting of RSUs. The total common shares outstanding increased from 29,696,682 at December 31, 2017 to 29,950,120 at September 30,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For the three months ended September 30, 2018 and 2017, the Company recognized $1.7 million and $1.8 million, respectively, of share based compensation expense ($4.8 million and $5.3 million for the respective nine month periods). As of September 30, 2018, the Company had $10.2 million of unrecognized share based compensation expense expected to be charged to earnings over a weighted-average period of 1.9 years.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1,479,236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2,234,699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205,244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(280,683)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(735,587)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36.86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(62,489)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period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1,156,338</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1,641,867</w:t>
            </w:r>
          </w:p>
        </w:tc>
        <w:tc>
          <w:tcPr>
            <w:tcW w:w="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end of period</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841,763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26.64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699,922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outstanding options vest over two or four years and have a contractual life of seven years from the original date of grant.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w w:val="97"/>
              </w:rPr>
              <w:t>Nine Months Ended September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Unvested, beginning of period</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196,800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218,475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39.75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119,312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(63,191)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40.92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(39,113)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40.81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Unvested, end of period</w:t>
            </w:r>
          </w:p>
        </w:tc>
        <w:tc>
          <w:tcPr>
            <w:tcW w:w="13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328,277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254,811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reconciles the underwriting profit by individual segment and for the entire Company to consolidated income before U.S. Federal income taxes: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4"/>
                <w:szCs w:val="14"/>
                <w:b w:val="1"/>
                <w:bCs w:val="1"/>
                <w:i w:val="1"/>
                <w:iCs w:val="1"/>
                <w:color w:val="auto"/>
                <w:w w:val="89"/>
              </w:rPr>
              <w:t>(in thousands)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(loss) of the insurance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11,302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21"/>
                <w:szCs w:val="21"/>
                <w:color w:val="auto"/>
              </w:rPr>
            </w:pPr>
          </w:p>
        </w:tc>
        <w:tc>
          <w:tcPr>
            <w:tcW w:w="280" w:type="dxa"/>
            <w:vAlign w:val="bottom"/>
          </w:tcPr>
          <w:p>
            <w:pPr>
              <w:jc w:val="center"/>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32,718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30,475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(3,863)</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insurance segments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(19,063)</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45,801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45,327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gains (losses) on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(6,651)</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13,589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57,737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49,126</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46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nine months ended September 30, 2018 is gross fee income of $6.8 million and $22.4 million, respectively ($7.0 million and $19.8 million for the same periods in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define adjusted net operating income as net income excluding certain non-operating expenses such as net realized investment gains and losses, expenses related to due diligence costs for various merger and acquisition activities, professional service fees related to the filing of registration statements for the offering of securities, severance costs associated with terminated employees and interest and other expenses on a leased building that we are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before taxes and net income reconcile to our adjusted net operating income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2017</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9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Before</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Taxes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4"/>
          </w:tcPr>
          <w:p>
            <w:pPr>
              <w:jc w:val="right"/>
              <w:ind w:right="637"/>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19,581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13,589</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10,351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realized and unrealized (gains) losses on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0"/>
              </w:rPr>
              <w:t>Interest expense on leased building the Company is deemed to own for accounting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18"/>
                <w:szCs w:val="18"/>
                <w:color w:val="auto"/>
              </w:rPr>
              <w:t>purposes</w:t>
            </w:r>
          </w:p>
        </w:tc>
        <w:tc>
          <w:tcPr>
            <w:tcW w:w="26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21,922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19,402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10,731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4"/>
                <w:szCs w:val="14"/>
                <w:b w:val="1"/>
                <w:bCs w:val="1"/>
                <w:color w:val="auto"/>
                <w:w w:val="94"/>
              </w:rPr>
              <w:t>Nine Months Ended September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2017</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9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Taxes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4"/>
          </w:tcPr>
          <w:p>
            <w:pPr>
              <w:jc w:val="right"/>
              <w:ind w:right="657"/>
              <w:spacing w:after="0"/>
              <w:rPr>
                <w:sz w:val="20"/>
                <w:szCs w:val="20"/>
                <w:color w:val="auto"/>
              </w:rPr>
            </w:pPr>
            <w:r>
              <w:rPr>
                <w:rFonts w:ascii="Arial" w:cs="Arial" w:eastAsia="Arial" w:hAnsi="Arial"/>
                <w:sz w:val="14"/>
                <w:szCs w:val="14"/>
                <w:b w:val="1"/>
                <w:bCs w:val="1"/>
                <w:i w:val="1"/>
                <w:iCs w:val="1"/>
                <w:color w:val="auto"/>
              </w:rPr>
              <w:t>($ in thousands)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57,737</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52,198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49,126</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43,342</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w w:val="90"/>
              </w:rPr>
              <w:t>Interest expense on leased building the Company is deemed to own for accounting</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60"/>
              <w:spacing w:after="0"/>
              <w:rPr>
                <w:sz w:val="20"/>
                <w:szCs w:val="20"/>
                <w:color w:val="auto"/>
              </w:rPr>
            </w:pPr>
            <w:r>
              <w:rPr>
                <w:rFonts w:ascii="Arial" w:cs="Arial" w:eastAsia="Arial" w:hAnsi="Arial"/>
                <w:sz w:val="18"/>
                <w:szCs w:val="18"/>
                <w:color w:val="auto"/>
              </w:rPr>
              <w:t>purposes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59,289</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53,540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49,234</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43,314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(per Share) and Pre Dividend Tangible Equity (per Share)</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nine months ended September 30, 2018, our tangible equity per share decreased by 0.2%. Absent the $27.2 million in dividends to shareholders in the nine months ended September 30, 2018, our tangible equity per share increased by 5.4% for the nine months ended September 30, 2018. Our operating return on tangible shareholders’ equity was 15.1% for the nine months ended September 30, 2018.</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September 30, 2018 and December 31, 2017 and reconciles tangible equity to tangible equity before dividends as of September 30,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3"/>
                <w:szCs w:val="13"/>
                <w:color w:val="auto"/>
              </w:rPr>
            </w:pPr>
          </w:p>
        </w:tc>
        <w:tc>
          <w:tcPr>
            <w:tcW w:w="112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Equity per</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3"/>
                <w:szCs w:val="13"/>
                <w:color w:val="auto"/>
              </w:rPr>
            </w:pPr>
          </w:p>
        </w:tc>
        <w:tc>
          <w:tcPr>
            <w:tcW w:w="10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spacing w:after="0"/>
              <w:rPr>
                <w:sz w:val="20"/>
                <w:szCs w:val="20"/>
                <w:color w:val="auto"/>
              </w:rPr>
            </w:pPr>
            <w:r>
              <w:rPr>
                <w:rFonts w:ascii="Arial" w:cs="Arial" w:eastAsia="Arial" w:hAnsi="Arial"/>
                <w:sz w:val="14"/>
                <w:szCs w:val="14"/>
                <w:b w:val="1"/>
                <w:bCs w:val="1"/>
                <w:i w:val="1"/>
                <w:iCs w:val="1"/>
                <w:color w:val="auto"/>
                <w:w w:val="97"/>
              </w:rPr>
              <w:t>($ in thousands, except share amounts)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697,408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23.29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694,699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Less: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37,887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38,334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equity</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477,690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15.95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474,534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Dividends to shareholders for the nine months ended September 30, 2018</w:t>
            </w: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8"/>
                <w:szCs w:val="18"/>
                <w:color w:val="auto"/>
              </w:rPr>
              <w:t>27,189</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36"/>
              <w:spacing w:after="0"/>
              <w:rPr>
                <w:sz w:val="20"/>
                <w:szCs w:val="20"/>
                <w:color w:val="auto"/>
              </w:rPr>
            </w:pPr>
            <w:r>
              <w:rPr>
                <w:rFonts w:ascii="Arial" w:cs="Arial" w:eastAsia="Arial" w:hAnsi="Arial"/>
                <w:sz w:val="18"/>
                <w:szCs w:val="18"/>
                <w:color w:val="auto"/>
              </w:rPr>
              <w:t>0.90</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Pre-dividend tangible equity</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504,879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50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September 30, 2018,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September 30,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September 30, 2018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September 30, 2018 from those disclosed in our Annual Report on Form 10-K for the year ended December 31,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160" w:type="dxa"/>
            <w:vAlign w:val="bottom"/>
            <w:gridSpan w:val="10"/>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16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3.1</w:t>
            </w:r>
          </w:p>
        </w:tc>
        <w:tc>
          <w:tcPr>
            <w:tcW w:w="6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740" w:type="dxa"/>
            <w:vAlign w:val="bottom"/>
            <w:tcBorders>
              <w:top w:val="single" w:sz="8" w:color="auto"/>
              <w:bottom w:val="single" w:sz="8" w:color="0000FF"/>
            </w:tcBorders>
            <w:gridSpan w:val="11"/>
          </w:tcPr>
          <w:p>
            <w:pPr>
              <w:spacing w:after="0" w:line="202" w:lineRule="exact"/>
              <w:rPr>
                <w:rFonts w:ascii="Arial" w:cs="Arial" w:eastAsia="Arial" w:hAnsi="Arial"/>
                <w:sz w:val="18"/>
                <w:szCs w:val="18"/>
                <w:color w:val="0000FF"/>
                <w:w w:val="98"/>
              </w:rPr>
            </w:pPr>
            <w:hyperlink r:id="rId20">
              <w:r>
                <w:rPr>
                  <w:rFonts w:ascii="Arial" w:cs="Arial" w:eastAsia="Arial" w:hAnsi="Arial"/>
                  <w:sz w:val="18"/>
                  <w:szCs w:val="18"/>
                  <w:color w:val="0000FF"/>
                  <w:w w:val="98"/>
                </w:rPr>
                <w:t>Certificate of Incorporation of James River Group Holdings, Ltd. (incorporated by reference to Exhibit 3.1 of the</w:t>
              </w:r>
            </w:hyperlink>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Registration Statement on Form S-1, Registration No. 333-199958, filed with the Commission on November 7, 2014)</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2"/>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Certificate of Incorporation on Change of Name (incorporated by reference to Exhibit 3.2 of the Registration Statement</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on Form S-1, Registration No. 333-199958, filed with the Commission on November 7, 2014)</w:t>
              </w:r>
            </w:hyperlink>
          </w:p>
        </w:tc>
        <w:tc>
          <w:tcPr>
            <w:tcW w:w="19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2"/>
          </w:tcPr>
          <w:p>
            <w:pPr>
              <w:spacing w:after="0"/>
              <w:rPr>
                <w:rFonts w:ascii="Arial" w:cs="Arial" w:eastAsia="Arial" w:hAnsi="Arial"/>
                <w:sz w:val="18"/>
                <w:szCs w:val="18"/>
                <w:color w:val="0000FF"/>
                <w:w w:val="97"/>
              </w:rPr>
            </w:pPr>
            <w:hyperlink r:id="rId22">
              <w:r>
                <w:rPr>
                  <w:rFonts w:ascii="Arial" w:cs="Arial" w:eastAsia="Arial" w:hAnsi="Arial"/>
                  <w:sz w:val="18"/>
                  <w:szCs w:val="18"/>
                  <w:color w:val="0000FF"/>
                  <w:w w:val="97"/>
                </w:rPr>
                <w:t>Memorandum of Association of James River Group Holdings, Ltd. (incorporated by reference to Exhibit 3.3 of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FF"/>
            </w:tcBorders>
            <w:gridSpan w:val="10"/>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Registration Statement on Form S-1, Registration No. 333-199958, filed with the Commission on November 7, 2014)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2"/>
          </w:tcPr>
          <w:p>
            <w:pPr>
              <w:spacing w:after="0"/>
              <w:rPr>
                <w:rFonts w:ascii="Arial" w:cs="Arial" w:eastAsia="Arial" w:hAnsi="Arial"/>
                <w:sz w:val="18"/>
                <w:szCs w:val="18"/>
                <w:color w:val="0000FF"/>
                <w:w w:val="98"/>
              </w:rPr>
            </w:pPr>
            <w:hyperlink r:id="rId23">
              <w:r>
                <w:rPr>
                  <w:rFonts w:ascii="Arial" w:cs="Arial" w:eastAsia="Arial" w:hAnsi="Arial"/>
                  <w:sz w:val="18"/>
                  <w:szCs w:val="18"/>
                  <w:color w:val="0000FF"/>
                  <w:w w:val="98"/>
                </w:rPr>
                <w:t>Certificate of Deposit of Memorandum of Increase of Share Capital, dated December 24, 2007 (incorporated by</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FF"/>
            </w:tcBorders>
            <w:gridSpan w:val="12"/>
          </w:tcPr>
          <w:p>
            <w:pPr>
              <w:spacing w:after="0" w:line="196" w:lineRule="exact"/>
              <w:rPr>
                <w:rFonts w:ascii="Arial" w:cs="Arial" w:eastAsia="Arial" w:hAnsi="Arial"/>
                <w:sz w:val="18"/>
                <w:szCs w:val="18"/>
                <w:color w:val="0000FF"/>
                <w:w w:val="99"/>
              </w:rPr>
            </w:pPr>
            <w:hyperlink r:id="rId23">
              <w:r>
                <w:rPr>
                  <w:rFonts w:ascii="Arial" w:cs="Arial" w:eastAsia="Arial" w:hAnsi="Arial"/>
                  <w:sz w:val="18"/>
                  <w:szCs w:val="18"/>
                  <w:color w:val="0000FF"/>
                  <w:w w:val="99"/>
                </w:rPr>
                <w:t>reference to Exhibit 3.4 of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Commission on November 7, 2014)</w:t>
              </w:r>
            </w:hyperlink>
          </w:p>
        </w:tc>
        <w:tc>
          <w:tcPr>
            <w:tcW w:w="61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2"/>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Certificate of Deposit of Memorandum of Increase of Share Capital, dated October 7, 2009 (incorporated by reference to</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FF"/>
            </w:tcBorders>
            <w:gridSpan w:val="11"/>
          </w:tcPr>
          <w:p>
            <w:pPr>
              <w:spacing w:after="0" w:line="196" w:lineRule="exact"/>
              <w:rPr>
                <w:rFonts w:ascii="Arial" w:cs="Arial" w:eastAsia="Arial" w:hAnsi="Arial"/>
                <w:sz w:val="18"/>
                <w:szCs w:val="18"/>
                <w:color w:val="0000FF"/>
                <w:w w:val="96"/>
              </w:rPr>
            </w:pPr>
            <w:hyperlink r:id="rId24">
              <w:r>
                <w:rPr>
                  <w:rFonts w:ascii="Arial" w:cs="Arial" w:eastAsia="Arial" w:hAnsi="Arial"/>
                  <w:sz w:val="18"/>
                  <w:szCs w:val="18"/>
                  <w:color w:val="0000FF"/>
                  <w:w w:val="96"/>
                </w:rPr>
                <w:t>Exhibit 3.5 of the Registration Statement on Form S-1, Registration No. 333-199958, filed with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November 7, 2014)</w:t>
              </w:r>
            </w:hyperlink>
          </w:p>
        </w:tc>
        <w:tc>
          <w:tcPr>
            <w:tcW w:w="7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12"/>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Third Amended and Restated Bye-Laws of James River Group Holdings, Ltd. (incorporated by reference to Exhibit 3.6</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gridSpan w:val="1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to the Annual Report on Form 10-K filed on March 12, 2015, Commission File No. 001-36777)</w:t>
              </w:r>
            </w:hyperlink>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2"/>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Amendment to Employment Agreement, dated December 19, 2016, between Sarah C. Doran and James River Group</w:t>
              </w:r>
            </w:hyperlink>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Holdings, Ltd., and its subsidiary, James River Group, Inc.*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60" w:type="dxa"/>
            <w:vAlign w:val="bottom"/>
          </w:tcPr>
          <w:p>
            <w:pPr>
              <w:ind w:left="4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1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Chief Executive Officer Certification pursuant to Rule 13a-14(a)/15d-14(a)</w:t>
              </w:r>
            </w:hyperlink>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Chief Financial Officer Certification pursuant to Rule 13a-14(a)/15d-14(a)</w:t>
              </w:r>
            </w:hyperlink>
          </w:p>
        </w:tc>
        <w:tc>
          <w:tcPr>
            <w:tcW w:w="40" w:type="dxa"/>
            <w:vAlign w:val="bottom"/>
            <w:tcBorders>
              <w:top w:val="single" w:sz="8" w:color="0000FF"/>
            </w:tcBorders>
          </w:tcPr>
          <w:p>
            <w:pPr>
              <w:spacing w:after="0"/>
              <w:rPr>
                <w:sz w:val="24"/>
                <w:szCs w:val="24"/>
                <w:color w:val="auto"/>
              </w:rPr>
            </w:pPr>
          </w:p>
        </w:tc>
        <w:tc>
          <w:tcPr>
            <w:tcW w:w="3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960" w:type="dxa"/>
            <w:vAlign w:val="bottom"/>
          </w:tcPr>
          <w:p>
            <w:pPr>
              <w:ind w:left="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11"/>
          </w:tcPr>
          <w:p>
            <w:pPr>
              <w:spacing w:after="0"/>
              <w:rPr>
                <w:rFonts w:ascii="Arial" w:cs="Arial" w:eastAsia="Arial" w:hAnsi="Arial"/>
                <w:sz w:val="18"/>
                <w:szCs w:val="18"/>
                <w:color w:val="0000FF"/>
                <w:w w:val="98"/>
              </w:rPr>
            </w:pPr>
            <w:hyperlink w:anchor="page58">
              <w:r>
                <w:rPr>
                  <w:rFonts w:ascii="Arial" w:cs="Arial" w:eastAsia="Arial" w:hAnsi="Arial"/>
                  <w:sz w:val="18"/>
                  <w:szCs w:val="18"/>
                  <w:color w:val="0000FF"/>
                  <w:w w:val="98"/>
                </w:rPr>
                <w:t>Chief Executive Officer and Chief Financial Officer Certification pursuant to 18 U.S.C. Section 1350, as adopted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w:anchor="page58">
              <w:r>
                <w:rPr>
                  <w:rFonts w:ascii="Arial" w:cs="Arial" w:eastAsia="Arial" w:hAnsi="Arial"/>
                  <w:sz w:val="18"/>
                  <w:szCs w:val="18"/>
                  <w:color w:val="0000FF"/>
                  <w:w w:val="91"/>
                </w:rPr>
                <w:t>pursuant to Section 906 of the Sarbanes-Oxley Act of 2002</w:t>
              </w:r>
            </w:hyperlink>
          </w:p>
        </w:tc>
        <w:tc>
          <w:tcPr>
            <w:tcW w:w="4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4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72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Denotes a management contract or compensatory plan or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580" w:type="dxa"/>
            <w:vAlign w:val="bottom"/>
            <w:gridSpan w:val="2"/>
          </w:tcPr>
          <w:p>
            <w:pPr>
              <w:ind w:left="1620"/>
              <w:spacing w:after="0"/>
              <w:rPr>
                <w:sz w:val="20"/>
                <w:szCs w:val="20"/>
                <w:color w:val="auto"/>
              </w:rPr>
            </w:pPr>
            <w:r>
              <w:rPr>
                <w:rFonts w:ascii="Arial" w:cs="Arial" w:eastAsia="Arial" w:hAnsi="Arial"/>
                <w:sz w:val="18"/>
                <w:szCs w:val="18"/>
                <w:color w:val="auto"/>
              </w:rPr>
              <w:t>James River Group Holdings, Ltd.</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20"/>
              <w:spacing w:after="0"/>
              <w:rPr>
                <w:sz w:val="20"/>
                <w:szCs w:val="20"/>
                <w:color w:val="auto"/>
              </w:rPr>
            </w:pPr>
            <w:r>
              <w:rPr>
                <w:rFonts w:ascii="Arial" w:cs="Arial" w:eastAsia="Arial" w:hAnsi="Arial"/>
                <w:sz w:val="18"/>
                <w:szCs w:val="18"/>
                <w:color w:val="auto"/>
              </w:rPr>
              <w:t>November 8, 2018</w:t>
            </w:r>
          </w:p>
        </w:tc>
        <w:tc>
          <w:tcPr>
            <w:tcW w:w="2300" w:type="dxa"/>
            <w:vAlign w:val="bottom"/>
          </w:tcPr>
          <w:p>
            <w:pPr>
              <w:ind w:left="1620"/>
              <w:spacing w:after="0"/>
              <w:rPr>
                <w:sz w:val="20"/>
                <w:szCs w:val="20"/>
                <w:color w:val="auto"/>
              </w:rPr>
            </w:pPr>
            <w:r>
              <w:rPr>
                <w:rFonts w:ascii="Arial" w:cs="Arial" w:eastAsia="Arial" w:hAnsi="Arial"/>
                <w:sz w:val="18"/>
                <w:szCs w:val="18"/>
                <w:color w:val="auto"/>
              </w:rPr>
              <w:t>By:</w:t>
            </w:r>
          </w:p>
        </w:tc>
        <w:tc>
          <w:tcPr>
            <w:tcW w:w="4280" w:type="dxa"/>
            <w:vAlign w:val="bottom"/>
          </w:tcPr>
          <w:p>
            <w:pPr>
              <w:ind w:left="40"/>
              <w:spacing w:after="0"/>
              <w:rPr>
                <w:sz w:val="20"/>
                <w:szCs w:val="20"/>
                <w:color w:val="auto"/>
              </w:rPr>
            </w:pPr>
            <w:r>
              <w:rPr>
                <w:rFonts w:ascii="Arial" w:cs="Arial" w:eastAsia="Arial" w:hAnsi="Arial"/>
                <w:sz w:val="18"/>
                <w:szCs w:val="18"/>
                <w:color w:val="auto"/>
              </w:rPr>
              <w:t>/s/ Robert P. Myron</w:t>
            </w:r>
          </w:p>
        </w:tc>
      </w:tr>
      <w:tr>
        <w:trPr>
          <w:trHeight w:val="27"/>
        </w:trPr>
        <w:tc>
          <w:tcPr>
            <w:tcW w:w="5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Robert P. Myron</w:t>
            </w:r>
          </w:p>
        </w:tc>
      </w:tr>
      <w:tr>
        <w:trPr>
          <w:trHeight w:val="270"/>
        </w:trPr>
        <w:tc>
          <w:tcPr>
            <w:tcW w:w="5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5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20"/>
              <w:spacing w:after="0"/>
              <w:rPr>
                <w:sz w:val="20"/>
                <w:szCs w:val="20"/>
                <w:color w:val="auto"/>
              </w:rPr>
            </w:pPr>
            <w:r>
              <w:rPr>
                <w:rFonts w:ascii="Arial" w:cs="Arial" w:eastAsia="Arial" w:hAnsi="Arial"/>
                <w:sz w:val="18"/>
                <w:szCs w:val="18"/>
                <w:color w:val="auto"/>
              </w:rPr>
              <w:t>November 8, 2018</w:t>
            </w:r>
          </w:p>
        </w:tc>
        <w:tc>
          <w:tcPr>
            <w:tcW w:w="2300" w:type="dxa"/>
            <w:vAlign w:val="bottom"/>
          </w:tcPr>
          <w:p>
            <w:pPr>
              <w:ind w:left="1620"/>
              <w:spacing w:after="0"/>
              <w:rPr>
                <w:sz w:val="20"/>
                <w:szCs w:val="20"/>
                <w:color w:val="auto"/>
              </w:rPr>
            </w:pPr>
            <w:r>
              <w:rPr>
                <w:rFonts w:ascii="Arial" w:cs="Arial" w:eastAsia="Arial" w:hAnsi="Arial"/>
                <w:sz w:val="18"/>
                <w:szCs w:val="18"/>
                <w:color w:val="auto"/>
              </w:rPr>
              <w:t>By:</w:t>
            </w:r>
          </w:p>
        </w:tc>
        <w:tc>
          <w:tcPr>
            <w:tcW w:w="4280" w:type="dxa"/>
            <w:vAlign w:val="bottom"/>
          </w:tcPr>
          <w:p>
            <w:pPr>
              <w:ind w:left="40"/>
              <w:spacing w:after="0"/>
              <w:rPr>
                <w:sz w:val="20"/>
                <w:szCs w:val="20"/>
                <w:color w:val="auto"/>
              </w:rPr>
            </w:pPr>
            <w:r>
              <w:rPr>
                <w:rFonts w:ascii="Arial" w:cs="Arial" w:eastAsia="Arial" w:hAnsi="Arial"/>
                <w:sz w:val="18"/>
                <w:szCs w:val="18"/>
                <w:color w:val="auto"/>
              </w:rPr>
              <w:t>/s/ Sarah C. Doran</w:t>
            </w:r>
          </w:p>
        </w:tc>
      </w:tr>
      <w:tr>
        <w:trPr>
          <w:trHeight w:val="27"/>
        </w:trPr>
        <w:tc>
          <w:tcPr>
            <w:tcW w:w="5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Sarah C. Doran</w:t>
            </w:r>
          </w:p>
        </w:tc>
      </w:tr>
    </w:tbl>
    <w:p>
      <w:pPr>
        <w:spacing w:after="0" w:line="4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240" w:top="125" w:right="3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EMPLOYMENT AGREEMENT</w:t>
      </w:r>
    </w:p>
    <w:p>
      <w:pPr>
        <w:spacing w:after="0" w:line="30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AMENDMENT TO EMPLOYMENT AGREEMENT, dated as of December 19, 2016, between Sarah C. Doran (“</w:t>
      </w:r>
      <w:r>
        <w:rPr>
          <w:rFonts w:ascii="Arial" w:cs="Arial" w:eastAsia="Arial" w:hAnsi="Arial"/>
          <w:sz w:val="18"/>
          <w:szCs w:val="18"/>
          <w:u w:val="single" w:color="auto"/>
          <w:color w:val="auto"/>
        </w:rPr>
        <w:t>Executive</w:t>
      </w:r>
      <w:r>
        <w:rPr>
          <w:rFonts w:ascii="Arial" w:cs="Arial" w:eastAsia="Arial" w:hAnsi="Arial"/>
          <w:sz w:val="18"/>
          <w:szCs w:val="18"/>
          <w:color w:val="auto"/>
        </w:rPr>
        <w:t>”) and James River Group Holdings, Ltd. (the “</w:t>
      </w:r>
      <w:r>
        <w:rPr>
          <w:rFonts w:ascii="Arial" w:cs="Arial" w:eastAsia="Arial" w:hAnsi="Arial"/>
          <w:sz w:val="18"/>
          <w:szCs w:val="18"/>
          <w:u w:val="single" w:color="auto"/>
          <w:color w:val="auto"/>
        </w:rPr>
        <w:t>Parent Company</w:t>
      </w:r>
      <w:r>
        <w:rPr>
          <w:rFonts w:ascii="Arial" w:cs="Arial" w:eastAsia="Arial" w:hAnsi="Arial"/>
          <w:sz w:val="18"/>
          <w:szCs w:val="18"/>
          <w:color w:val="auto"/>
        </w:rPr>
        <w:t xml:space="preserve">”) and its subsidiary James River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the Parent Company, the Company and Executive are parties to an Employment Agreement dated as of December 19, 2016 (the “Agreement”), which provides for the employment of the Executive by the Parent Company and the Company as Chief Financial Officer in accordance with the terms and provisions thereof; and</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the Board of Directors of the Parent Company has approved certain amendments to the Agreement, and Executive has agreed to accept such amendments.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for good and valuable consideration, the parties hereto hereby agree as follows:</w:t>
      </w:r>
    </w:p>
    <w:p>
      <w:pPr>
        <w:spacing w:after="0" w:line="144" w:lineRule="exact"/>
        <w:rPr>
          <w:sz w:val="20"/>
          <w:szCs w:val="20"/>
          <w:color w:val="auto"/>
        </w:rPr>
      </w:pPr>
    </w:p>
    <w:p>
      <w:pPr>
        <w:ind w:left="1440" w:hanging="784"/>
        <w:spacing w:after="0"/>
        <w:tabs>
          <w:tab w:leader="none" w:pos="144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Section 5(d)(v) of the Agreement is hereby amended by changing the phrase “nine (9) months” to “twelve (12) months.”</w:t>
      </w:r>
    </w:p>
    <w:p>
      <w:pPr>
        <w:spacing w:after="0" w:line="169" w:lineRule="exact"/>
        <w:rPr>
          <w:rFonts w:ascii="Arial" w:cs="Arial" w:eastAsia="Arial" w:hAnsi="Arial"/>
          <w:sz w:val="17"/>
          <w:szCs w:val="17"/>
          <w:color w:val="auto"/>
        </w:rPr>
      </w:pPr>
    </w:p>
    <w:p>
      <w:pPr>
        <w:ind w:left="1440" w:hanging="784"/>
        <w:spacing w:after="0"/>
        <w:tabs>
          <w:tab w:leader="none" w:pos="144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 (a) In the first paragraph of Section 7(a)(iv), the phrase “thirty (30) days” is hereby changed to “forty five (45) days.”</w:t>
      </w:r>
    </w:p>
    <w:p>
      <w:pPr>
        <w:spacing w:after="0" w:line="14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 Section 7(a)(iv)(1) of the Agreement is hereby deleted in its entirety and the following substituted in lieu thereof:</w:t>
      </w:r>
    </w:p>
    <w:p>
      <w:pPr>
        <w:spacing w:after="0" w:line="117" w:lineRule="exact"/>
        <w:rPr>
          <w:sz w:val="20"/>
          <w:szCs w:val="20"/>
          <w:color w:val="auto"/>
        </w:rPr>
      </w:pPr>
    </w:p>
    <w:p>
      <w:pPr>
        <w:ind w:left="1300" w:right="20" w:firstLine="648"/>
        <w:spacing w:after="0" w:line="288" w:lineRule="auto"/>
        <w:rPr>
          <w:sz w:val="20"/>
          <w:szCs w:val="20"/>
          <w:color w:val="auto"/>
        </w:rPr>
      </w:pPr>
      <w:r>
        <w:rPr>
          <w:rFonts w:ascii="Arial" w:cs="Arial" w:eastAsia="Arial" w:hAnsi="Arial"/>
          <w:sz w:val="16"/>
          <w:szCs w:val="16"/>
          <w:color w:val="auto"/>
        </w:rPr>
        <w:t>“(1) In the event of a termination without Cause or for Good Reason, or a Companies Non-Renewal Termination: (I) before or 12 months or more after a Change in Control (as defined in Section 7(d)), a gross amount equal to (a) Executive's base salary in effect on the termination date divided by (b) twelve (12), per month, subject to any applicable deductions and witholdings, for a period of twenty four</w:t>
      </w:r>
    </w:p>
    <w:p>
      <w:pPr>
        <w:ind w:left="1300" w:right="20" w:firstLine="5"/>
        <w:spacing w:after="0" w:line="252" w:lineRule="auto"/>
        <w:tabs>
          <w:tab w:leader="none" w:pos="16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months after the Termination Date, or (II) within twelve (12) months after a Change in Control, a gross amount equal to (x) Executive's base salary in effect on the Termination Date divided by (y) twelve (12), per month, subject to any applicable deductions and withholdings, for a period of thirty (30) months after the Termination Date, which, in either case, shall be paid in periodic installments by the Company in accordance with the Company’s normal payroll practices in effect as of the Termination Date commencing on the first payroll cycle which is at least ten (10) business days after the 45th day after the Termination Date, unless such payments are required to be delayed pursuant to Section 8 below; and”</w:t>
      </w:r>
    </w:p>
    <w:p>
      <w:pPr>
        <w:spacing w:after="0" w:line="86"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Section 7(d) of the Agreement is hereby amended by adding the following at the end thereof:</w:t>
      </w:r>
    </w:p>
    <w:p>
      <w:pPr>
        <w:spacing w:after="0" w:line="117" w:lineRule="exact"/>
        <w:rPr>
          <w:sz w:val="20"/>
          <w:szCs w:val="20"/>
          <w:color w:val="auto"/>
        </w:rPr>
      </w:pPr>
    </w:p>
    <w:p>
      <w:pPr>
        <w:ind w:left="1300" w:right="100"/>
        <w:spacing w:after="0" w:line="342"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(and, for purposes of this definition only, capitalized terms have the meaning defined in the James River Group Holdings, Ltd. 2014 Long-Term Incentive Plan, as amended) the first to occur of the following events:</w:t>
      </w:r>
    </w:p>
    <w:p>
      <w:pPr>
        <w:spacing w:after="0" w:line="16" w:lineRule="exact"/>
        <w:rPr>
          <w:sz w:val="20"/>
          <w:szCs w:val="20"/>
          <w:color w:val="auto"/>
        </w:rPr>
      </w:pPr>
    </w:p>
    <w:p>
      <w:pPr>
        <w:ind w:left="1960" w:right="40" w:hanging="655"/>
        <w:spacing w:after="0" w:line="276" w:lineRule="auto"/>
        <w:tabs>
          <w:tab w:leader="none" w:pos="1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purchase or other acquisition (other than from Holdings), in a single transaction or series of related transactions, by any person, entity or group of persons, within the meaning of Section 13(d) or 14(d) of the Exchange Act (excluding, for this purpose, Holdings or its subsidiaries or any employee benefit plan of Holdings or its subsidiaries), of beneficial ownership (within the meaning of Rule 13d-3 promulgated under the Act) of 50% or more of either the then-outstanding Shares or the combined voting power of Holdings’ then-outstanding voting securities entitled to vote generally in the election of directors;</w:t>
      </w:r>
    </w:p>
    <w:p>
      <w:pPr>
        <w:spacing w:after="0" w:line="64" w:lineRule="exact"/>
        <w:rPr>
          <w:rFonts w:ascii="Arial" w:cs="Arial" w:eastAsia="Arial" w:hAnsi="Arial"/>
          <w:sz w:val="17"/>
          <w:szCs w:val="17"/>
          <w:color w:val="auto"/>
        </w:rPr>
      </w:pPr>
    </w:p>
    <w:p>
      <w:pPr>
        <w:ind w:left="1960" w:right="100" w:hanging="655"/>
        <w:spacing w:after="0" w:line="257" w:lineRule="auto"/>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consummation of a reorganization, merger, amalgamation or consolidation involving Holdings, in each case with respect to which persons who were the shareholders of Holdings immediately prior to such reorganization, merger, amalgamation or consolidation do not, immediately thereafter, own more than 50% of, respectively, the Shares and the combined voting power entitled to vote generally in the election of directors of the reorganized, merged, amalgamated or consolidated corporation’s then-outstanding voting securities; or</w:t>
      </w:r>
    </w:p>
    <w:p>
      <w:pPr>
        <w:spacing w:after="0" w:line="80" w:lineRule="exact"/>
        <w:rPr>
          <w:rFonts w:ascii="Arial" w:cs="Arial" w:eastAsia="Arial" w:hAnsi="Arial"/>
          <w:sz w:val="18"/>
          <w:szCs w:val="18"/>
          <w:color w:val="auto"/>
        </w:rPr>
      </w:pPr>
    </w:p>
    <w:p>
      <w:pPr>
        <w:ind w:left="1960" w:right="60" w:hanging="655"/>
        <w:spacing w:after="0" w:line="264" w:lineRule="auto"/>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liquidation or dissolution of Holdings, or the sale of all or substantially all of the assets of Holdings; provided, however, an event described above shall be considered a Change in Control hereunder only if it also constitutes a “change in control event” under Section 409A of the Code, to</w:t>
      </w:r>
    </w:p>
    <w:p>
      <w:pPr>
        <w:sectPr>
          <w:pgSz w:w="11900" w:h="16838" w:orient="portrait"/>
          <w:cols w:equalWidth="0" w:num="1">
            <w:col w:w="11420"/>
          </w:cols>
          <w:pgMar w:left="240" w:top="580" w:right="239" w:bottom="1440" w:gutter="0" w:footer="0" w:header="0"/>
        </w:sectPr>
      </w:pPr>
    </w:p>
    <w:bookmarkStart w:id="54" w:name="page55"/>
    <w:bookmarkEnd w:id="54"/>
    <w:p>
      <w:pPr>
        <w:ind w:left="1304"/>
        <w:spacing w:after="0" w:line="324" w:lineRule="auto"/>
        <w:rPr>
          <w:sz w:val="20"/>
          <w:szCs w:val="20"/>
          <w:color w:val="auto"/>
        </w:rPr>
      </w:pPr>
      <w:r>
        <w:rPr>
          <w:rFonts w:ascii="Arial" w:cs="Arial" w:eastAsia="Arial" w:hAnsi="Arial"/>
          <w:sz w:val="18"/>
          <w:szCs w:val="18"/>
          <w:color w:val="auto"/>
        </w:rPr>
        <w:t>the extent necessary to avoid the adverse tax consequences thereunder with respect to any payment subject to Section 409A of the Code.”</w:t>
      </w:r>
    </w:p>
    <w:p>
      <w:pPr>
        <w:spacing w:after="0" w:line="62" w:lineRule="exact"/>
        <w:rPr>
          <w:sz w:val="20"/>
          <w:szCs w:val="20"/>
          <w:color w:val="auto"/>
        </w:rPr>
      </w:pPr>
    </w:p>
    <w:p>
      <w:pPr>
        <w:ind w:left="784" w:hanging="784"/>
        <w:spacing w:after="0"/>
        <w:tabs>
          <w:tab w:leader="none" w:pos="78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Section 17</w:t>
      </w:r>
      <w:r>
        <w:rPr>
          <w:rFonts w:ascii="Arial" w:cs="Arial" w:eastAsia="Arial" w:hAnsi="Arial"/>
          <w:sz w:val="18"/>
          <w:szCs w:val="18"/>
          <w:color w:val="auto"/>
        </w:rPr>
        <w:t>. In Section 17(c), “Tennessee” is hereby changed to “North Carolina.”</w:t>
      </w:r>
    </w:p>
    <w:p>
      <w:pPr>
        <w:spacing w:after="0" w:line="157" w:lineRule="exact"/>
        <w:rPr>
          <w:rFonts w:ascii="Arial" w:cs="Arial" w:eastAsia="Arial" w:hAnsi="Arial"/>
          <w:sz w:val="18"/>
          <w:szCs w:val="18"/>
          <w:color w:val="auto"/>
        </w:rPr>
      </w:pPr>
    </w:p>
    <w:p>
      <w:pPr>
        <w:ind w:left="-656" w:right="100" w:firstLine="656"/>
        <w:spacing w:after="0" w:line="324" w:lineRule="auto"/>
        <w:tabs>
          <w:tab w:leader="none" w:pos="77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 Except as specifically amended hereby, the Agreement shall remain in full force and effect and is hereby ratified and confirmed in all respects.</w:t>
      </w:r>
    </w:p>
    <w:p>
      <w:pPr>
        <w:spacing w:after="0" w:line="35" w:lineRule="exact"/>
        <w:rPr>
          <w:rFonts w:ascii="Arial" w:cs="Arial" w:eastAsia="Arial" w:hAnsi="Arial"/>
          <w:sz w:val="18"/>
          <w:szCs w:val="18"/>
          <w:color w:val="auto"/>
        </w:rPr>
      </w:pPr>
    </w:p>
    <w:p>
      <w:pPr>
        <w:ind w:left="-656" w:right="20" w:firstLine="1305"/>
        <w:spacing w:after="0" w:line="277" w:lineRule="auto"/>
        <w:tabs>
          <w:tab w:leader="none" w:pos="10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including by facsimile, each of which shall be an original, but all of which together shall constitute one and the same instrument.</w:t>
      </w:r>
    </w:p>
    <w:p>
      <w:pPr>
        <w:spacing w:after="0" w:line="62" w:lineRule="exact"/>
        <w:rPr>
          <w:rFonts w:ascii="Arial" w:cs="Arial" w:eastAsia="Arial" w:hAnsi="Arial"/>
          <w:sz w:val="18"/>
          <w:szCs w:val="18"/>
          <w:color w:val="auto"/>
        </w:rPr>
      </w:pPr>
    </w:p>
    <w:p>
      <w:pPr>
        <w:ind w:left="1024" w:hanging="375"/>
        <w:spacing w:after="0"/>
        <w:tabs>
          <w:tab w:leader="none" w:pos="10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This Amendment shall be effective as of the date it is fully executed by all of the parties to the Agreement.</w:t>
      </w:r>
    </w:p>
    <w:p>
      <w:pPr>
        <w:spacing w:after="0" w:line="117" w:lineRule="exact"/>
        <w:rPr>
          <w:rFonts w:ascii="Arial" w:cs="Arial" w:eastAsia="Arial" w:hAnsi="Arial"/>
          <w:sz w:val="18"/>
          <w:szCs w:val="18"/>
          <w:color w:val="auto"/>
        </w:rPr>
      </w:pPr>
    </w:p>
    <w:p>
      <w:pPr>
        <w:ind w:left="-656" w:right="140" w:firstLine="1305"/>
        <w:spacing w:after="0" w:line="277" w:lineRule="auto"/>
        <w:tabs>
          <w:tab w:leader="none" w:pos="10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This Amendment shall be governed by construed and administered in accordance with the laws of North Carolina without regard to the principles of conflicts of law which might otherwise apply.</w:t>
      </w:r>
    </w:p>
    <w:p>
      <w:pPr>
        <w:spacing w:after="0" w:line="200" w:lineRule="exact"/>
        <w:rPr>
          <w:sz w:val="20"/>
          <w:szCs w:val="20"/>
          <w:color w:val="auto"/>
        </w:rPr>
      </w:pPr>
    </w:p>
    <w:p>
      <w:pPr>
        <w:spacing w:after="0" w:line="34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the parties hereto have executed this Amendment.</w:t>
      </w:r>
    </w:p>
    <w:p>
      <w:pPr>
        <w:spacing w:after="0" w:line="200" w:lineRule="exact"/>
        <w:rPr>
          <w:sz w:val="20"/>
          <w:szCs w:val="20"/>
          <w:color w:val="auto"/>
        </w:rPr>
      </w:pPr>
    </w:p>
    <w:p>
      <w:pPr>
        <w:spacing w:after="0" w:line="345" w:lineRule="exact"/>
        <w:rPr>
          <w:sz w:val="20"/>
          <w:szCs w:val="20"/>
          <w:color w:val="auto"/>
        </w:rPr>
      </w:pPr>
    </w:p>
    <w:p>
      <w:pPr>
        <w:ind w:left="2584"/>
        <w:spacing w:after="0"/>
        <w:rPr>
          <w:sz w:val="20"/>
          <w:szCs w:val="20"/>
          <w:color w:val="auto"/>
        </w:rPr>
      </w:pPr>
      <w:r>
        <w:rPr>
          <w:rFonts w:ascii="Arial" w:cs="Arial" w:eastAsia="Arial" w:hAnsi="Arial"/>
          <w:sz w:val="18"/>
          <w:szCs w:val="18"/>
          <w:b w:val="1"/>
          <w:bCs w:val="1"/>
          <w:color w:val="auto"/>
        </w:rPr>
        <w:t>JAMES RIVER GROUP HOLDINGS, LTD.</w:t>
      </w:r>
    </w:p>
    <w:p>
      <w:pPr>
        <w:spacing w:after="0" w:line="200" w:lineRule="exact"/>
        <w:rPr>
          <w:sz w:val="20"/>
          <w:szCs w:val="20"/>
          <w:color w:val="auto"/>
        </w:rPr>
      </w:pPr>
    </w:p>
    <w:p>
      <w:pPr>
        <w:spacing w:after="0" w:line="245"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 Robert P. Myron</w:t>
      </w:r>
      <w:r>
        <w:rPr>
          <w:rFonts w:ascii="Arial" w:cs="Arial" w:eastAsia="Arial" w:hAnsi="Arial"/>
          <w:sz w:val="18"/>
          <w:szCs w:val="18"/>
          <w:color w:val="auto"/>
        </w:rPr>
        <w:t>_________________</w:t>
      </w:r>
    </w:p>
    <w:p>
      <w:pPr>
        <w:spacing w:after="0" w:line="23" w:lineRule="exact"/>
        <w:rPr>
          <w:sz w:val="20"/>
          <w:szCs w:val="20"/>
          <w:color w:val="auto"/>
        </w:rPr>
      </w:pPr>
    </w:p>
    <w:p>
      <w:pPr>
        <w:ind w:left="2584"/>
        <w:spacing w:after="0"/>
        <w:tabs>
          <w:tab w:leader="none" w:pos="3223"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P. Myron</w:t>
      </w:r>
    </w:p>
    <w:p>
      <w:pPr>
        <w:spacing w:after="0" w:line="9" w:lineRule="exact"/>
        <w:rPr>
          <w:sz w:val="20"/>
          <w:szCs w:val="20"/>
          <w:color w:val="auto"/>
        </w:rPr>
      </w:pPr>
    </w:p>
    <w:p>
      <w:pPr>
        <w:ind w:left="2584"/>
        <w:spacing w:after="0"/>
        <w:tabs>
          <w:tab w:leader="none" w:pos="3143"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37" w:lineRule="exact"/>
        <w:rPr>
          <w:sz w:val="20"/>
          <w:szCs w:val="20"/>
          <w:color w:val="auto"/>
        </w:rPr>
      </w:pPr>
    </w:p>
    <w:p>
      <w:pPr>
        <w:ind w:left="2584"/>
        <w:spacing w:after="0"/>
        <w:rPr>
          <w:sz w:val="20"/>
          <w:szCs w:val="20"/>
          <w:color w:val="auto"/>
        </w:rPr>
      </w:pPr>
      <w:r>
        <w:rPr>
          <w:rFonts w:ascii="Arial" w:cs="Arial" w:eastAsia="Arial" w:hAnsi="Arial"/>
          <w:sz w:val="18"/>
          <w:szCs w:val="18"/>
          <w:b w:val="1"/>
          <w:bCs w:val="1"/>
          <w:color w:val="auto"/>
        </w:rPr>
        <w:t>JAMES RIVER GROUP, INC.</w:t>
      </w:r>
    </w:p>
    <w:p>
      <w:pPr>
        <w:spacing w:after="0" w:line="200" w:lineRule="exact"/>
        <w:rPr>
          <w:sz w:val="20"/>
          <w:szCs w:val="20"/>
          <w:color w:val="auto"/>
        </w:rPr>
      </w:pPr>
    </w:p>
    <w:p>
      <w:pPr>
        <w:spacing w:after="0" w:line="245"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 Robert P. Myron</w:t>
      </w:r>
      <w:r>
        <w:rPr>
          <w:rFonts w:ascii="Arial" w:cs="Arial" w:eastAsia="Arial" w:hAnsi="Arial"/>
          <w:sz w:val="18"/>
          <w:szCs w:val="18"/>
          <w:color w:val="auto"/>
        </w:rPr>
        <w:t>_________________</w:t>
      </w:r>
    </w:p>
    <w:p>
      <w:pPr>
        <w:spacing w:after="0" w:line="23" w:lineRule="exact"/>
        <w:rPr>
          <w:sz w:val="20"/>
          <w:szCs w:val="20"/>
          <w:color w:val="auto"/>
        </w:rPr>
      </w:pPr>
    </w:p>
    <w:p>
      <w:pPr>
        <w:ind w:left="2584"/>
        <w:spacing w:after="0"/>
        <w:tabs>
          <w:tab w:leader="none" w:pos="3223"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P. Myron</w:t>
      </w:r>
    </w:p>
    <w:p>
      <w:pPr>
        <w:spacing w:after="0" w:line="9" w:lineRule="exact"/>
        <w:rPr>
          <w:sz w:val="20"/>
          <w:szCs w:val="20"/>
          <w:color w:val="auto"/>
        </w:rPr>
      </w:pPr>
    </w:p>
    <w:p>
      <w:pPr>
        <w:ind w:left="2584"/>
        <w:spacing w:after="0"/>
        <w:tabs>
          <w:tab w:leader="none" w:pos="3143"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211"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37" w:lineRule="exact"/>
        <w:rPr>
          <w:sz w:val="20"/>
          <w:szCs w:val="20"/>
          <w:color w:val="auto"/>
        </w:rPr>
      </w:pPr>
    </w:p>
    <w:p>
      <w:pPr>
        <w:ind w:left="2584"/>
        <w:spacing w:after="0"/>
        <w:rPr>
          <w:sz w:val="20"/>
          <w:szCs w:val="20"/>
          <w:color w:val="auto"/>
        </w:rPr>
      </w:pPr>
      <w:r>
        <w:rPr>
          <w:rFonts w:ascii="Arial" w:cs="Arial" w:eastAsia="Arial" w:hAnsi="Arial"/>
          <w:sz w:val="18"/>
          <w:szCs w:val="18"/>
          <w:b w:val="1"/>
          <w:bCs w:val="1"/>
          <w:color w:val="auto"/>
        </w:rPr>
        <w:t>SARAH C. DORAN</w:t>
      </w:r>
    </w:p>
    <w:p>
      <w:pPr>
        <w:spacing w:after="0" w:line="200" w:lineRule="exact"/>
        <w:rPr>
          <w:sz w:val="20"/>
          <w:szCs w:val="20"/>
          <w:color w:val="auto"/>
        </w:rPr>
      </w:pPr>
    </w:p>
    <w:p>
      <w:pPr>
        <w:spacing w:after="0" w:line="245" w:lineRule="exact"/>
        <w:rPr>
          <w:sz w:val="20"/>
          <w:szCs w:val="20"/>
          <w:color w:val="auto"/>
        </w:rPr>
      </w:pPr>
    </w:p>
    <w:p>
      <w:pPr>
        <w:ind w:left="2584"/>
        <w:spacing w:after="0"/>
        <w:rPr>
          <w:sz w:val="20"/>
          <w:szCs w:val="20"/>
          <w:color w:val="auto"/>
        </w:rPr>
      </w:pPr>
      <w:r>
        <w:rPr>
          <w:rFonts w:ascii="Arial" w:cs="Arial" w:eastAsia="Arial" w:hAnsi="Arial"/>
          <w:sz w:val="18"/>
          <w:szCs w:val="18"/>
          <w:u w:val="single" w:color="auto"/>
          <w:color w:val="auto"/>
        </w:rPr>
        <w:t>/s/ Sarah C. Doran</w:t>
      </w:r>
      <w:r>
        <w:rPr>
          <w:rFonts w:ascii="Arial" w:cs="Arial" w:eastAsia="Arial" w:hAnsi="Arial"/>
          <w:sz w:val="18"/>
          <w:szCs w:val="18"/>
          <w:color w:val="auto"/>
        </w:rPr>
        <w:t>_______________________</w:t>
      </w:r>
    </w:p>
    <w:p>
      <w:pPr>
        <w:spacing w:after="0" w:line="225"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0644"/>
          </w:cols>
          <w:pgMar w:left="896" w:top="611"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Robert P. Myron,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P. Myron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610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September 30, 2018 as filed with the Securities and Exchange Commission on the date hereof (the “Report”), we, Robert P. Myron, President and Chief Executive Officer of the Company, and Sarah C. Doran, Chief Financial Officer of the Company, certify, to the best of our knowledge, pursuant to 18 U.S.C. §1350, as adopted pursuant to §906 of the Sarbanes-Oxley Act of 2002, that:</w:t>
      </w:r>
    </w:p>
    <w:p>
      <w:pPr>
        <w:spacing w:after="0" w:line="214" w:lineRule="exact"/>
        <w:rPr>
          <w:sz w:val="20"/>
          <w:szCs w:val="20"/>
          <w:color w:val="auto"/>
        </w:rPr>
      </w:pPr>
    </w:p>
    <w:p>
      <w:pPr>
        <w:ind w:left="860" w:hanging="852"/>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P. Myron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November 8,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November 8,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2"/>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7"/>
    </w:lvl>
  </w:abstractNum>
  <w:abstractNum w:abstractNumId="9">
    <w:nsid w:val="62BBD95A"/>
    <w:multiLevelType w:val="hybridMultilevel"/>
    <w:lvl w:ilvl="0">
      <w:lvlJc w:val="left"/>
      <w:lvlText w:val="%1."/>
      <w:numFmt w:val="decimal"/>
      <w:start w:val="9"/>
    </w:lvl>
  </w:abstractNum>
  <w:abstractNum w:abstractNumId="10">
    <w:nsid w:val="436C6125"/>
    <w:multiLevelType w:val="hybridMultilevel"/>
    <w:lvl w:ilvl="0">
      <w:lvlJc w:val="left"/>
      <w:lvlText w:val="(%1)"/>
      <w:numFmt w:val="decimal"/>
      <w:start w:val="2"/>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Letter"/>
      <w:start w:val="1"/>
    </w:lvl>
    <w:lvl w:ilvl="1">
      <w:lvlJc w:val="left"/>
      <w:lvlText w:val="(%2)"/>
      <w:numFmt w:val="decimal"/>
      <w:start w:val="24"/>
    </w:lvl>
  </w:abstractNum>
  <w:abstractNum w:abstractNumId="24">
    <w:nsid w:val="71F32454"/>
    <w:multiLevelType w:val="hybridMultilevel"/>
    <w:lvl w:ilvl="0">
      <w:lvlJc w:val="left"/>
      <w:lvlText w:val="(%1)"/>
      <w:numFmt w:val="lowerLetter"/>
      <w:start w:val="3"/>
    </w:lvl>
    <w:lvl w:ilvl="1">
      <w:lvlJc w:val="left"/>
      <w:lvlText w:val="%2"/>
      <w:numFmt w:val="decimal"/>
      <w:start w:val="1"/>
    </w:lvl>
  </w:abstractNum>
  <w:abstractNum w:abstractNumId="25">
    <w:nsid w:val="2CA88611"/>
    <w:multiLevelType w:val="hybridMultilevel"/>
    <w:lvl w:ilvl="0">
      <w:lvlJc w:val="left"/>
      <w:lvlText w:val="%1."/>
      <w:numFmt w:val="lowerRoman"/>
      <w:start w:val="1"/>
    </w:lvl>
  </w:abstractNum>
  <w:abstractNum w:abstractNumId="26">
    <w:nsid w:val="836C40E"/>
    <w:multiLevelType w:val="hybridMultilevel"/>
    <w:lvl w:ilvl="0">
      <w:lvlJc w:val="left"/>
      <w:lvlText w:val="%1."/>
      <w:numFmt w:val="decimal"/>
      <w:start w:val="3"/>
    </w:lvl>
    <w:lvl w:ilvl="1">
      <w:lvlJc w:val="left"/>
      <w:lvlText w:val="(%2)"/>
      <w:numFmt w:val="lowerLetter"/>
      <w:start w:val="2"/>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20" Type="http://schemas.openxmlformats.org/officeDocument/2006/relationships/hyperlink" Target="http://www.sec.gov/Archives/edgar/data/1620459/000157104914005924/t1401933_ex3-1.htm" TargetMode="External"/><Relationship Id="rId21" Type="http://schemas.openxmlformats.org/officeDocument/2006/relationships/hyperlink" Target="http://www.sec.gov/Archives/edgar/data/1620459/000157104914005924/t1401933_ex3-2.htm" TargetMode="External"/><Relationship Id="rId22" Type="http://schemas.openxmlformats.org/officeDocument/2006/relationships/hyperlink" Target="http://www.sec.gov/Archives/edgar/data/1620459/000157104914005924/t1401933_ex3-3.htm" TargetMode="External"/><Relationship Id="rId23" Type="http://schemas.openxmlformats.org/officeDocument/2006/relationships/hyperlink" Target="http://www.sec.gov/Archives/edgar/data/1620459/000157104914005924/t1401933_ex3-4.htm" TargetMode="External"/><Relationship Id="rId24" Type="http://schemas.openxmlformats.org/officeDocument/2006/relationships/hyperlink" Target="http://www.sec.gov/Archives/edgar/data/1620459/000157104914005924/t1401933_ex3-5.htm" TargetMode="External"/><Relationship Id="rId25" Type="http://schemas.openxmlformats.org/officeDocument/2006/relationships/hyperlink" Target="http://www.sec.gov/Archives/edgar/data/1620459/000157104915001874/t1500493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2019-12-28T18:01:02Z</dcterms:created>
  <dcterms:modified xsi:type="dcterms:W3CDTF">2019-12-28T18:01:02Z</dcterms:modified>
</cp:coreProperties>
</file>