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232410</wp:posOffset>
            </wp:positionH>
            <wp:positionV relativeFrom="page">
              <wp:posOffset>417195</wp:posOffset>
            </wp:positionV>
            <wp:extent cx="70929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2950" cy="8255"/>
                    </a:xfrm>
                    <a:prstGeom prst="rect">
                      <a:avLst/>
                    </a:prstGeom>
                    <a:noFill/>
                  </pic:spPr>
                </pic:pic>
              </a:graphicData>
            </a:graphic>
          </wp:anchor>
        </w:drawing>
        <w:drawing>
          <wp:anchor simplePos="0" relativeHeight="251657728" behindDoc="1" locked="0" layoutInCell="0" allowOverlap="1">
            <wp:simplePos x="0" y="0"/>
            <wp:positionH relativeFrom="page">
              <wp:posOffset>232410</wp:posOffset>
            </wp:positionH>
            <wp:positionV relativeFrom="page">
              <wp:posOffset>375285</wp:posOffset>
            </wp:positionV>
            <wp:extent cx="709295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2950" cy="16510"/>
                    </a:xfrm>
                    <a:prstGeom prst="rect">
                      <a:avLst/>
                    </a:prstGeom>
                    <a:noFill/>
                  </pic:spPr>
                </pic:pic>
              </a:graphicData>
            </a:graphic>
          </wp:anchor>
        </w:drawing>
        <w:t>UNITED STATES</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91" w:lineRule="exact"/>
        <w:rPr>
          <w:sz w:val="24"/>
          <w:szCs w:val="24"/>
          <w:color w:val="auto"/>
        </w:rPr>
      </w:pPr>
    </w:p>
    <w:p>
      <w:pPr>
        <w:ind w:left="740" w:right="380" w:hanging="716"/>
        <w:spacing w:after="0" w:line="289" w:lineRule="auto"/>
        <w:tabs>
          <w:tab w:leader="none" w:pos="7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 for the quarterly period ended June 30, 2024</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3" w:lineRule="exact"/>
        <w:rPr>
          <w:sz w:val="24"/>
          <w:szCs w:val="24"/>
          <w:color w:val="auto"/>
        </w:rPr>
      </w:pPr>
    </w:p>
    <w:p>
      <w:pPr>
        <w:ind w:left="740" w:right="320" w:hanging="716"/>
        <w:spacing w:after="0" w:line="289" w:lineRule="auto"/>
        <w:tabs>
          <w:tab w:leader="none" w:pos="74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 for the transition period from _______ to _______</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001-36777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JAMES RIVER GROUP HOLDINGS,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52705</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55" w:lineRule="exact"/>
        <w:rPr>
          <w:sz w:val="24"/>
          <w:szCs w:val="24"/>
          <w:color w:val="auto"/>
        </w:rPr>
      </w:pPr>
    </w:p>
    <w:tbl>
      <w:tblPr>
        <w:tblLayout w:type="fixed"/>
        <w:tblInd w:w="1740" w:type="dxa"/>
        <w:tblCellMar>
          <w:top w:w="0" w:type="dxa"/>
          <w:left w:w="0" w:type="dxa"/>
          <w:bottom w:w="0" w:type="dxa"/>
          <w:right w:w="0" w:type="dxa"/>
        </w:tblCellMar>
      </w:tblPr>
      <w:tr>
        <w:trPr>
          <w:trHeight w:val="233"/>
        </w:trPr>
        <w:tc>
          <w:tcPr>
            <w:tcW w:w="1900" w:type="dxa"/>
            <w:vAlign w:val="bottom"/>
          </w:tcPr>
          <w:p>
            <w:pPr>
              <w:spacing w:after="0"/>
              <w:rPr>
                <w:sz w:val="20"/>
                <w:szCs w:val="20"/>
                <w:color w:val="auto"/>
              </w:rPr>
            </w:pPr>
          </w:p>
        </w:tc>
        <w:tc>
          <w:tcPr>
            <w:tcW w:w="5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239"/>
        </w:trPr>
        <w:tc>
          <w:tcPr>
            <w:tcW w:w="1900" w:type="dxa"/>
            <w:vAlign w:val="bottom"/>
          </w:tcPr>
          <w:p>
            <w:pPr>
              <w:jc w:val="center"/>
              <w:ind w:right="3"/>
              <w:spacing w:after="0"/>
              <w:rPr>
                <w:sz w:val="20"/>
                <w:szCs w:val="20"/>
                <w:color w:val="auto"/>
              </w:rPr>
            </w:pPr>
            <w:r>
              <w:rPr>
                <w:rFonts w:ascii="Times New Roman" w:cs="Times New Roman" w:eastAsia="Times New Roman" w:hAnsi="Times New Roman"/>
                <w:sz w:val="18"/>
                <w:szCs w:val="18"/>
                <w:b w:val="1"/>
                <w:bCs w:val="1"/>
                <w:color w:val="auto"/>
                <w:w w:val="97"/>
              </w:rPr>
              <w:t>Bermuda</w:t>
            </w:r>
          </w:p>
        </w:tc>
        <w:tc>
          <w:tcPr>
            <w:tcW w:w="5520" w:type="dxa"/>
            <w:vAlign w:val="bottom"/>
          </w:tcPr>
          <w:p>
            <w:pPr>
              <w:jc w:val="center"/>
              <w:ind w:left="4281"/>
              <w:spacing w:after="0"/>
              <w:rPr>
                <w:sz w:val="20"/>
                <w:szCs w:val="20"/>
                <w:color w:val="auto"/>
              </w:rPr>
            </w:pPr>
            <w:r>
              <w:rPr>
                <w:rFonts w:ascii="Times New Roman" w:cs="Times New Roman" w:eastAsia="Times New Roman" w:hAnsi="Times New Roman"/>
                <w:sz w:val="18"/>
                <w:szCs w:val="18"/>
                <w:b w:val="1"/>
                <w:bCs w:val="1"/>
                <w:color w:val="auto"/>
                <w:w w:val="96"/>
              </w:rPr>
              <w:t>98-0585280</w:t>
            </w:r>
          </w:p>
        </w:tc>
      </w:tr>
      <w:tr>
        <w:trPr>
          <w:trHeight w:val="144"/>
        </w:trPr>
        <w:tc>
          <w:tcPr>
            <w:tcW w:w="19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520" w:type="dxa"/>
            <w:vAlign w:val="bottom"/>
          </w:tcPr>
          <w:p>
            <w:pPr>
              <w:jc w:val="center"/>
              <w:ind w:left="4301"/>
              <w:spacing w:after="0" w:line="144"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520" w:type="dxa"/>
            <w:vAlign w:val="bottom"/>
          </w:tcPr>
          <w:p>
            <w:pPr>
              <w:jc w:val="center"/>
              <w:ind w:left="43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Clarendon House, 2 Church Street, Hamilton, Pembroke HM11, Bermuda</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(441) 295-1422</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1" w:lineRule="exact"/>
        <w:rPr>
          <w:sz w:val="24"/>
          <w:szCs w:val="24"/>
          <w:color w:val="auto"/>
        </w:rPr>
      </w:pPr>
    </w:p>
    <w:tbl>
      <w:tblPr>
        <w:tblLayout w:type="fixed"/>
        <w:tblInd w:w="130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34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0" w:type="dxa"/>
            <w:vAlign w:val="bottom"/>
          </w:tcPr>
          <w:p>
            <w:pPr>
              <w:spacing w:after="0"/>
              <w:rPr>
                <w:sz w:val="18"/>
                <w:szCs w:val="18"/>
                <w:color w:val="auto"/>
              </w:rPr>
            </w:pPr>
          </w:p>
        </w:tc>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Names of each exchange on which registered</w:t>
            </w:r>
          </w:p>
        </w:tc>
      </w:tr>
      <w:tr>
        <w:trPr>
          <w:trHeight w:val="286"/>
        </w:trPr>
        <w:tc>
          <w:tcPr>
            <w:tcW w:w="36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8"/>
              </w:rPr>
              <w:t>Common Shares, par value $0.0002 per share</w:t>
            </w:r>
          </w:p>
        </w:tc>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5"/>
              </w:rPr>
              <w:t>JRVR</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06" w:lineRule="exact"/>
        <w:rPr>
          <w:sz w:val="24"/>
          <w:szCs w:val="24"/>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7" w:lineRule="exact"/>
        <w:rPr>
          <w:sz w:val="24"/>
          <w:szCs w:val="24"/>
          <w:color w:val="auto"/>
        </w:rPr>
      </w:pPr>
    </w:p>
    <w:p>
      <w:pPr>
        <w:ind w:left="20"/>
        <w:spacing w:after="0" w:line="184" w:lineRule="exact"/>
        <w:tabs>
          <w:tab w:leader="none" w:pos="1920" w:val="left"/>
          <w:tab w:leader="none" w:pos="3660" w:val="left"/>
          <w:tab w:leader="none" w:pos="5720" w:val="left"/>
          <w:tab w:leader="none" w:pos="8340" w:val="left"/>
          <w:tab w:leader="none" w:pos="1100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Wingdings" w:cs="Wingdings" w:eastAsia="Wingdings" w:hAnsi="Wingdings"/>
          <w:sz w:val="16"/>
          <w:szCs w:val="16"/>
          <w:b w:val="1"/>
          <w:bCs w:val="1"/>
          <w:color w:val="auto"/>
        </w:rPr>
        <w:t xml:space="preserve">x </w:t>
      </w:r>
      <w:r>
        <w:rPr>
          <w:rFonts w:ascii="Times New Roman" w:cs="Times New Roman" w:eastAsia="Times New Roman" w:hAnsi="Times New Roman"/>
          <w:sz w:val="16"/>
          <w:szCs w:val="16"/>
          <w:color w:val="auto"/>
        </w:rPr>
        <w:t>Accelerated filer</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Smaller reporting company</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45"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7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the registrant's common shares outstanding at August 5, 2024: 37,825,767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439420</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107315</wp:posOffset>
            </wp:positionV>
            <wp:extent cx="713486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81915</wp:posOffset>
            </wp:positionV>
            <wp:extent cx="7134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72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10460" w:type="dxa"/>
            <w:vAlign w:val="bottom"/>
            <w:gridSpan w:val="2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0000FF"/>
              </w:rPr>
              <w:t>PART I. FINANCIAL INFORMATION</w:t>
            </w: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920" w:type="dxa"/>
            <w:vAlign w:val="bottom"/>
            <w:gridSpan w:val="4"/>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Item 1.</w:t>
            </w:r>
          </w:p>
        </w:tc>
        <w:tc>
          <w:tcPr>
            <w:tcW w:w="9540" w:type="dxa"/>
            <w:vAlign w:val="bottom"/>
            <w:gridSpan w:val="18"/>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Financial Statements</w:t>
            </w:r>
          </w:p>
        </w:tc>
        <w:tc>
          <w:tcPr>
            <w:tcW w:w="3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540" w:type="dxa"/>
            <w:vAlign w:val="bottom"/>
            <w:gridSpan w:val="18"/>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Condensed Consolidated Balance Sheets—June 30, 2024 and December 31, 2023</w:t>
            </w:r>
          </w:p>
        </w:tc>
        <w:tc>
          <w:tcPr>
            <w:tcW w:w="440" w:type="dxa"/>
            <w:vAlign w:val="bottom"/>
            <w:tcBorders>
              <w:right w:val="single" w:sz="8" w:color="CCEEFF"/>
            </w:tcBorders>
            <w:gridSpan w:val="3"/>
            <w:shd w:val="clear" w:color="auto" w:fill="CCEEFF"/>
          </w:tcPr>
          <w:p>
            <w:pPr>
              <w:jc w:val="center"/>
              <w:ind w:left="154"/>
              <w:spacing w:after="0" w:line="186" w:lineRule="exact"/>
              <w:rPr>
                <w:sz w:val="20"/>
                <w:szCs w:val="20"/>
                <w:color w:val="auto"/>
              </w:rPr>
            </w:pPr>
            <w:r>
              <w:rPr>
                <w:rFonts w:ascii="Times New Roman" w:cs="Times New Roman" w:eastAsia="Times New Roman" w:hAnsi="Times New Roman"/>
                <w:sz w:val="18"/>
                <w:szCs w:val="18"/>
                <w:color w:val="0000FF"/>
                <w:w w:val="88"/>
              </w:rPr>
              <w:t>5</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500" w:type="dxa"/>
            <w:vAlign w:val="bottom"/>
            <w:tcBorders>
              <w:top w:val="single" w:sz="8" w:color="0000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540" w:type="dxa"/>
            <w:vAlign w:val="bottom"/>
            <w:gridSpan w:val="18"/>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w w:val="98"/>
              </w:rPr>
              <w:t>Condensed Consolidated Statements of Income and Comprehensive Income (Loss)—Three and Six Months Ended June 30, 2024 and</w:t>
            </w:r>
          </w:p>
        </w:tc>
        <w:tc>
          <w:tcPr>
            <w:tcW w:w="440" w:type="dxa"/>
            <w:vAlign w:val="bottom"/>
            <w:tcBorders>
              <w:right w:val="single" w:sz="8" w:color="CCEEFF"/>
            </w:tcBorders>
            <w:gridSpan w:val="3"/>
            <w:vMerge w:val="restart"/>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0000FF"/>
                <w:w w:val="88"/>
              </w:rPr>
              <w:t>7</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0000FF"/>
              <w:bottom w:val="single" w:sz="8" w:color="0000FF"/>
            </w:tcBorders>
            <w:shd w:val="clear" w:color="auto" w:fill="CCEEFF"/>
          </w:tcPr>
          <w:p>
            <w:pPr>
              <w:spacing w:after="0" w:line="139" w:lineRule="exact"/>
              <w:rPr>
                <w:sz w:val="20"/>
                <w:szCs w:val="20"/>
                <w:color w:val="auto"/>
              </w:rPr>
            </w:pPr>
            <w:r>
              <w:rPr>
                <w:rFonts w:ascii="Times New Roman" w:cs="Times New Roman" w:eastAsia="Times New Roman" w:hAnsi="Times New Roman"/>
                <w:sz w:val="15"/>
                <w:szCs w:val="15"/>
                <w:color w:val="0000FF"/>
              </w:rPr>
              <w:t>2023</w:t>
            </w:r>
          </w:p>
        </w:tc>
        <w:tc>
          <w:tcPr>
            <w:tcW w:w="220" w:type="dxa"/>
            <w:vAlign w:val="bottom"/>
            <w:tcBorders>
              <w:top w:val="single" w:sz="8" w:color="0000FF"/>
              <w:bottom w:val="single" w:sz="8" w:color="CCEEFF"/>
            </w:tcBorders>
            <w:shd w:val="clear" w:color="auto" w:fill="CCEEFF"/>
          </w:tcPr>
          <w:p>
            <w:pPr>
              <w:spacing w:after="0"/>
              <w:rPr>
                <w:sz w:val="16"/>
                <w:szCs w:val="16"/>
                <w:color w:val="auto"/>
              </w:rPr>
            </w:pPr>
          </w:p>
        </w:tc>
        <w:tc>
          <w:tcPr>
            <w:tcW w:w="300" w:type="dxa"/>
            <w:vAlign w:val="bottom"/>
            <w:tcBorders>
              <w:top w:val="single" w:sz="8" w:color="0000FF"/>
              <w:bottom w:val="single" w:sz="8" w:color="CCEEFF"/>
            </w:tcBorders>
            <w:shd w:val="clear" w:color="auto" w:fill="CCEEFF"/>
          </w:tcPr>
          <w:p>
            <w:pPr>
              <w:spacing w:after="0"/>
              <w:rPr>
                <w:sz w:val="16"/>
                <w:szCs w:val="16"/>
                <w:color w:val="auto"/>
              </w:rPr>
            </w:pPr>
          </w:p>
        </w:tc>
        <w:tc>
          <w:tcPr>
            <w:tcW w:w="400" w:type="dxa"/>
            <w:vAlign w:val="bottom"/>
            <w:tcBorders>
              <w:top w:val="single" w:sz="8" w:color="0000FF"/>
              <w:bottom w:val="single" w:sz="8" w:color="CCEEFF"/>
            </w:tcBorders>
            <w:shd w:val="clear" w:color="auto" w:fill="CCEEFF"/>
          </w:tcPr>
          <w:p>
            <w:pPr>
              <w:spacing w:after="0"/>
              <w:rPr>
                <w:sz w:val="16"/>
                <w:szCs w:val="16"/>
                <w:color w:val="auto"/>
              </w:rPr>
            </w:pPr>
          </w:p>
        </w:tc>
        <w:tc>
          <w:tcPr>
            <w:tcW w:w="200" w:type="dxa"/>
            <w:vAlign w:val="bottom"/>
            <w:tcBorders>
              <w:top w:val="single" w:sz="8" w:color="0000FF"/>
              <w:left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0000FF"/>
              <w:bottom w:val="single" w:sz="8" w:color="CCEEFF"/>
            </w:tcBorders>
            <w:shd w:val="clear" w:color="auto" w:fill="CCEEFF"/>
          </w:tcPr>
          <w:p>
            <w:pPr>
              <w:spacing w:after="0"/>
              <w:rPr>
                <w:sz w:val="16"/>
                <w:szCs w:val="16"/>
                <w:color w:val="auto"/>
              </w:rPr>
            </w:pPr>
          </w:p>
        </w:tc>
        <w:tc>
          <w:tcPr>
            <w:tcW w:w="140" w:type="dxa"/>
            <w:vAlign w:val="bottom"/>
            <w:tcBorders>
              <w:top w:val="single" w:sz="8" w:color="0000FF"/>
              <w:bottom w:val="single" w:sz="8" w:color="CCEEFF"/>
            </w:tcBorders>
            <w:shd w:val="clear" w:color="auto" w:fill="CCEEFF"/>
          </w:tcPr>
          <w:p>
            <w:pPr>
              <w:spacing w:after="0"/>
              <w:rPr>
                <w:sz w:val="16"/>
                <w:szCs w:val="16"/>
                <w:color w:val="auto"/>
              </w:rPr>
            </w:pPr>
          </w:p>
        </w:tc>
        <w:tc>
          <w:tcPr>
            <w:tcW w:w="180" w:type="dxa"/>
            <w:vAlign w:val="bottom"/>
            <w:tcBorders>
              <w:top w:val="single" w:sz="8" w:color="0000FF"/>
              <w:bottom w:val="single" w:sz="8" w:color="CCEEFF"/>
            </w:tcBorders>
            <w:shd w:val="clear" w:color="auto" w:fill="CCEEFF"/>
          </w:tcPr>
          <w:p>
            <w:pPr>
              <w:spacing w:after="0"/>
              <w:rPr>
                <w:sz w:val="16"/>
                <w:szCs w:val="16"/>
                <w:color w:val="auto"/>
              </w:rPr>
            </w:pPr>
          </w:p>
        </w:tc>
        <w:tc>
          <w:tcPr>
            <w:tcW w:w="360" w:type="dxa"/>
            <w:vAlign w:val="bottom"/>
            <w:tcBorders>
              <w:top w:val="single" w:sz="8" w:color="0000FF"/>
              <w:bottom w:val="single" w:sz="8" w:color="CCEEFF"/>
            </w:tcBorders>
            <w:shd w:val="clear" w:color="auto" w:fill="CCEEFF"/>
          </w:tcPr>
          <w:p>
            <w:pPr>
              <w:spacing w:after="0"/>
              <w:rPr>
                <w:sz w:val="16"/>
                <w:szCs w:val="16"/>
                <w:color w:val="auto"/>
              </w:rPr>
            </w:pPr>
          </w:p>
        </w:tc>
        <w:tc>
          <w:tcPr>
            <w:tcW w:w="740" w:type="dxa"/>
            <w:vAlign w:val="bottom"/>
            <w:tcBorders>
              <w:top w:val="single" w:sz="8" w:color="0000FF"/>
              <w:bottom w:val="single" w:sz="8" w:color="CCEEFF"/>
            </w:tcBorders>
            <w:shd w:val="clear" w:color="auto" w:fill="CCEEFF"/>
          </w:tcPr>
          <w:p>
            <w:pPr>
              <w:spacing w:after="0"/>
              <w:rPr>
                <w:sz w:val="16"/>
                <w:szCs w:val="16"/>
                <w:color w:val="auto"/>
              </w:rPr>
            </w:pPr>
          </w:p>
        </w:tc>
        <w:tc>
          <w:tcPr>
            <w:tcW w:w="900" w:type="dxa"/>
            <w:vAlign w:val="bottom"/>
            <w:tcBorders>
              <w:top w:val="single" w:sz="8" w:color="0000FF"/>
              <w:bottom w:val="single" w:sz="8" w:color="CCEEFF"/>
            </w:tcBorders>
            <w:shd w:val="clear" w:color="auto" w:fill="CCEEFF"/>
          </w:tcPr>
          <w:p>
            <w:pPr>
              <w:spacing w:after="0"/>
              <w:rPr>
                <w:sz w:val="16"/>
                <w:szCs w:val="16"/>
                <w:color w:val="auto"/>
              </w:rPr>
            </w:pPr>
          </w:p>
        </w:tc>
        <w:tc>
          <w:tcPr>
            <w:tcW w:w="360" w:type="dxa"/>
            <w:vAlign w:val="bottom"/>
            <w:tcBorders>
              <w:top w:val="single" w:sz="8" w:color="0000FF"/>
              <w:bottom w:val="single" w:sz="8" w:color="CCEEFF"/>
              <w:right w:val="single" w:sz="8" w:color="CCEEFF"/>
            </w:tcBorders>
            <w:shd w:val="clear" w:color="auto" w:fill="CCEEFF"/>
          </w:tcPr>
          <w:p>
            <w:pPr>
              <w:spacing w:after="0"/>
              <w:rPr>
                <w:sz w:val="16"/>
                <w:szCs w:val="16"/>
                <w:color w:val="auto"/>
              </w:rPr>
            </w:pPr>
          </w:p>
        </w:tc>
        <w:tc>
          <w:tcPr>
            <w:tcW w:w="1500" w:type="dxa"/>
            <w:vAlign w:val="bottom"/>
            <w:tcBorders>
              <w:top w:val="single" w:sz="8" w:color="0000FF"/>
              <w:bottom w:val="single" w:sz="8" w:color="CCEEFF"/>
            </w:tcBorders>
            <w:shd w:val="clear" w:color="auto" w:fill="CCEEFF"/>
          </w:tcPr>
          <w:p>
            <w:pPr>
              <w:spacing w:after="0"/>
              <w:rPr>
                <w:sz w:val="16"/>
                <w:szCs w:val="16"/>
                <w:color w:val="auto"/>
              </w:rPr>
            </w:pPr>
          </w:p>
        </w:tc>
        <w:tc>
          <w:tcPr>
            <w:tcW w:w="540" w:type="dxa"/>
            <w:vAlign w:val="bottom"/>
            <w:tcBorders>
              <w:top w:val="single" w:sz="8" w:color="0000FF"/>
              <w:bottom w:val="single" w:sz="8" w:color="CCEEFF"/>
            </w:tcBorders>
            <w:shd w:val="clear" w:color="auto" w:fill="CCEEFF"/>
          </w:tcPr>
          <w:p>
            <w:pPr>
              <w:spacing w:after="0"/>
              <w:rPr>
                <w:sz w:val="16"/>
                <w:szCs w:val="16"/>
                <w:color w:val="auto"/>
              </w:rPr>
            </w:pPr>
          </w:p>
        </w:tc>
        <w:tc>
          <w:tcPr>
            <w:tcW w:w="540" w:type="dxa"/>
            <w:vAlign w:val="bottom"/>
            <w:tcBorders>
              <w:top w:val="single" w:sz="8" w:color="0000FF"/>
              <w:bottom w:val="single" w:sz="8" w:color="CCEEFF"/>
            </w:tcBorders>
            <w:shd w:val="clear" w:color="auto" w:fill="CCEEFF"/>
          </w:tcPr>
          <w:p>
            <w:pPr>
              <w:spacing w:after="0"/>
              <w:rPr>
                <w:sz w:val="16"/>
                <w:szCs w:val="16"/>
                <w:color w:val="auto"/>
              </w:rPr>
            </w:pPr>
          </w:p>
        </w:tc>
        <w:tc>
          <w:tcPr>
            <w:tcW w:w="2260" w:type="dxa"/>
            <w:vAlign w:val="bottom"/>
            <w:tcBorders>
              <w:top w:val="single" w:sz="8" w:color="0000FF"/>
              <w:bottom w:val="single" w:sz="8" w:color="CCEEFF"/>
            </w:tcBorders>
            <w:shd w:val="clear" w:color="auto" w:fill="CCEEFF"/>
          </w:tcPr>
          <w:p>
            <w:pPr>
              <w:spacing w:after="0"/>
              <w:rPr>
                <w:sz w:val="16"/>
                <w:szCs w:val="16"/>
                <w:color w:val="auto"/>
              </w:rPr>
            </w:pPr>
          </w:p>
        </w:tc>
        <w:tc>
          <w:tcPr>
            <w:tcW w:w="320" w:type="dxa"/>
            <w:vAlign w:val="bottom"/>
            <w:tcBorders>
              <w:top w:val="single" w:sz="8" w:color="0000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CCEEFF"/>
              <w:bottom w:val="single" w:sz="8" w:color="CCEEFF"/>
              <w:right w:val="single" w:sz="8" w:color="CCEEFF"/>
            </w:tcBorders>
            <w:gridSpan w:val="3"/>
            <w:vMerge w:val="continue"/>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540" w:type="dxa"/>
            <w:vAlign w:val="bottom"/>
            <w:gridSpan w:val="18"/>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Condensed Consolidated Statements of Changes in Shareholders’ Equity—Three and Six Months Ended June 30, 2024 and 2023</w:t>
            </w:r>
          </w:p>
        </w:tc>
        <w:tc>
          <w:tcPr>
            <w:tcW w:w="440" w:type="dxa"/>
            <w:vAlign w:val="bottom"/>
            <w:tcBorders>
              <w:right w:val="single" w:sz="8" w:color="CCEEFF"/>
            </w:tcBorders>
            <w:gridSpan w:val="3"/>
            <w:shd w:val="clear" w:color="auto" w:fill="CCEEFF"/>
          </w:tcPr>
          <w:p>
            <w:pPr>
              <w:jc w:val="center"/>
              <w:ind w:left="154"/>
              <w:spacing w:after="0" w:line="186" w:lineRule="exact"/>
              <w:rPr>
                <w:sz w:val="20"/>
                <w:szCs w:val="20"/>
                <w:color w:val="auto"/>
              </w:rPr>
            </w:pPr>
            <w:r>
              <w:rPr>
                <w:rFonts w:ascii="Times New Roman" w:cs="Times New Roman" w:eastAsia="Times New Roman" w:hAnsi="Times New Roman"/>
                <w:sz w:val="18"/>
                <w:szCs w:val="18"/>
                <w:color w:val="0000FF"/>
                <w:w w:val="88"/>
              </w:rPr>
              <w:t>8</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50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22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540" w:type="dxa"/>
            <w:vAlign w:val="bottom"/>
            <w:gridSpan w:val="18"/>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Condensed Consolidated Statements of Cash Flows—Six Months Ended June 30, 2024 and 2023</w:t>
            </w:r>
          </w:p>
        </w:tc>
        <w:tc>
          <w:tcPr>
            <w:tcW w:w="440" w:type="dxa"/>
            <w:vAlign w:val="bottom"/>
            <w:tcBorders>
              <w:right w:val="single" w:sz="8" w:color="CCEEFF"/>
            </w:tcBorders>
            <w:gridSpan w:val="3"/>
            <w:shd w:val="clear" w:color="auto" w:fill="CCEEFF"/>
          </w:tcPr>
          <w:p>
            <w:pPr>
              <w:jc w:val="center"/>
              <w:ind w:left="174"/>
              <w:spacing w:after="0" w:line="186" w:lineRule="exact"/>
              <w:rPr>
                <w:sz w:val="20"/>
                <w:szCs w:val="20"/>
                <w:color w:val="auto"/>
              </w:rPr>
            </w:pPr>
            <w:r>
              <w:rPr>
                <w:rFonts w:ascii="Times New Roman" w:cs="Times New Roman" w:eastAsia="Times New Roman" w:hAnsi="Times New Roman"/>
                <w:sz w:val="18"/>
                <w:szCs w:val="18"/>
                <w:color w:val="0000FF"/>
                <w:w w:val="99"/>
              </w:rPr>
              <w:t>10</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50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2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540" w:type="dxa"/>
            <w:vAlign w:val="bottom"/>
            <w:gridSpan w:val="18"/>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40" w:type="dxa"/>
            <w:vAlign w:val="bottom"/>
            <w:tcBorders>
              <w:right w:val="single" w:sz="8" w:color="CCEEFF"/>
            </w:tcBorders>
            <w:gridSpan w:val="3"/>
            <w:shd w:val="clear" w:color="auto" w:fill="CCEEFF"/>
          </w:tcPr>
          <w:p>
            <w:pPr>
              <w:jc w:val="center"/>
              <w:ind w:left="154"/>
              <w:spacing w:after="0" w:line="186" w:lineRule="exact"/>
              <w:rPr>
                <w:sz w:val="20"/>
                <w:szCs w:val="20"/>
                <w:color w:val="auto"/>
              </w:rPr>
            </w:pPr>
            <w:r>
              <w:rPr>
                <w:rFonts w:ascii="Times New Roman" w:cs="Times New Roman" w:eastAsia="Times New Roman" w:hAnsi="Times New Roman"/>
                <w:sz w:val="18"/>
                <w:szCs w:val="18"/>
                <w:color w:val="0000FF"/>
                <w:w w:val="88"/>
              </w:rPr>
              <w:t>11</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920" w:type="dxa"/>
            <w:vAlign w:val="bottom"/>
            <w:gridSpan w:val="4"/>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Item 2.</w:t>
            </w:r>
          </w:p>
        </w:tc>
        <w:tc>
          <w:tcPr>
            <w:tcW w:w="9540" w:type="dxa"/>
            <w:vAlign w:val="bottom"/>
            <w:gridSpan w:val="18"/>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440" w:type="dxa"/>
            <w:vAlign w:val="bottom"/>
            <w:tcBorders>
              <w:right w:val="single" w:sz="8" w:color="CCEEFF"/>
            </w:tcBorders>
            <w:gridSpan w:val="3"/>
            <w:shd w:val="clear" w:color="auto" w:fill="CCEEFF"/>
          </w:tcPr>
          <w:p>
            <w:pPr>
              <w:jc w:val="center"/>
              <w:ind w:left="174"/>
              <w:spacing w:after="0" w:line="186" w:lineRule="exact"/>
              <w:rPr>
                <w:sz w:val="20"/>
                <w:szCs w:val="20"/>
                <w:color w:val="auto"/>
              </w:rPr>
            </w:pPr>
            <w:r>
              <w:rPr>
                <w:rFonts w:ascii="Times New Roman" w:cs="Times New Roman" w:eastAsia="Times New Roman" w:hAnsi="Times New Roman"/>
                <w:sz w:val="18"/>
                <w:szCs w:val="18"/>
                <w:color w:val="0000FF"/>
                <w:w w:val="99"/>
              </w:rPr>
              <w:t>38</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50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540" w:type="dxa"/>
            <w:vAlign w:val="bottom"/>
            <w:gridSpan w:val="18"/>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Critical Accounting Policies and Estimates</w:t>
            </w:r>
          </w:p>
        </w:tc>
        <w:tc>
          <w:tcPr>
            <w:tcW w:w="440" w:type="dxa"/>
            <w:vAlign w:val="bottom"/>
            <w:tcBorders>
              <w:right w:val="single" w:sz="8" w:color="CCEEFF"/>
            </w:tcBorders>
            <w:gridSpan w:val="3"/>
            <w:shd w:val="clear" w:color="auto" w:fill="CCEEFF"/>
          </w:tcPr>
          <w:p>
            <w:pPr>
              <w:jc w:val="center"/>
              <w:ind w:left="174"/>
              <w:spacing w:after="0" w:line="186" w:lineRule="exact"/>
              <w:rPr>
                <w:sz w:val="20"/>
                <w:szCs w:val="20"/>
                <w:color w:val="auto"/>
              </w:rPr>
            </w:pPr>
            <w:r>
              <w:rPr>
                <w:rFonts w:ascii="Times New Roman" w:cs="Times New Roman" w:eastAsia="Times New Roman" w:hAnsi="Times New Roman"/>
                <w:sz w:val="18"/>
                <w:szCs w:val="18"/>
                <w:color w:val="0000FF"/>
                <w:w w:val="99"/>
              </w:rPr>
              <w:t>40</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920" w:type="dxa"/>
            <w:vAlign w:val="bottom"/>
            <w:gridSpan w:val="4"/>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Item 3.</w:t>
            </w:r>
          </w:p>
        </w:tc>
        <w:tc>
          <w:tcPr>
            <w:tcW w:w="9540" w:type="dxa"/>
            <w:vAlign w:val="bottom"/>
            <w:gridSpan w:val="18"/>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440" w:type="dxa"/>
            <w:vAlign w:val="bottom"/>
            <w:tcBorders>
              <w:right w:val="single" w:sz="8" w:color="CCEEFF"/>
            </w:tcBorders>
            <w:gridSpan w:val="3"/>
            <w:shd w:val="clear" w:color="auto" w:fill="CCEEFF"/>
          </w:tcPr>
          <w:p>
            <w:pPr>
              <w:jc w:val="center"/>
              <w:ind w:left="174"/>
              <w:spacing w:after="0" w:line="186" w:lineRule="exact"/>
              <w:rPr>
                <w:sz w:val="20"/>
                <w:szCs w:val="20"/>
                <w:color w:val="auto"/>
              </w:rPr>
            </w:pPr>
            <w:r>
              <w:rPr>
                <w:rFonts w:ascii="Times New Roman" w:cs="Times New Roman" w:eastAsia="Times New Roman" w:hAnsi="Times New Roman"/>
                <w:sz w:val="18"/>
                <w:szCs w:val="18"/>
                <w:color w:val="0000FF"/>
                <w:w w:val="99"/>
              </w:rPr>
              <w:t>64</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920" w:type="dxa"/>
            <w:vAlign w:val="bottom"/>
            <w:gridSpan w:val="4"/>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Item 4.</w:t>
            </w:r>
          </w:p>
        </w:tc>
        <w:tc>
          <w:tcPr>
            <w:tcW w:w="9540" w:type="dxa"/>
            <w:vAlign w:val="bottom"/>
            <w:gridSpan w:val="18"/>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Controls and Procedures</w:t>
            </w:r>
          </w:p>
        </w:tc>
        <w:tc>
          <w:tcPr>
            <w:tcW w:w="440" w:type="dxa"/>
            <w:vAlign w:val="bottom"/>
            <w:tcBorders>
              <w:right w:val="single" w:sz="8" w:color="CCEEFF"/>
            </w:tcBorders>
            <w:gridSpan w:val="3"/>
            <w:shd w:val="clear" w:color="auto" w:fill="CCEEFF"/>
          </w:tcPr>
          <w:p>
            <w:pPr>
              <w:jc w:val="center"/>
              <w:ind w:left="174"/>
              <w:spacing w:after="0" w:line="186" w:lineRule="exact"/>
              <w:rPr>
                <w:sz w:val="20"/>
                <w:szCs w:val="20"/>
                <w:color w:val="auto"/>
              </w:rPr>
            </w:pPr>
            <w:r>
              <w:rPr>
                <w:rFonts w:ascii="Times New Roman" w:cs="Times New Roman" w:eastAsia="Times New Roman" w:hAnsi="Times New Roman"/>
                <w:sz w:val="18"/>
                <w:szCs w:val="18"/>
                <w:color w:val="0000FF"/>
                <w:w w:val="99"/>
              </w:rPr>
              <w:t>64</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10460" w:type="dxa"/>
            <w:vAlign w:val="bottom"/>
            <w:gridSpan w:val="22"/>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PART II. OTHER INFORMATION</w:t>
            </w:r>
          </w:p>
        </w:tc>
        <w:tc>
          <w:tcPr>
            <w:tcW w:w="3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Item 1.</w:t>
            </w:r>
          </w:p>
        </w:tc>
        <w:tc>
          <w:tcPr>
            <w:tcW w:w="9540" w:type="dxa"/>
            <w:vAlign w:val="bottom"/>
            <w:gridSpan w:val="18"/>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Legal Proceedings</w:t>
            </w:r>
          </w:p>
        </w:tc>
        <w:tc>
          <w:tcPr>
            <w:tcW w:w="440" w:type="dxa"/>
            <w:vAlign w:val="bottom"/>
            <w:tcBorders>
              <w:right w:val="single" w:sz="8" w:color="CCEEFF"/>
            </w:tcBorders>
            <w:gridSpan w:val="3"/>
            <w:shd w:val="clear" w:color="auto" w:fill="CCEEFF"/>
          </w:tcPr>
          <w:p>
            <w:pPr>
              <w:jc w:val="center"/>
              <w:ind w:left="174"/>
              <w:spacing w:after="0" w:line="186" w:lineRule="exact"/>
              <w:rPr>
                <w:sz w:val="20"/>
                <w:szCs w:val="20"/>
                <w:color w:val="auto"/>
              </w:rPr>
            </w:pPr>
            <w:r>
              <w:rPr>
                <w:rFonts w:ascii="Times New Roman" w:cs="Times New Roman" w:eastAsia="Times New Roman" w:hAnsi="Times New Roman"/>
                <w:sz w:val="18"/>
                <w:szCs w:val="18"/>
                <w:color w:val="0000FF"/>
                <w:w w:val="99"/>
              </w:rPr>
              <w:t>64</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00" w:type="dxa"/>
            <w:vAlign w:val="bottom"/>
            <w:tcBorders>
              <w:left w:val="single" w:sz="8" w:color="0000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64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color w:val="0000FF"/>
                <w:w w:val="96"/>
              </w:rPr>
              <w:t>Item 1A.</w:t>
            </w:r>
          </w:p>
        </w:tc>
        <w:tc>
          <w:tcPr>
            <w:tcW w:w="280" w:type="dxa"/>
            <w:vAlign w:val="bottom"/>
            <w:gridSpan w:val="2"/>
          </w:tcPr>
          <w:p>
            <w:pPr>
              <w:spacing w:after="0"/>
              <w:rPr>
                <w:sz w:val="16"/>
                <w:szCs w:val="16"/>
                <w:color w:val="auto"/>
              </w:rPr>
            </w:pPr>
          </w:p>
        </w:tc>
        <w:tc>
          <w:tcPr>
            <w:tcW w:w="9540" w:type="dxa"/>
            <w:vAlign w:val="bottom"/>
            <w:gridSpan w:val="18"/>
          </w:tcPr>
          <w:p>
            <w:pPr>
              <w:spacing w:after="0" w:line="186" w:lineRule="exact"/>
              <w:rPr>
                <w:sz w:val="20"/>
                <w:szCs w:val="20"/>
                <w:color w:val="auto"/>
              </w:rPr>
            </w:pPr>
            <w:r>
              <w:rPr>
                <w:rFonts w:ascii="Times New Roman" w:cs="Times New Roman" w:eastAsia="Times New Roman" w:hAnsi="Times New Roman"/>
                <w:sz w:val="18"/>
                <w:szCs w:val="18"/>
                <w:color w:val="0000FF"/>
              </w:rPr>
              <w:t>Risk Factors</w:t>
            </w:r>
          </w:p>
        </w:tc>
        <w:tc>
          <w:tcPr>
            <w:tcW w:w="440" w:type="dxa"/>
            <w:vAlign w:val="bottom"/>
            <w:gridSpan w:val="3"/>
          </w:tcPr>
          <w:p>
            <w:pPr>
              <w:jc w:val="center"/>
              <w:ind w:left="174"/>
              <w:spacing w:after="0" w:line="186" w:lineRule="exact"/>
              <w:rPr>
                <w:sz w:val="20"/>
                <w:szCs w:val="20"/>
                <w:color w:val="auto"/>
              </w:rPr>
            </w:pPr>
            <w:r>
              <w:rPr>
                <w:rFonts w:ascii="Times New Roman" w:cs="Times New Roman" w:eastAsia="Times New Roman" w:hAnsi="Times New Roman"/>
                <w:sz w:val="18"/>
                <w:szCs w:val="18"/>
                <w:color w:val="0000FF"/>
                <w:w w:val="99"/>
              </w:rPr>
              <w:t>65</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Item 2.</w:t>
            </w:r>
          </w:p>
        </w:tc>
        <w:tc>
          <w:tcPr>
            <w:tcW w:w="280" w:type="dxa"/>
            <w:vAlign w:val="bottom"/>
            <w:gridSpan w:val="2"/>
            <w:shd w:val="clear" w:color="auto" w:fill="CCEEFF"/>
          </w:tcPr>
          <w:p>
            <w:pPr>
              <w:spacing w:after="0"/>
              <w:rPr>
                <w:sz w:val="16"/>
                <w:szCs w:val="16"/>
                <w:color w:val="auto"/>
              </w:rPr>
            </w:pPr>
          </w:p>
        </w:tc>
        <w:tc>
          <w:tcPr>
            <w:tcW w:w="9540" w:type="dxa"/>
            <w:vAlign w:val="bottom"/>
            <w:gridSpan w:val="18"/>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440" w:type="dxa"/>
            <w:vAlign w:val="bottom"/>
            <w:tcBorders>
              <w:right w:val="single" w:sz="8" w:color="CCEEFF"/>
            </w:tcBorders>
            <w:gridSpan w:val="3"/>
            <w:shd w:val="clear" w:color="auto" w:fill="CCEEFF"/>
          </w:tcPr>
          <w:p>
            <w:pPr>
              <w:jc w:val="center"/>
              <w:ind w:left="174"/>
              <w:spacing w:after="0" w:line="195" w:lineRule="exact"/>
              <w:rPr>
                <w:sz w:val="20"/>
                <w:szCs w:val="20"/>
                <w:color w:val="auto"/>
              </w:rPr>
            </w:pPr>
            <w:r>
              <w:rPr>
                <w:rFonts w:ascii="Times New Roman" w:cs="Times New Roman" w:eastAsia="Times New Roman" w:hAnsi="Times New Roman"/>
                <w:sz w:val="18"/>
                <w:szCs w:val="18"/>
                <w:color w:val="0000FF"/>
                <w:w w:val="99"/>
              </w:rPr>
              <w:t>66</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0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900" w:type="dxa"/>
            <w:vAlign w:val="bottom"/>
            <w:shd w:val="clear" w:color="auto" w:fill="0000FF"/>
          </w:tcPr>
          <w:p>
            <w:pPr>
              <w:spacing w:after="0"/>
              <w:rPr>
                <w:sz w:val="3"/>
                <w:szCs w:val="3"/>
                <w:color w:val="auto"/>
              </w:rPr>
            </w:pPr>
          </w:p>
        </w:tc>
        <w:tc>
          <w:tcPr>
            <w:tcW w:w="360" w:type="dxa"/>
            <w:vAlign w:val="bottom"/>
            <w:tcBorders>
              <w:right w:val="single" w:sz="8" w:color="CCEEFF"/>
            </w:tcBorders>
            <w:shd w:val="clear" w:color="auto" w:fill="0000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920" w:type="dxa"/>
            <w:vAlign w:val="bottom"/>
            <w:gridSpan w:val="4"/>
          </w:tcPr>
          <w:p>
            <w:pPr>
              <w:spacing w:after="0" w:line="186" w:lineRule="exact"/>
              <w:rPr>
                <w:sz w:val="20"/>
                <w:szCs w:val="20"/>
                <w:color w:val="auto"/>
              </w:rPr>
            </w:pPr>
            <w:r>
              <w:rPr>
                <w:rFonts w:ascii="Times New Roman" w:cs="Times New Roman" w:eastAsia="Times New Roman" w:hAnsi="Times New Roman"/>
                <w:sz w:val="18"/>
                <w:szCs w:val="18"/>
                <w:color w:val="0000FF"/>
              </w:rPr>
              <w:t>Item 3.</w:t>
            </w:r>
          </w:p>
        </w:tc>
        <w:tc>
          <w:tcPr>
            <w:tcW w:w="9540" w:type="dxa"/>
            <w:vAlign w:val="bottom"/>
            <w:gridSpan w:val="18"/>
          </w:tcPr>
          <w:p>
            <w:pPr>
              <w:spacing w:after="0" w:line="18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40" w:type="dxa"/>
            <w:vAlign w:val="bottom"/>
            <w:gridSpan w:val="3"/>
          </w:tcPr>
          <w:p>
            <w:pPr>
              <w:jc w:val="center"/>
              <w:ind w:left="174"/>
              <w:spacing w:after="0" w:line="186" w:lineRule="exact"/>
              <w:rPr>
                <w:sz w:val="20"/>
                <w:szCs w:val="20"/>
                <w:color w:val="auto"/>
              </w:rPr>
            </w:pPr>
            <w:r>
              <w:rPr>
                <w:rFonts w:ascii="Times New Roman" w:cs="Times New Roman" w:eastAsia="Times New Roman" w:hAnsi="Times New Roman"/>
                <w:sz w:val="18"/>
                <w:szCs w:val="18"/>
                <w:color w:val="0000FF"/>
                <w:w w:val="99"/>
              </w:rPr>
              <w:t>66</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Item 4.</w:t>
            </w:r>
          </w:p>
        </w:tc>
        <w:tc>
          <w:tcPr>
            <w:tcW w:w="9540" w:type="dxa"/>
            <w:vAlign w:val="bottom"/>
            <w:gridSpan w:val="18"/>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Mine Safety Disclosures</w:t>
            </w:r>
          </w:p>
        </w:tc>
        <w:tc>
          <w:tcPr>
            <w:tcW w:w="440" w:type="dxa"/>
            <w:vAlign w:val="bottom"/>
            <w:tcBorders>
              <w:right w:val="single" w:sz="8" w:color="CCEEFF"/>
            </w:tcBorders>
            <w:gridSpan w:val="3"/>
            <w:shd w:val="clear" w:color="auto" w:fill="CCEEFF"/>
          </w:tcPr>
          <w:p>
            <w:pPr>
              <w:jc w:val="center"/>
              <w:ind w:left="174"/>
              <w:spacing w:after="0" w:line="195" w:lineRule="exact"/>
              <w:rPr>
                <w:sz w:val="20"/>
                <w:szCs w:val="20"/>
                <w:color w:val="auto"/>
              </w:rPr>
            </w:pPr>
            <w:r>
              <w:rPr>
                <w:rFonts w:ascii="Times New Roman" w:cs="Times New Roman" w:eastAsia="Times New Roman" w:hAnsi="Times New Roman"/>
                <w:sz w:val="18"/>
                <w:szCs w:val="18"/>
                <w:color w:val="0000FF"/>
                <w:w w:val="99"/>
              </w:rPr>
              <w:t>66</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0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920" w:type="dxa"/>
            <w:vAlign w:val="bottom"/>
            <w:gridSpan w:val="4"/>
          </w:tcPr>
          <w:p>
            <w:pPr>
              <w:spacing w:after="0" w:line="186" w:lineRule="exact"/>
              <w:rPr>
                <w:sz w:val="20"/>
                <w:szCs w:val="20"/>
                <w:color w:val="auto"/>
              </w:rPr>
            </w:pPr>
            <w:r>
              <w:rPr>
                <w:rFonts w:ascii="Times New Roman" w:cs="Times New Roman" w:eastAsia="Times New Roman" w:hAnsi="Times New Roman"/>
                <w:sz w:val="18"/>
                <w:szCs w:val="18"/>
                <w:color w:val="0000FF"/>
              </w:rPr>
              <w:t>Item 5.</w:t>
            </w:r>
          </w:p>
        </w:tc>
        <w:tc>
          <w:tcPr>
            <w:tcW w:w="9540" w:type="dxa"/>
            <w:vAlign w:val="bottom"/>
            <w:gridSpan w:val="18"/>
          </w:tcPr>
          <w:p>
            <w:pPr>
              <w:spacing w:after="0" w:line="186" w:lineRule="exact"/>
              <w:rPr>
                <w:sz w:val="20"/>
                <w:szCs w:val="20"/>
                <w:color w:val="auto"/>
              </w:rPr>
            </w:pPr>
            <w:r>
              <w:rPr>
                <w:rFonts w:ascii="Times New Roman" w:cs="Times New Roman" w:eastAsia="Times New Roman" w:hAnsi="Times New Roman"/>
                <w:sz w:val="18"/>
                <w:szCs w:val="18"/>
                <w:color w:val="0000FF"/>
              </w:rPr>
              <w:t>Other Information</w:t>
            </w:r>
          </w:p>
        </w:tc>
        <w:tc>
          <w:tcPr>
            <w:tcW w:w="440" w:type="dxa"/>
            <w:vAlign w:val="bottom"/>
            <w:gridSpan w:val="3"/>
          </w:tcPr>
          <w:p>
            <w:pPr>
              <w:jc w:val="center"/>
              <w:ind w:left="174"/>
              <w:spacing w:after="0" w:line="186" w:lineRule="exact"/>
              <w:rPr>
                <w:sz w:val="20"/>
                <w:szCs w:val="20"/>
                <w:color w:val="auto"/>
              </w:rPr>
            </w:pPr>
            <w:r>
              <w:rPr>
                <w:rFonts w:ascii="Times New Roman" w:cs="Times New Roman" w:eastAsia="Times New Roman" w:hAnsi="Times New Roman"/>
                <w:sz w:val="18"/>
                <w:szCs w:val="18"/>
                <w:color w:val="0000FF"/>
                <w:w w:val="99"/>
              </w:rPr>
              <w:t>66</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Item 6.</w:t>
            </w:r>
          </w:p>
        </w:tc>
        <w:tc>
          <w:tcPr>
            <w:tcW w:w="9540" w:type="dxa"/>
            <w:vAlign w:val="bottom"/>
            <w:gridSpan w:val="18"/>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Exhibits</w:t>
            </w:r>
          </w:p>
        </w:tc>
        <w:tc>
          <w:tcPr>
            <w:tcW w:w="440" w:type="dxa"/>
            <w:vAlign w:val="bottom"/>
            <w:tcBorders>
              <w:right w:val="single" w:sz="8" w:color="CCEEFF"/>
            </w:tcBorders>
            <w:gridSpan w:val="3"/>
            <w:shd w:val="clear" w:color="auto" w:fill="CCEEFF"/>
          </w:tcPr>
          <w:p>
            <w:pPr>
              <w:jc w:val="center"/>
              <w:ind w:left="174"/>
              <w:spacing w:after="0" w:line="195" w:lineRule="exact"/>
              <w:rPr>
                <w:sz w:val="20"/>
                <w:szCs w:val="20"/>
                <w:color w:val="auto"/>
              </w:rPr>
            </w:pPr>
            <w:r>
              <w:rPr>
                <w:rFonts w:ascii="Times New Roman" w:cs="Times New Roman" w:eastAsia="Times New Roman" w:hAnsi="Times New Roman"/>
                <w:sz w:val="18"/>
                <w:szCs w:val="18"/>
                <w:color w:val="0000FF"/>
                <w:w w:val="99"/>
              </w:rPr>
              <w:t>67</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Signatures</w:t>
            </w: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tcBorders>
              <w:right w:val="single" w:sz="8" w:color="CCEEFF"/>
            </w:tcBorders>
            <w:gridSpan w:val="3"/>
            <w:shd w:val="clear" w:color="auto" w:fill="CCEEFF"/>
          </w:tcPr>
          <w:p>
            <w:pPr>
              <w:jc w:val="center"/>
              <w:ind w:left="174"/>
              <w:spacing w:after="0" w:line="186" w:lineRule="exact"/>
              <w:rPr>
                <w:sz w:val="20"/>
                <w:szCs w:val="20"/>
                <w:color w:val="auto"/>
              </w:rPr>
            </w:pPr>
            <w:r>
              <w:rPr>
                <w:rFonts w:ascii="Times New Roman" w:cs="Times New Roman" w:eastAsia="Times New Roman" w:hAnsi="Times New Roman"/>
                <w:sz w:val="18"/>
                <w:szCs w:val="18"/>
                <w:color w:val="0000FF"/>
                <w:w w:val="99"/>
              </w:rPr>
              <w:t>68</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1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This Quarterly Report on Form 10-Q, or Quarterly Report, contains forward-looking statements within the meaning of Section 27A of the Securities Act of 1933 and Section 21E of the Securities Exchange Act of 1934. These statements may be identified by the fact that they do not relate strictly to historical or current facts. You may identify forward-looking statements in this Quarterly Report by the use of words such as “anticipates,” “estimates,” “expects,” “intends,” “plans”, “seeks” and “believes,” and similar expressions or future or conditional verbs such as “will,” “should,” “would,” “may” and “could.” These forward-looking statements include, among others, all statements relating to our future financial performance, our business prospects and strategy, anticipated financial position and financial strength ratings, liquidity and capital needs and other similar matters. These forward-looking statements are based on management’s current expectations and assumptions about future events, which are inherently subject to uncertainties, risks and changes in circumstances that are difficult to predict.</w:t>
      </w:r>
    </w:p>
    <w:p>
      <w:pPr>
        <w:spacing w:after="0" w:line="19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actual results may differ materially from those expressed in, or implied by, the forward-looking statements included in this Quarterly Report as a result of various factors, many of which are beyond our control, including, among others:</w:t>
      </w:r>
    </w:p>
    <w:p>
      <w:pPr>
        <w:spacing w:after="0" w:line="163" w:lineRule="exact"/>
        <w:rPr>
          <w:sz w:val="20"/>
          <w:szCs w:val="20"/>
          <w:color w:val="auto"/>
        </w:rPr>
      </w:pPr>
    </w:p>
    <w:p>
      <w:pPr>
        <w:ind w:left="800" w:hanging="476"/>
        <w:spacing w:after="0" w:line="274" w:lineRule="auto"/>
        <w:tabs>
          <w:tab w:leader="none" w:pos="7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uncertainty of estimating reserves and the possibility that incurred losses may be greater than our loss and loss adjustment expense reserves;</w:t>
      </w:r>
    </w:p>
    <w:p>
      <w:pPr>
        <w:spacing w:after="0" w:line="57"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estimates and judgments in our risk management may expose us to greater risks than intended;</w:t>
      </w:r>
    </w:p>
    <w:p>
      <w:pPr>
        <w:spacing w:after="0" w:line="111" w:lineRule="exact"/>
        <w:rPr>
          <w:rFonts w:ascii="Times New Roman" w:cs="Times New Roman" w:eastAsia="Times New Roman" w:hAnsi="Times New Roman"/>
          <w:sz w:val="18"/>
          <w:szCs w:val="18"/>
          <w:color w:val="auto"/>
        </w:rPr>
      </w:pPr>
    </w:p>
    <w:p>
      <w:pPr>
        <w:ind w:left="800" w:hanging="476"/>
        <w:spacing w:after="0" w:line="274" w:lineRule="auto"/>
        <w:tabs>
          <w:tab w:leader="none" w:pos="7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downgrades in the financial strength rating or outlook of our regulated insurance subsidiaries impacting our ability to attract and retain insurance business that our subsidiaries write, our competitive position, and our financial condition;</w:t>
      </w:r>
    </w:p>
    <w:p>
      <w:pPr>
        <w:spacing w:after="0" w:line="57"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regarding the outcome and timing of our exploration of strategic alternatives, and the impacts that it may have on our business;</w:t>
      </w:r>
    </w:p>
    <w:p>
      <w:pPr>
        <w:spacing w:after="0" w:line="111"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final post-closing adjustment to the purchase price received in connection with the sale of our casualty reinsurance business;</w:t>
      </w:r>
    </w:p>
    <w:p>
      <w:pPr>
        <w:spacing w:after="0" w:line="111"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members of our management team or key employees, and our ability to attract and retain personnel;</w:t>
      </w:r>
    </w:p>
    <w:p>
      <w:pPr>
        <w:spacing w:after="0" w:line="111"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factors resulting in the sale of fewer policies than expected or an increase in the frequency or severity of claims, or both;</w:t>
      </w:r>
    </w:p>
    <w:p>
      <w:pPr>
        <w:spacing w:after="0" w:line="111" w:lineRule="exact"/>
        <w:rPr>
          <w:rFonts w:ascii="Times New Roman" w:cs="Times New Roman" w:eastAsia="Times New Roman" w:hAnsi="Times New Roman"/>
          <w:sz w:val="18"/>
          <w:szCs w:val="18"/>
          <w:color w:val="auto"/>
        </w:rPr>
      </w:pPr>
    </w:p>
    <w:p>
      <w:pPr>
        <w:ind w:left="800" w:hanging="476"/>
        <w:spacing w:after="0" w:line="274" w:lineRule="auto"/>
        <w:tabs>
          <w:tab w:leader="none" w:pos="7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persistent high inflationary environment on our reserves, the values of our investments and investment returns, and our compensation expenses;</w:t>
      </w:r>
    </w:p>
    <w:p>
      <w:pPr>
        <w:spacing w:after="0" w:line="57"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credit risk, interest rate risk and other market risk in our investment portfolio;</w:t>
      </w:r>
    </w:p>
    <w:p>
      <w:pPr>
        <w:spacing w:after="0" w:line="111" w:lineRule="exact"/>
        <w:rPr>
          <w:rFonts w:ascii="Times New Roman" w:cs="Times New Roman" w:eastAsia="Times New Roman" w:hAnsi="Times New Roman"/>
          <w:sz w:val="18"/>
          <w:szCs w:val="18"/>
          <w:color w:val="auto"/>
        </w:rPr>
      </w:pPr>
    </w:p>
    <w:p>
      <w:pPr>
        <w:ind w:left="800" w:hanging="476"/>
        <w:spacing w:after="0" w:line="274" w:lineRule="auto"/>
        <w:tabs>
          <w:tab w:leader="none" w:pos="7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select group of brokers and agents for a significant portion of our business and the impact of our potential failure to maintain such relationships;</w:t>
      </w:r>
    </w:p>
    <w:p>
      <w:pPr>
        <w:spacing w:after="0" w:line="57" w:lineRule="exact"/>
        <w:rPr>
          <w:rFonts w:ascii="Times New Roman" w:cs="Times New Roman" w:eastAsia="Times New Roman" w:hAnsi="Times New Roman"/>
          <w:sz w:val="18"/>
          <w:szCs w:val="18"/>
          <w:color w:val="auto"/>
        </w:rPr>
      </w:pPr>
    </w:p>
    <w:p>
      <w:pPr>
        <w:ind w:left="800" w:hanging="476"/>
        <w:spacing w:after="0" w:line="274" w:lineRule="auto"/>
        <w:tabs>
          <w:tab w:leader="none" w:pos="7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select group of customers for a significant portion of our business and the impact of our potential failure to maintain, or decision to terminate, such relationships;</w:t>
      </w:r>
    </w:p>
    <w:p>
      <w:pPr>
        <w:spacing w:after="0" w:line="57" w:lineRule="exact"/>
        <w:rPr>
          <w:rFonts w:ascii="Times New Roman" w:cs="Times New Roman" w:eastAsia="Times New Roman" w:hAnsi="Times New Roman"/>
          <w:sz w:val="18"/>
          <w:szCs w:val="18"/>
          <w:color w:val="auto"/>
        </w:rPr>
      </w:pPr>
    </w:p>
    <w:p>
      <w:pPr>
        <w:ind w:left="800" w:right="20" w:hanging="476"/>
        <w:spacing w:after="0" w:line="274" w:lineRule="auto"/>
        <w:tabs>
          <w:tab w:leader="none" w:pos="7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insurance and reinsurance coverage at prices and on terms that allow us to transfer risk, adequately protect our Company against financial loss and that supports our growth plans;</w:t>
      </w:r>
    </w:p>
    <w:p>
      <w:pPr>
        <w:spacing w:after="0" w:line="57" w:lineRule="exact"/>
        <w:rPr>
          <w:rFonts w:ascii="Times New Roman" w:cs="Times New Roman" w:eastAsia="Times New Roman" w:hAnsi="Times New Roman"/>
          <w:sz w:val="18"/>
          <w:szCs w:val="18"/>
          <w:color w:val="auto"/>
        </w:rPr>
      </w:pPr>
    </w:p>
    <w:p>
      <w:pPr>
        <w:jc w:val="both"/>
        <w:ind w:left="800" w:hanging="476"/>
        <w:spacing w:after="0" w:line="259" w:lineRule="auto"/>
        <w:tabs>
          <w:tab w:leader="none" w:pos="7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resulting from reinsurance counterparties failing to pay us on reinsurance claims, insurance companies with whom we have a fronting arrangement failing to pay us for claims, or a former customer with whom we have an indemnification arrangement failing to perform its reimbursement obligations, and our potential inability to demand or maintain adequate collateral to mitigate such risks;</w:t>
      </w:r>
    </w:p>
    <w:p>
      <w:pPr>
        <w:spacing w:after="0" w:line="71"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inadequacy of premiums we charge to compensate us for our losses incurred;</w:t>
      </w:r>
    </w:p>
    <w:p>
      <w:pPr>
        <w:spacing w:after="0" w:line="111"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government regulation, including tax or insurance law and regulations;</w:t>
      </w:r>
    </w:p>
    <w:p>
      <w:pPr>
        <w:spacing w:after="0" w:line="111" w:lineRule="exact"/>
        <w:rPr>
          <w:rFonts w:ascii="Times New Roman" w:cs="Times New Roman" w:eastAsia="Times New Roman" w:hAnsi="Times New Roman"/>
          <w:sz w:val="18"/>
          <w:szCs w:val="18"/>
          <w:color w:val="auto"/>
        </w:rPr>
      </w:pPr>
    </w:p>
    <w:p>
      <w:pPr>
        <w:jc w:val="both"/>
        <w:ind w:left="800" w:hanging="476"/>
        <w:spacing w:after="0" w:line="259" w:lineRule="auto"/>
        <w:tabs>
          <w:tab w:leader="none" w:pos="7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tax laws (including associated regulations) and the interpretation of certain provisions applicable to insurance/reinsurance businesses with U.S. and non-U.S. operations, which may be retroactive and could have a significant effect on us including, among other things, by potentially increasing our tax rate, as well as on our shareholders;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3" w:name="page4"/>
    <w:bookmarkEnd w:id="3"/>
    <w:p>
      <w:pPr>
        <w:ind w:left="800" w:hanging="476"/>
        <w:spacing w:after="0" w:line="274" w:lineRule="auto"/>
        <w:tabs>
          <w:tab w:leader="none" w:pos="7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we do not qualify for the insurance company exception to the passive foreign investment company (“PFIC”) rules and are therefore considered a PFIC, there could be material adverse tax consequences to an investor that is subject to U.S. federal income taxation;</w:t>
      </w:r>
    </w:p>
    <w:p>
      <w:pPr>
        <w:spacing w:after="0" w:line="57"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its foreign subsidiary becoming subject to U.S. federal income taxation;</w:t>
      </w:r>
    </w:p>
    <w:p>
      <w:pPr>
        <w:spacing w:after="0" w:line="111" w:lineRule="exact"/>
        <w:rPr>
          <w:rFonts w:ascii="Times New Roman" w:cs="Times New Roman" w:eastAsia="Times New Roman" w:hAnsi="Times New Roman"/>
          <w:sz w:val="18"/>
          <w:szCs w:val="18"/>
          <w:color w:val="auto"/>
        </w:rPr>
      </w:pPr>
    </w:p>
    <w:p>
      <w:pPr>
        <w:ind w:left="800" w:right="20" w:hanging="476"/>
        <w:spacing w:after="0" w:line="274" w:lineRule="auto"/>
        <w:tabs>
          <w:tab w:leader="none" w:pos="7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of any of the loss limitations or exclusions we utilize to shield us from unanticipated financial losses or legal exposures, or other liabilities;</w:t>
      </w:r>
    </w:p>
    <w:p>
      <w:pPr>
        <w:spacing w:after="0" w:line="57" w:lineRule="exact"/>
        <w:rPr>
          <w:rFonts w:ascii="Times New Roman" w:cs="Times New Roman" w:eastAsia="Times New Roman" w:hAnsi="Times New Roman"/>
          <w:sz w:val="18"/>
          <w:szCs w:val="18"/>
          <w:color w:val="auto"/>
        </w:rPr>
      </w:pPr>
    </w:p>
    <w:p>
      <w:pPr>
        <w:ind w:left="800" w:right="20" w:hanging="476"/>
        <w:spacing w:after="0" w:line="274" w:lineRule="auto"/>
        <w:tabs>
          <w:tab w:leader="none" w:pos="7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from catastrophic events, such as natural disasters and terrorist acts, which substantially exceed our expectations and/or exceed the amount of reinsurance we have purchased to protect us from such events;</w:t>
      </w:r>
    </w:p>
    <w:p>
      <w:pPr>
        <w:spacing w:after="0" w:line="57"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potential effects on our business of emerging claim and coverage issues;</w:t>
      </w:r>
    </w:p>
    <w:p>
      <w:pPr>
        <w:spacing w:after="0" w:line="111" w:lineRule="exact"/>
        <w:rPr>
          <w:rFonts w:ascii="Times New Roman" w:cs="Times New Roman" w:eastAsia="Times New Roman" w:hAnsi="Times New Roman"/>
          <w:sz w:val="18"/>
          <w:szCs w:val="18"/>
          <w:i w:val="1"/>
          <w:iCs w:val="1"/>
          <w:color w:val="auto"/>
        </w:rPr>
      </w:pPr>
    </w:p>
    <w:p>
      <w:pPr>
        <w:ind w:left="800" w:hanging="476"/>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internal or external fraud, operational errors, systems malfunctions or cyber security incidents;</w:t>
      </w:r>
    </w:p>
    <w:p>
      <w:pPr>
        <w:spacing w:after="0" w:line="111"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effectively;</w:t>
      </w:r>
    </w:p>
    <w:p>
      <w:pPr>
        <w:spacing w:after="0" w:line="111"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effective internal controls in accordance with the Sarbanes-Oxley Act of 2002, as amended;</w:t>
      </w:r>
    </w:p>
    <w:p>
      <w:pPr>
        <w:spacing w:after="0" w:line="111"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condition, regulations or other factors that may restrict our subsidiaries’ ability to pay us dividends;</w:t>
      </w:r>
    </w:p>
    <w:p>
      <w:pPr>
        <w:spacing w:after="0" w:line="111"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adverse result in any litigation or legal proceedings we are or may become subject to; and</w:t>
      </w:r>
    </w:p>
    <w:p>
      <w:pPr>
        <w:spacing w:after="0" w:line="111"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discussed under “Risk Factors” and elsewhere in this Quarterly Report.</w:t>
      </w:r>
    </w:p>
    <w:p>
      <w:pPr>
        <w:spacing w:after="0" w:line="11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Accordingly, you should read this Quarterly Report completely and with the understanding that our actual future results may be materially different from information contained in forward-looking statements.</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Additional information about these risks and uncertainties, as well as others that may cause actual results to differ materially from those in the forward-looking statements, is contained in Part II, Item 1A "Risk Factors" in this Quarterly Report, and our filings with the U.S. Securities and Exchange Commission (“SEC”), including our Annual Report on Form 10-K for the year ended December 31, 2023 filed with the SEC on February 29, 2024.</w:t>
      </w:r>
    </w:p>
    <w:p>
      <w:pPr>
        <w:spacing w:after="0" w:line="7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Forward-looking statements speak only as of the date of this Quarterly Report. Except as expressly required under federal securities laws and the rules and regulations of the SEC, we do not have any obligation, and do not undertake, to update any forward-looking statements to reflect events or circumstances arising after the date of this Quarterly Report, whether as a result of new information or future events or otherwise. You should not place undue reliance on the forward-looking statements included in this Quarterly Report or that may be made elsewhere from time to time by us, or on our behalf. All forward-looking statements attributable to us are expressly qualified by these cautionary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(Unaudited) June 30,</w:t>
            </w:r>
          </w:p>
        </w:tc>
        <w:tc>
          <w:tcPr>
            <w:tcW w:w="180" w:type="dxa"/>
            <w:vAlign w:val="bottom"/>
          </w:tcPr>
          <w:p>
            <w:pPr>
              <w:spacing w:after="0"/>
              <w:rPr>
                <w:sz w:val="13"/>
                <w:szCs w:val="13"/>
                <w:color w:val="auto"/>
              </w:rPr>
            </w:pPr>
          </w:p>
        </w:tc>
        <w:tc>
          <w:tcPr>
            <w:tcW w:w="11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8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4"/>
          </w:tcPr>
          <w:p>
            <w:pPr>
              <w:jc w:val="right"/>
              <w:ind w:right="913"/>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r>
      <w:tr>
        <w:trPr>
          <w:trHeight w:val="232"/>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Invested assets: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available-for-sale, at fair value (amortized cost: 2024 – $1,207,960; 2023 – $1,405,136)</w:t>
            </w:r>
          </w:p>
        </w:tc>
        <w:tc>
          <w:tcPr>
            <w:tcW w:w="3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1,114,475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1,324,476</w:t>
            </w: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 at fair value (cost: 2024 – $120,749; 2023 – $114,107)</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119,945</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loan participations, at fair value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156,169</w:t>
            </w: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72,137</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invested assets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33,134</w:t>
            </w:r>
          </w:p>
        </w:tc>
      </w:tr>
      <w:tr>
        <w:trPr>
          <w:trHeight w:val="218"/>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Total invested assets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1,490,130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1,705,861</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274,298</w:t>
            </w: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72,449</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12,106</w:t>
            </w: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Premiums receivable and agents’ balances,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249,490</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Reinsurance recoverable on unpaid losses,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1,417,791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1,358,474</w:t>
            </w: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Reinsurance recoverable on paid losses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157,991</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293,108</w:t>
            </w: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31,497</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32,813</w:t>
            </w: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163,939</w:t>
            </w: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Assets held-for-sale (Note 2 - discontinued operations)</w:t>
            </w:r>
          </w:p>
        </w:tc>
        <w:tc>
          <w:tcPr>
            <w:tcW w:w="3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783,393</w:t>
            </w:r>
          </w:p>
        </w:tc>
      </w:tr>
      <w:tr>
        <w:trPr>
          <w:trHeight w:val="243"/>
        </w:trPr>
        <w:tc>
          <w:tcPr>
            <w:tcW w:w="8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top w:val="single" w:sz="8" w:color="auto"/>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4,738,206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5,317,250</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(continued)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(Unaudited) June 30,</w:t>
            </w:r>
          </w:p>
        </w:tc>
        <w:tc>
          <w:tcPr>
            <w:tcW w:w="180" w:type="dxa"/>
            <w:vAlign w:val="bottom"/>
          </w:tcPr>
          <w:p>
            <w:pPr>
              <w:spacing w:after="0"/>
              <w:rPr>
                <w:sz w:val="13"/>
                <w:szCs w:val="13"/>
                <w:color w:val="auto"/>
              </w:rPr>
            </w:pPr>
          </w:p>
        </w:tc>
        <w:tc>
          <w:tcPr>
            <w:tcW w:w="11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2"/>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4"/>
          </w:tcPr>
          <w:p>
            <w:pPr>
              <w:jc w:val="right"/>
              <w:ind w:right="213"/>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amounts)</w:t>
            </w:r>
          </w:p>
        </w:tc>
      </w:tr>
      <w:tr>
        <w:trPr>
          <w:trHeight w:val="23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5"/>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5"/>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Reserve for losses and loss adjustment expenses</w:t>
            </w:r>
          </w:p>
        </w:tc>
        <w:tc>
          <w:tcPr>
            <w:tcW w:w="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2,720,198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2,606,107</w:t>
            </w:r>
          </w:p>
        </w:tc>
      </w:tr>
      <w:tr>
        <w:trPr>
          <w:trHeight w:val="225"/>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Unearned premiums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600,603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587,899</w:t>
            </w:r>
          </w:p>
        </w:tc>
      </w:tr>
      <w:tr>
        <w:trPr>
          <w:trHeight w:val="225"/>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Payables to reinsurers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158,670</w:t>
            </w:r>
          </w:p>
        </w:tc>
      </w:tr>
      <w:tr>
        <w:trPr>
          <w:trHeight w:val="225"/>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Funds held</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65,235</w:t>
            </w:r>
          </w:p>
        </w:tc>
      </w:tr>
      <w:tr>
        <w:trPr>
          <w:trHeight w:val="225"/>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reinsurance gain</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20,733</w:t>
            </w:r>
          </w:p>
        </w:tc>
      </w:tr>
      <w:tr>
        <w:trPr>
          <w:trHeight w:val="225"/>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debt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222,300</w:t>
            </w:r>
          </w:p>
        </w:tc>
      </w:tr>
      <w:tr>
        <w:trPr>
          <w:trHeight w:val="225"/>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Junior subordinated debt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104,055</w:t>
            </w:r>
          </w:p>
        </w:tc>
      </w:tr>
      <w:tr>
        <w:trPr>
          <w:trHeight w:val="225"/>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56,722</w:t>
            </w:r>
          </w:p>
        </w:tc>
      </w:tr>
      <w:tr>
        <w:trPr>
          <w:trHeight w:val="225"/>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174,513</w:t>
            </w:r>
          </w:p>
        </w:tc>
      </w:tr>
      <w:tr>
        <w:trPr>
          <w:trHeight w:val="225"/>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 held-for-sale (Note 2 - discontinued operations)</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641,497</w:t>
            </w:r>
          </w:p>
        </w:tc>
      </w:tr>
      <w:tr>
        <w:trPr>
          <w:trHeight w:val="218"/>
        </w:trPr>
        <w:tc>
          <w:tcPr>
            <w:tcW w:w="8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4,051,517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4,637,731</w:t>
            </w:r>
          </w:p>
        </w:tc>
      </w:tr>
      <w:tr>
        <w:trPr>
          <w:trHeight w:val="225"/>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 (Note 8)</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72"/>
        </w:trPr>
        <w:tc>
          <w:tcPr>
            <w:tcW w:w="84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Series A redeemable preferred shares – 2024 and 2023: $0.00125 par value; 20,000,000 shares authorized; 150,000</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38"/>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and outstanding</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144,898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144,898</w:t>
            </w:r>
          </w:p>
        </w:tc>
      </w:tr>
      <w:tr>
        <w:trPr>
          <w:trHeight w:val="225"/>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72"/>
        </w:trPr>
        <w:tc>
          <w:tcPr>
            <w:tcW w:w="8440" w:type="dxa"/>
            <w:vAlign w:val="bottom"/>
            <w:shd w:val="clear" w:color="auto" w:fill="CCEEFF"/>
          </w:tcPr>
          <w:p>
            <w:pPr>
              <w:ind w:left="140"/>
              <w:spacing w:after="0" w:line="172" w:lineRule="exact"/>
              <w:rPr>
                <w:sz w:val="20"/>
                <w:szCs w:val="20"/>
                <w:color w:val="auto"/>
              </w:rPr>
            </w:pPr>
            <w:r>
              <w:rPr>
                <w:rFonts w:ascii="Times New Roman" w:cs="Times New Roman" w:eastAsia="Times New Roman" w:hAnsi="Times New Roman"/>
                <w:sz w:val="18"/>
                <w:szCs w:val="18"/>
                <w:color w:val="auto"/>
              </w:rPr>
              <w:t>Common shares – 2024 and 2023: $0.0002 par value; 200,000,000 shares authorized; 37,825,767 and 37,641,563</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38"/>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issued and outstanding, respectively</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5"/>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879,631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876,240</w:t>
            </w:r>
          </w:p>
        </w:tc>
      </w:tr>
      <w:tr>
        <w:trPr>
          <w:trHeight w:val="225"/>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deficit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(277,905)</w:t>
            </w:r>
          </w:p>
        </w:tc>
      </w:tr>
      <w:tr>
        <w:trPr>
          <w:trHeight w:val="225"/>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(63,721)</w:t>
            </w: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541,791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534,621</w:t>
            </w:r>
          </w:p>
        </w:tc>
      </w:tr>
      <w:tr>
        <w:trPr>
          <w:trHeight w:val="218"/>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Series A redeemable preferred shares, and shareholders’ equity</w:t>
            </w:r>
          </w:p>
        </w:tc>
        <w:tc>
          <w:tcPr>
            <w:tcW w:w="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4,738,206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5,317,250</w:t>
            </w: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 (Loss) (Unaudited)</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amounts)</w:t>
            </w: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written premiums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412,247</w:t>
            </w:r>
          </w:p>
        </w:tc>
        <w:tc>
          <w:tcPr>
            <w:tcW w:w="12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423,050</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743,057</w:t>
            </w:r>
          </w:p>
        </w:tc>
        <w:tc>
          <w:tcPr>
            <w:tcW w:w="100" w:type="dxa"/>
            <w:vAlign w:val="bottom"/>
          </w:tcPr>
          <w:p>
            <w:pPr>
              <w:spacing w:after="0"/>
              <w:rPr>
                <w:sz w:val="16"/>
                <w:szCs w:val="16"/>
                <w:color w:val="auto"/>
              </w:rPr>
            </w:pPr>
          </w:p>
        </w:tc>
        <w:tc>
          <w:tcPr>
            <w:tcW w:w="54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776,504</w:t>
            </w:r>
          </w:p>
        </w:tc>
        <w:tc>
          <w:tcPr>
            <w:tcW w:w="0" w:type="dxa"/>
            <w:vAlign w:val="bottom"/>
          </w:tcPr>
          <w:p>
            <w:pPr>
              <w:spacing w:after="0"/>
              <w:rPr>
                <w:sz w:val="1"/>
                <w:szCs w:val="1"/>
                <w:color w:val="auto"/>
              </w:rPr>
            </w:pPr>
          </w:p>
        </w:tc>
      </w:tr>
      <w:tr>
        <w:trPr>
          <w:trHeight w:val="20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Ceded written premiums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(230,894)</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(218,557)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(423,532)</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(400,786)</w:t>
            </w:r>
          </w:p>
        </w:tc>
        <w:tc>
          <w:tcPr>
            <w:tcW w:w="0" w:type="dxa"/>
            <w:vAlign w:val="bottom"/>
          </w:tcPr>
          <w:p>
            <w:pPr>
              <w:spacing w:after="0"/>
              <w:rPr>
                <w:sz w:val="1"/>
                <w:szCs w:val="1"/>
                <w:color w:val="auto"/>
              </w:rPr>
            </w:pPr>
          </w:p>
        </w:tc>
      </w:tr>
      <w:tr>
        <w:trPr>
          <w:trHeight w:val="18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written premiums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181,353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204,493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319,525</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375,718</w:t>
            </w:r>
          </w:p>
        </w:tc>
        <w:tc>
          <w:tcPr>
            <w:tcW w:w="0" w:type="dxa"/>
            <w:vAlign w:val="bottom"/>
          </w:tcPr>
          <w:p>
            <w:pPr>
              <w:spacing w:after="0"/>
              <w:rPr>
                <w:sz w:val="1"/>
                <w:szCs w:val="1"/>
                <w:color w:val="auto"/>
              </w:rPr>
            </w:pPr>
          </w:p>
        </w:tc>
      </w:tr>
      <w:tr>
        <w:trPr>
          <w:trHeight w:val="20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net unearned premiums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(31,024)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15,359</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(33,339)</w:t>
            </w:r>
          </w:p>
        </w:tc>
        <w:tc>
          <w:tcPr>
            <w:tcW w:w="0" w:type="dxa"/>
            <w:vAlign w:val="bottom"/>
          </w:tcPr>
          <w:p>
            <w:pPr>
              <w:spacing w:after="0"/>
              <w:rPr>
                <w:sz w:val="1"/>
                <w:szCs w:val="1"/>
                <w:color w:val="auto"/>
              </w:rPr>
            </w:pPr>
          </w:p>
        </w:tc>
      </w:tr>
      <w:tr>
        <w:trPr>
          <w:trHeight w:val="18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earned premiums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163,193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173,469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334,884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342,379</w:t>
            </w:r>
          </w:p>
        </w:tc>
        <w:tc>
          <w:tcPr>
            <w:tcW w:w="0" w:type="dxa"/>
            <w:vAlign w:val="bottom"/>
          </w:tcPr>
          <w:p>
            <w:pPr>
              <w:spacing w:after="0"/>
              <w:rPr>
                <w:sz w:val="1"/>
                <w:szCs w:val="1"/>
                <w:color w:val="auto"/>
              </w:rPr>
            </w:pPr>
          </w:p>
        </w:tc>
      </w:tr>
      <w:tr>
        <w:trPr>
          <w:trHeight w:val="20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 income</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24,931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18,234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47,563</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36,659</w:t>
            </w:r>
          </w:p>
        </w:tc>
        <w:tc>
          <w:tcPr>
            <w:tcW w:w="0" w:type="dxa"/>
            <w:vAlign w:val="bottom"/>
          </w:tcPr>
          <w:p>
            <w:pPr>
              <w:spacing w:after="0"/>
              <w:rPr>
                <w:sz w:val="1"/>
                <w:szCs w:val="1"/>
                <w:color w:val="auto"/>
              </w:rPr>
            </w:pP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and unrealized (losses) gains on investments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w:t>
            </w:r>
          </w:p>
        </w:tc>
        <w:tc>
          <w:tcPr>
            <w:tcW w:w="0" w:type="dxa"/>
            <w:vAlign w:val="bottom"/>
          </w:tcPr>
          <w:p>
            <w:pPr>
              <w:spacing w:after="0"/>
              <w:rPr>
                <w:sz w:val="1"/>
                <w:szCs w:val="1"/>
                <w:color w:val="auto"/>
              </w:rPr>
            </w:pPr>
          </w:p>
        </w:tc>
      </w:tr>
      <w:tr>
        <w:trPr>
          <w:trHeight w:val="20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4,691</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2,773</w:t>
            </w:r>
          </w:p>
        </w:tc>
        <w:tc>
          <w:tcPr>
            <w:tcW w:w="0" w:type="dxa"/>
            <w:vAlign w:val="bottom"/>
          </w:tcPr>
          <w:p>
            <w:pPr>
              <w:spacing w:after="0"/>
              <w:rPr>
                <w:sz w:val="1"/>
                <w:szCs w:val="1"/>
                <w:color w:val="auto"/>
              </w:rPr>
            </w:pPr>
          </w:p>
        </w:tc>
      </w:tr>
      <w:tr>
        <w:trPr>
          <w:trHeight w:val="18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188,289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194,782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389,416</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383,586</w:t>
            </w:r>
          </w:p>
        </w:tc>
        <w:tc>
          <w:tcPr>
            <w:tcW w:w="0" w:type="dxa"/>
            <w:vAlign w:val="bottom"/>
          </w:tcPr>
          <w:p>
            <w:pPr>
              <w:spacing w:after="0"/>
              <w:rPr>
                <w:sz w:val="1"/>
                <w:szCs w:val="1"/>
                <w:color w:val="auto"/>
              </w:rPr>
            </w:pPr>
          </w:p>
        </w:tc>
      </w:tr>
      <w:tr>
        <w:trPr>
          <w:trHeight w:val="20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Losses and loss adjustment expenses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115,471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120,440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225,520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246,821</w:t>
            </w:r>
          </w:p>
        </w:tc>
        <w:tc>
          <w:tcPr>
            <w:tcW w:w="0" w:type="dxa"/>
            <w:vAlign w:val="bottom"/>
          </w:tcPr>
          <w:p>
            <w:pPr>
              <w:spacing w:after="0"/>
              <w:rPr>
                <w:sz w:val="1"/>
                <w:szCs w:val="1"/>
                <w:color w:val="auto"/>
              </w:rPr>
            </w:pPr>
          </w:p>
        </w:tc>
      </w:tr>
      <w:tr>
        <w:trPr>
          <w:trHeight w:val="20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44,096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50,193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94,906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98,229</w:t>
            </w:r>
          </w:p>
        </w:tc>
        <w:tc>
          <w:tcPr>
            <w:tcW w:w="0" w:type="dxa"/>
            <w:vAlign w:val="bottom"/>
          </w:tcPr>
          <w:p>
            <w:pPr>
              <w:spacing w:after="0"/>
              <w:rPr>
                <w:sz w:val="1"/>
                <w:szCs w:val="1"/>
                <w:color w:val="auto"/>
              </w:rPr>
            </w:pP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0" w:type="dxa"/>
            <w:vAlign w:val="bottom"/>
          </w:tcPr>
          <w:p>
            <w:pPr>
              <w:spacing w:after="0"/>
              <w:rPr>
                <w:sz w:val="1"/>
                <w:szCs w:val="1"/>
                <w:color w:val="auto"/>
              </w:rPr>
            </w:pPr>
          </w:p>
        </w:tc>
      </w:tr>
      <w:tr>
        <w:trPr>
          <w:trHeight w:val="20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11,580</w:t>
            </w:r>
          </w:p>
        </w:tc>
        <w:tc>
          <w:tcPr>
            <w:tcW w:w="0" w:type="dxa"/>
            <w:vAlign w:val="bottom"/>
          </w:tcPr>
          <w:p>
            <w:pPr>
              <w:spacing w:after="0"/>
              <w:rPr>
                <w:sz w:val="1"/>
                <w:szCs w:val="1"/>
                <w:color w:val="auto"/>
              </w:rPr>
            </w:pPr>
          </w:p>
        </w:tc>
      </w:tr>
      <w:tr>
        <w:trPr>
          <w:trHeight w:val="192"/>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expenses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168,100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176,944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336,267</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357,638</w:t>
            </w:r>
          </w:p>
        </w:tc>
        <w:tc>
          <w:tcPr>
            <w:tcW w:w="0" w:type="dxa"/>
            <w:vAlign w:val="bottom"/>
          </w:tcPr>
          <w:p>
            <w:pPr>
              <w:spacing w:after="0"/>
              <w:rPr>
                <w:sz w:val="1"/>
                <w:szCs w:val="1"/>
                <w:color w:val="auto"/>
              </w:rPr>
            </w:pPr>
          </w:p>
        </w:tc>
      </w:tr>
      <w:tr>
        <w:trPr>
          <w:trHeight w:val="18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from continuing operations before income taxes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17,838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53,149</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25,948</w:t>
            </w:r>
          </w:p>
        </w:tc>
        <w:tc>
          <w:tcPr>
            <w:tcW w:w="0" w:type="dxa"/>
            <w:vAlign w:val="bottom"/>
          </w:tcPr>
          <w:p>
            <w:pPr>
              <w:spacing w:after="0"/>
              <w:rPr>
                <w:sz w:val="1"/>
                <w:szCs w:val="1"/>
                <w:color w:val="auto"/>
              </w:rPr>
            </w:pPr>
          </w:p>
        </w:tc>
      </w:tr>
      <w:tr>
        <w:trPr>
          <w:trHeight w:val="20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on continuing operations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5,711</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15,163</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8,517</w:t>
            </w:r>
          </w:p>
        </w:tc>
        <w:tc>
          <w:tcPr>
            <w:tcW w:w="0" w:type="dxa"/>
            <w:vAlign w:val="bottom"/>
          </w:tcPr>
          <w:p>
            <w:pPr>
              <w:spacing w:after="0"/>
              <w:rPr>
                <w:sz w:val="1"/>
                <w:szCs w:val="1"/>
                <w:color w:val="auto"/>
              </w:rPr>
            </w:pPr>
          </w:p>
        </w:tc>
      </w:tr>
      <w:tr>
        <w:trPr>
          <w:trHeight w:val="185"/>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37,986</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17,431</w:t>
            </w:r>
          </w:p>
        </w:tc>
        <w:tc>
          <w:tcPr>
            <w:tcW w:w="0" w:type="dxa"/>
            <w:vAlign w:val="bottom"/>
          </w:tcPr>
          <w:p>
            <w:pPr>
              <w:spacing w:after="0"/>
              <w:rPr>
                <w:sz w:val="1"/>
                <w:szCs w:val="1"/>
                <w:color w:val="auto"/>
              </w:rPr>
            </w:pPr>
          </w:p>
        </w:tc>
      </w:tr>
      <w:tr>
        <w:trPr>
          <w:trHeight w:val="20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Discontinued operations (Note 2):</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income from discontinued operations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5,489</w:t>
            </w:r>
          </w:p>
        </w:tc>
        <w:tc>
          <w:tcPr>
            <w:tcW w:w="0" w:type="dxa"/>
            <w:vAlign w:val="bottom"/>
          </w:tcPr>
          <w:p>
            <w:pPr>
              <w:spacing w:after="0"/>
              <w:rPr>
                <w:sz w:val="1"/>
                <w:szCs w:val="1"/>
                <w:color w:val="auto"/>
              </w:rPr>
            </w:pPr>
          </w:p>
        </w:tc>
      </w:tr>
      <w:tr>
        <w:trPr>
          <w:trHeight w:val="206"/>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on disposal of discontinued operations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(loss) income from discontinued operations</w:t>
            </w: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(6,853)</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3,785</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(14,958)</w:t>
            </w:r>
          </w:p>
        </w:tc>
        <w:tc>
          <w:tcPr>
            <w:tcW w:w="100" w:type="dxa"/>
            <w:vAlign w:val="bottom"/>
            <w:tcBorders>
              <w:bottom w:val="single" w:sz="8" w:color="CCEEFF"/>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5,489</w:t>
            </w: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7,625</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23,028</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22,920</w:t>
            </w:r>
          </w:p>
        </w:tc>
        <w:tc>
          <w:tcPr>
            <w:tcW w:w="0" w:type="dxa"/>
            <w:vAlign w:val="bottom"/>
          </w:tcPr>
          <w:p>
            <w:pPr>
              <w:spacing w:after="0"/>
              <w:rPr>
                <w:sz w:val="1"/>
                <w:szCs w:val="1"/>
                <w:color w:val="auto"/>
              </w:rPr>
            </w:pPr>
          </w:p>
        </w:tc>
      </w:tr>
      <w:tr>
        <w:trPr>
          <w:trHeight w:val="18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Dividends on Series A preferred shares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(5,250)</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(5,250)</w:t>
            </w:r>
          </w:p>
        </w:tc>
        <w:tc>
          <w:tcPr>
            <w:tcW w:w="0" w:type="dxa"/>
            <w:vAlign w:val="bottom"/>
          </w:tcPr>
          <w:p>
            <w:pPr>
              <w:spacing w:after="0"/>
              <w:rPr>
                <w:sz w:val="1"/>
                <w:szCs w:val="1"/>
                <w:color w:val="auto"/>
              </w:rPr>
            </w:pPr>
          </w:p>
        </w:tc>
      </w:tr>
      <w:tr>
        <w:trPr>
          <w:trHeight w:val="224"/>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available to common shareholders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17,778</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17,670</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542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Net unrealized (losses) gains, net of taxes of $(627) and $(2,693) in 2024 and $(3,633) and</w:t>
            </w:r>
          </w:p>
        </w:tc>
        <w:tc>
          <w:tcPr>
            <w:tcW w:w="3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(2,359)</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(16,457)</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(10,132)</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14,445</w:t>
            </w:r>
          </w:p>
        </w:tc>
        <w:tc>
          <w:tcPr>
            <w:tcW w:w="0" w:type="dxa"/>
            <w:vAlign w:val="bottom"/>
          </w:tcPr>
          <w:p>
            <w:pPr>
              <w:spacing w:after="0"/>
              <w:rPr>
                <w:sz w:val="1"/>
                <w:szCs w:val="1"/>
                <w:color w:val="auto"/>
              </w:rPr>
            </w:pPr>
          </w:p>
        </w:tc>
      </w:tr>
      <w:tr>
        <w:trPr>
          <w:trHeight w:val="189"/>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$1,369 in 2023</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12,896</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37,365</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Continuing operations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0" w:type="dxa"/>
            <w:vAlign w:val="bottom"/>
          </w:tcPr>
          <w:p>
            <w:pPr>
              <w:spacing w:after="0"/>
              <w:rPr>
                <w:sz w:val="1"/>
                <w:szCs w:val="1"/>
                <w:color w:val="auto"/>
              </w:rPr>
            </w:pPr>
          </w:p>
        </w:tc>
      </w:tr>
      <w:tr>
        <w:trPr>
          <w:trHeight w:val="192"/>
        </w:trPr>
        <w:tc>
          <w:tcPr>
            <w:tcW w:w="54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Discontinued operations</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0.47</w:t>
            </w:r>
          </w:p>
        </w:tc>
        <w:tc>
          <w:tcPr>
            <w:tcW w:w="0" w:type="dxa"/>
            <w:vAlign w:val="bottom"/>
          </w:tcPr>
          <w:p>
            <w:pPr>
              <w:spacing w:after="0"/>
              <w:rPr>
                <w:sz w:val="1"/>
                <w:szCs w:val="1"/>
                <w:color w:val="auto"/>
              </w:rPr>
            </w:pPr>
          </w:p>
        </w:tc>
      </w:tr>
      <w:tr>
        <w:trPr>
          <w:trHeight w:val="191"/>
        </w:trPr>
        <w:tc>
          <w:tcPr>
            <w:tcW w:w="5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Continuing operations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0.85</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0" w:type="dxa"/>
            <w:vAlign w:val="bottom"/>
          </w:tcPr>
          <w:p>
            <w:pPr>
              <w:spacing w:after="0"/>
              <w:rPr>
                <w:sz w:val="1"/>
                <w:szCs w:val="1"/>
                <w:color w:val="auto"/>
              </w:rPr>
            </w:pPr>
          </w:p>
        </w:tc>
      </w:tr>
      <w:tr>
        <w:trPr>
          <w:trHeight w:val="192"/>
        </w:trPr>
        <w:tc>
          <w:tcPr>
            <w:tcW w:w="54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Discontinued operations</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0.47</w:t>
            </w:r>
          </w:p>
        </w:tc>
        <w:tc>
          <w:tcPr>
            <w:tcW w:w="0" w:type="dxa"/>
            <w:vAlign w:val="bottom"/>
          </w:tcPr>
          <w:p>
            <w:pPr>
              <w:spacing w:after="0"/>
              <w:rPr>
                <w:sz w:val="1"/>
                <w:szCs w:val="1"/>
                <w:color w:val="auto"/>
              </w:rPr>
            </w:pP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declared per common share</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2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tcPr>
          <w:p>
            <w:pPr>
              <w:spacing w:after="0"/>
              <w:rPr>
                <w:sz w:val="16"/>
                <w:szCs w:val="16"/>
                <w:color w:val="auto"/>
              </w:rPr>
            </w:pPr>
          </w:p>
        </w:tc>
        <w:tc>
          <w:tcPr>
            <w:tcW w:w="54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0" w:type="dxa"/>
            <w:vAlign w:val="bottom"/>
          </w:tcPr>
          <w:p>
            <w:pPr>
              <w:spacing w:after="0"/>
              <w:rPr>
                <w:sz w:val="1"/>
                <w:szCs w:val="1"/>
                <w:color w:val="auto"/>
              </w:rPr>
            </w:pPr>
          </w:p>
        </w:tc>
      </w:tr>
      <w:tr>
        <w:trPr>
          <w:trHeight w:val="20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common shares outstanding:</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37,869,322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37,642,289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37,801,516</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37,587,359</w:t>
            </w:r>
          </w:p>
        </w:tc>
        <w:tc>
          <w:tcPr>
            <w:tcW w:w="0" w:type="dxa"/>
            <w:vAlign w:val="bottom"/>
          </w:tcPr>
          <w:p>
            <w:pPr>
              <w:spacing w:after="0"/>
              <w:rPr>
                <w:sz w:val="1"/>
                <w:szCs w:val="1"/>
                <w:color w:val="auto"/>
              </w:rPr>
            </w:pPr>
          </w:p>
        </w:tc>
      </w:tr>
      <w:tr>
        <w:trPr>
          <w:trHeight w:val="206"/>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38,037,393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37,858,747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44,762,563</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37,822,405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960" w:type="dxa"/>
            <w:vAlign w:val="bottom"/>
          </w:tcPr>
          <w:p>
            <w:pPr>
              <w:spacing w:after="0"/>
              <w:rPr>
                <w:sz w:val="12"/>
                <w:szCs w:val="12"/>
                <w:color w:val="auto"/>
              </w:rPr>
            </w:pPr>
          </w:p>
        </w:tc>
        <w:tc>
          <w:tcPr>
            <w:tcW w:w="13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960" w:type="dxa"/>
            <w:vAlign w:val="bottom"/>
          </w:tcPr>
          <w:p>
            <w:pPr>
              <w:spacing w:after="0"/>
              <w:rPr>
                <w:sz w:val="12"/>
                <w:szCs w:val="12"/>
                <w:color w:val="auto"/>
              </w:rPr>
            </w:pPr>
          </w:p>
        </w:tc>
        <w:tc>
          <w:tcPr>
            <w:tcW w:w="13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ind w:left="14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60" w:type="dxa"/>
            <w:vAlign w:val="bottom"/>
          </w:tcPr>
          <w:p>
            <w:pPr>
              <w:spacing w:after="0"/>
              <w:rPr>
                <w:sz w:val="12"/>
                <w:szCs w:val="12"/>
                <w:color w:val="auto"/>
              </w:rPr>
            </w:pP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60" w:type="dxa"/>
            <w:vAlign w:val="bottom"/>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(Par)</w:t>
            </w:r>
          </w:p>
        </w:tc>
        <w:tc>
          <w:tcPr>
            <w:tcW w:w="140" w:type="dxa"/>
            <w:vAlign w:val="bottom"/>
          </w:tcPr>
          <w:p>
            <w:pPr>
              <w:spacing w:after="0"/>
              <w:rPr>
                <w:sz w:val="16"/>
                <w:szCs w:val="16"/>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6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400" w:type="dxa"/>
            <w:vAlign w:val="bottom"/>
            <w:tcBorders>
              <w:top w:val="single" w:sz="8" w:color="auto"/>
            </w:tcBorders>
            <w:gridSpan w:val="6"/>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amounts)</w:t>
            </w:r>
          </w:p>
        </w:tc>
        <w:tc>
          <w:tcPr>
            <w:tcW w:w="1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37,822,340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878,091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(267,067)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(71,494)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RSUs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 under share incentive plans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on Series A preferred shares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on common shares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2024</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37,825,767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879,631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(263,994)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(73,853)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541,791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9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37,641,563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876,240</w:t>
            </w:r>
          </w:p>
        </w:tc>
        <w:tc>
          <w:tcPr>
            <w:tcW w:w="10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(277,905)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(63,721)</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534,621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RSUs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expense under share incentive plans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on Series A preferred shares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on common shares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2024</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37,825,767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9"/>
        </w:trPr>
        <w:tc>
          <w:tcPr>
            <w:tcW w:w="3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9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960" w:type="dxa"/>
            <w:vAlign w:val="bottom"/>
          </w:tcPr>
          <w:p>
            <w:pPr>
              <w:spacing w:after="0"/>
              <w:rPr>
                <w:sz w:val="12"/>
                <w:szCs w:val="12"/>
                <w:color w:val="auto"/>
              </w:rPr>
            </w:pPr>
          </w:p>
        </w:tc>
        <w:tc>
          <w:tcPr>
            <w:tcW w:w="130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960" w:type="dxa"/>
            <w:vAlign w:val="bottom"/>
          </w:tcPr>
          <w:p>
            <w:pPr>
              <w:spacing w:after="0"/>
              <w:rPr>
                <w:sz w:val="12"/>
                <w:szCs w:val="12"/>
                <w:color w:val="auto"/>
              </w:rPr>
            </w:pPr>
          </w:p>
        </w:tc>
        <w:tc>
          <w:tcPr>
            <w:tcW w:w="13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ind w:left="14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60" w:type="dxa"/>
            <w:vAlign w:val="bottom"/>
          </w:tcPr>
          <w:p>
            <w:pPr>
              <w:spacing w:after="0"/>
              <w:rPr>
                <w:sz w:val="12"/>
                <w:szCs w:val="12"/>
                <w:color w:val="auto"/>
              </w:rPr>
            </w:pPr>
          </w:p>
        </w:tc>
        <w:tc>
          <w:tcPr>
            <w:tcW w:w="92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3960" w:type="dxa"/>
            <w:vAlign w:val="bottom"/>
          </w:tcPr>
          <w:p>
            <w:pPr>
              <w:spacing w:after="0"/>
              <w:rPr>
                <w:sz w:val="16"/>
                <w:szCs w:val="16"/>
                <w:color w:val="auto"/>
              </w:rPr>
            </w:pPr>
          </w:p>
        </w:tc>
        <w:tc>
          <w:tcPr>
            <w:tcW w:w="13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9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(Par)</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amounts)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37,619,226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870,043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(149,595)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(132,142)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588,313</w:t>
            </w:r>
          </w:p>
        </w:tc>
        <w:tc>
          <w:tcPr>
            <w:tcW w:w="0" w:type="dxa"/>
            <w:vAlign w:val="bottom"/>
          </w:tcPr>
          <w:p>
            <w:pPr>
              <w:spacing w:after="0"/>
              <w:rPr>
                <w:sz w:val="1"/>
                <w:szCs w:val="1"/>
                <w:color w:val="auto"/>
              </w:rPr>
            </w:pPr>
          </w:p>
        </w:tc>
      </w:tr>
      <w:tr>
        <w:trPr>
          <w:trHeight w:val="225"/>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15,914</w:t>
            </w:r>
          </w:p>
        </w:tc>
        <w:tc>
          <w:tcPr>
            <w:tcW w:w="0" w:type="dxa"/>
            <w:vAlign w:val="bottom"/>
          </w:tcPr>
          <w:p>
            <w:pPr>
              <w:spacing w:after="0"/>
              <w:rPr>
                <w:sz w:val="1"/>
                <w:szCs w:val="1"/>
                <w:color w:val="auto"/>
              </w:rPr>
            </w:pPr>
          </w:p>
        </w:tc>
      </w:tr>
      <w:tr>
        <w:trPr>
          <w:trHeight w:val="22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(16,457)</w:t>
            </w:r>
          </w:p>
        </w:tc>
        <w:tc>
          <w:tcPr>
            <w:tcW w:w="0" w:type="dxa"/>
            <w:vAlign w:val="bottom"/>
          </w:tcPr>
          <w:p>
            <w:pPr>
              <w:spacing w:after="0"/>
              <w:rPr>
                <w:sz w:val="1"/>
                <w:szCs w:val="1"/>
                <w:color w:val="auto"/>
              </w:rPr>
            </w:pPr>
          </w:p>
        </w:tc>
      </w:tr>
      <w:tr>
        <w:trPr>
          <w:trHeight w:val="225"/>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expense under share incentive plans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0" w:type="dxa"/>
            <w:vAlign w:val="bottom"/>
          </w:tcPr>
          <w:p>
            <w:pPr>
              <w:spacing w:after="0"/>
              <w:rPr>
                <w:sz w:val="1"/>
                <w:szCs w:val="1"/>
                <w:color w:val="auto"/>
              </w:rPr>
            </w:pPr>
          </w:p>
        </w:tc>
      </w:tr>
      <w:tr>
        <w:trPr>
          <w:trHeight w:val="22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on Series A preferred shares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0" w:type="dxa"/>
            <w:vAlign w:val="bottom"/>
          </w:tcPr>
          <w:p>
            <w:pPr>
              <w:spacing w:after="0"/>
              <w:rPr>
                <w:sz w:val="1"/>
                <w:szCs w:val="1"/>
                <w:color w:val="auto"/>
              </w:rPr>
            </w:pPr>
          </w:p>
        </w:tc>
      </w:tr>
      <w:tr>
        <w:trPr>
          <w:trHeight w:val="225"/>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on common shares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0" w:type="dxa"/>
            <w:vAlign w:val="bottom"/>
          </w:tcPr>
          <w:p>
            <w:pPr>
              <w:spacing w:after="0"/>
              <w:rPr>
                <w:sz w:val="1"/>
                <w:szCs w:val="1"/>
                <w:color w:val="auto"/>
              </w:rPr>
            </w:pPr>
          </w:p>
        </w:tc>
      </w:tr>
      <w:tr>
        <w:trPr>
          <w:trHeight w:val="244"/>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2023</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37,619,226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872,359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585,542</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37,470,237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868,858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553,766</w:t>
            </w:r>
          </w:p>
        </w:tc>
        <w:tc>
          <w:tcPr>
            <w:tcW w:w="0" w:type="dxa"/>
            <w:vAlign w:val="bottom"/>
          </w:tcPr>
          <w:p>
            <w:pPr>
              <w:spacing w:after="0"/>
              <w:rPr>
                <w:sz w:val="1"/>
                <w:szCs w:val="1"/>
                <w:color w:val="auto"/>
              </w:rPr>
            </w:pPr>
          </w:p>
        </w:tc>
      </w:tr>
      <w:tr>
        <w:trPr>
          <w:trHeight w:val="225"/>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22,920</w:t>
            </w:r>
          </w:p>
        </w:tc>
        <w:tc>
          <w:tcPr>
            <w:tcW w:w="0" w:type="dxa"/>
            <w:vAlign w:val="bottom"/>
          </w:tcPr>
          <w:p>
            <w:pPr>
              <w:spacing w:after="0"/>
              <w:rPr>
                <w:sz w:val="1"/>
                <w:szCs w:val="1"/>
                <w:color w:val="auto"/>
              </w:rPr>
            </w:pPr>
          </w:p>
        </w:tc>
      </w:tr>
      <w:tr>
        <w:trPr>
          <w:trHeight w:val="22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14,445</w:t>
            </w:r>
          </w:p>
        </w:tc>
        <w:tc>
          <w:tcPr>
            <w:tcW w:w="0" w:type="dxa"/>
            <w:vAlign w:val="bottom"/>
          </w:tcPr>
          <w:p>
            <w:pPr>
              <w:spacing w:after="0"/>
              <w:rPr>
                <w:sz w:val="1"/>
                <w:szCs w:val="1"/>
                <w:color w:val="auto"/>
              </w:rPr>
            </w:pPr>
          </w:p>
        </w:tc>
      </w:tr>
      <w:tr>
        <w:trPr>
          <w:trHeight w:val="225"/>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RSUs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0" w:type="dxa"/>
            <w:vAlign w:val="bottom"/>
          </w:tcPr>
          <w:p>
            <w:pPr>
              <w:spacing w:after="0"/>
              <w:rPr>
                <w:sz w:val="1"/>
                <w:szCs w:val="1"/>
                <w:color w:val="auto"/>
              </w:rPr>
            </w:pPr>
          </w:p>
        </w:tc>
      </w:tr>
      <w:tr>
        <w:trPr>
          <w:trHeight w:val="22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 under share incentive plans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0" w:type="dxa"/>
            <w:vAlign w:val="bottom"/>
          </w:tcPr>
          <w:p>
            <w:pPr>
              <w:spacing w:after="0"/>
              <w:rPr>
                <w:sz w:val="1"/>
                <w:szCs w:val="1"/>
                <w:color w:val="auto"/>
              </w:rPr>
            </w:pPr>
          </w:p>
        </w:tc>
      </w:tr>
      <w:tr>
        <w:trPr>
          <w:trHeight w:val="225"/>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on Series A preferred shares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0" w:type="dxa"/>
            <w:vAlign w:val="bottom"/>
          </w:tcPr>
          <w:p>
            <w:pPr>
              <w:spacing w:after="0"/>
              <w:rPr>
                <w:sz w:val="1"/>
                <w:szCs w:val="1"/>
                <w:color w:val="auto"/>
              </w:rPr>
            </w:pPr>
          </w:p>
        </w:tc>
      </w:tr>
      <w:tr>
        <w:trPr>
          <w:trHeight w:val="22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on common shares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0" w:type="dxa"/>
            <w:vAlign w:val="bottom"/>
          </w:tcPr>
          <w:p>
            <w:pPr>
              <w:spacing w:after="0"/>
              <w:rPr>
                <w:sz w:val="1"/>
                <w:szCs w:val="1"/>
                <w:color w:val="auto"/>
              </w:rPr>
            </w:pPr>
          </w:p>
        </w:tc>
      </w:tr>
      <w:tr>
        <w:trPr>
          <w:trHeight w:val="21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30, 2023</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37,619,226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872,359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(138,225)</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(148,599)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585,542</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JAMES RIVER GROUP HOLDINGS, LTD. AND SUBSIDIARIES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00" w:lineRule="exact"/>
        <w:rPr>
          <w:sz w:val="20"/>
          <w:szCs w:val="20"/>
          <w:color w:val="auto"/>
        </w:rPr>
      </w:pP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8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8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8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20" w:type="dxa"/>
            <w:vAlign w:val="bottom"/>
          </w:tcPr>
          <w:p>
            <w:pPr>
              <w:spacing w:after="0"/>
              <w:rPr>
                <w:sz w:val="16"/>
                <w:szCs w:val="16"/>
                <w:color w:val="auto"/>
              </w:rPr>
            </w:pPr>
          </w:p>
        </w:tc>
      </w:tr>
      <w:tr>
        <w:trPr>
          <w:trHeight w:val="232"/>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 (a)</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15,397</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42,621</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Sale of JRG Re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96,412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 fixed maturity securities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(142,680)</w:t>
            </w:r>
          </w:p>
        </w:tc>
      </w:tr>
      <w:tr>
        <w:trPr>
          <w:trHeight w:val="225"/>
        </w:trPr>
        <w:tc>
          <w:tcPr>
            <w:tcW w:w="8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 fixed maturity securities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198,046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10,092</w:t>
            </w:r>
          </w:p>
        </w:tc>
      </w:tr>
      <w:tr>
        <w:trPr>
          <w:trHeight w:val="225"/>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Maturities and calls – fixed maturity securities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84,596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55,520</w:t>
            </w:r>
          </w:p>
        </w:tc>
      </w:tr>
      <w:tr>
        <w:trPr>
          <w:trHeight w:val="225"/>
        </w:trPr>
        <w:tc>
          <w:tcPr>
            <w:tcW w:w="8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 equity securities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(8,557)</w:t>
            </w:r>
          </w:p>
        </w:tc>
      </w:tr>
      <w:tr>
        <w:trPr>
          <w:trHeight w:val="225"/>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 equity securities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8,548</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loan participations: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(17,119)</w:t>
            </w:r>
          </w:p>
        </w:tc>
      </w:tr>
      <w:tr>
        <w:trPr>
          <w:trHeight w:val="225"/>
        </w:trPr>
        <w:tc>
          <w:tcPr>
            <w:tcW w:w="8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20,020</w:t>
            </w:r>
          </w:p>
        </w:tc>
      </w:tr>
      <w:tr>
        <w:trPr>
          <w:trHeight w:val="225"/>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Maturities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12,650</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invested 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25"/>
        </w:trPr>
        <w:tc>
          <w:tcPr>
            <w:tcW w:w="8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Return of capital</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25"/>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sales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85,684</w:t>
            </w: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receivable or payable,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r>
      <w:tr>
        <w:trPr>
          <w:trHeight w:val="218"/>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356,628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27,070</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Senior debt repayments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taxes withheld and remitted on net settlement of RSUs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Dividends on Series A preferred shares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(7,875)</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on common shares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w:t>
            </w: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8"/>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(31,488)</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(13,329)</w:t>
            </w:r>
          </w:p>
        </w:tc>
      </w:tr>
      <w:tr>
        <w:trPr>
          <w:trHeight w:val="21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Change in cash, cash equivalents, and restricted cash equivalents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340,537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56,362</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equivalents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359,949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276,379</w:t>
            </w:r>
          </w:p>
        </w:tc>
      </w:tr>
      <w:tr>
        <w:trPr>
          <w:trHeight w:val="218"/>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equivalents at end of period</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700,486</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332,741</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8"/>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15,628</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14,877</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8"/>
        </w:trPr>
        <w:tc>
          <w:tcPr>
            <w:tcW w:w="8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5"/>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equivalents at beginning of period</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72,449</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103,215</w:t>
            </w:r>
          </w:p>
        </w:tc>
      </w:tr>
      <w:tr>
        <w:trPr>
          <w:trHeight w:val="225"/>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equivalents at end of period</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105,502</w:t>
            </w:r>
          </w:p>
        </w:tc>
      </w:tr>
      <w:tr>
        <w:trPr>
          <w:trHeight w:val="231"/>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Change in restricted cash equivalents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(44,486)</w:t>
            </w:r>
          </w:p>
        </w:tc>
        <w:tc>
          <w:tcPr>
            <w:tcW w:w="120" w:type="dxa"/>
            <w:vAlign w:val="bottom"/>
          </w:tcPr>
          <w:p>
            <w:pPr>
              <w:spacing w:after="0"/>
              <w:rPr>
                <w:sz w:val="20"/>
                <w:szCs w:val="20"/>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w:t>
            </w:r>
          </w:p>
        </w:tc>
      </w:tr>
    </w:tbl>
    <w:p>
      <w:pPr>
        <w:spacing w:after="0" w:line="303" w:lineRule="exact"/>
        <w:rPr>
          <w:sz w:val="20"/>
          <w:szCs w:val="20"/>
          <w:color w:val="auto"/>
        </w:rPr>
      </w:pPr>
    </w:p>
    <w:p>
      <w:pPr>
        <w:jc w:val="both"/>
        <w:ind w:firstLine="6"/>
        <w:spacing w:after="0" w:line="263" w:lineRule="auto"/>
        <w:tabs>
          <w:tab w:leader="none" w:pos="19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Cash provided by operating activities for the six months ended June 30, 2024 and 2023 includes the restricted cash activity above related to a former insured, per the terms of a collateral trust. See “Item 2. Management’s Discussion and Analysis of Financial Condition and Results of Operations – </w:t>
      </w:r>
      <w:r>
        <w:rPr>
          <w:rFonts w:ascii="Times New Roman" w:cs="Times New Roman" w:eastAsia="Times New Roman" w:hAnsi="Times New Roman"/>
          <w:sz w:val="14"/>
          <w:szCs w:val="14"/>
          <w:i w:val="1"/>
          <w:iCs w:val="1"/>
          <w:color w:val="auto"/>
        </w:rPr>
        <w:t>Amounts Recoverable from an Indemnifying Party and Reinsurer on Legacy Commercial Auto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Book</w:t>
      </w:r>
      <w:r>
        <w:rPr>
          <w:rFonts w:ascii="Times New Roman" w:cs="Times New Roman" w:eastAsia="Times New Roman" w:hAnsi="Times New Roman"/>
          <w:sz w:val="14"/>
          <w:szCs w:val="14"/>
          <w:color w:val="auto"/>
        </w:rPr>
        <w:t>”. Excluding the restricted cash activity, cash provided by operating activities was $59.9 million and $40.3 million for the six months ended June 30, 2024 and 2023, respectively.</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9460" w:firstLine="6"/>
        <w:spacing w:after="0" w:line="369" w:lineRule="auto"/>
        <w:tabs>
          <w:tab w:leader="none" w:pos="299"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Policies Organization</w:t>
      </w:r>
    </w:p>
    <w:p>
      <w:pPr>
        <w:spacing w:after="0" w:line="2"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James River Group Holdings, Ltd. (referred to as “JRG Holdings” or, with its subsidiaries, the “Company”) is an exempted holding company registered in Bermuda, organized for the purpose of acquiring and managing insurance entities.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owns five insurance companies based in the United States (“U.S.”) focused on specialty insurance niches as described below:</w:t>
      </w:r>
    </w:p>
    <w:p>
      <w:pPr>
        <w:spacing w:after="0" w:line="111" w:lineRule="exact"/>
        <w:rPr>
          <w:sz w:val="20"/>
          <w:szCs w:val="20"/>
          <w:color w:val="auto"/>
        </w:rPr>
      </w:pPr>
    </w:p>
    <w:p>
      <w:pPr>
        <w:ind w:left="640" w:hanging="316"/>
        <w:spacing w:after="0" w:line="274"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River Group Holdings UK Limited (“James River UK”) is an insurance holding company formed in 2015 in the United Kingdom (“U.K.”). JRG Holdings contributed James River Group, Inc. (“James River Group”), a U.S. insurance holding company, to James River UK in 2015.</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River Group is a Delaware domiciled insurance holding company formed in 2002 which owns all of the Company’s U.S.-based subsidiaries, either directly or indirectly through one of its wholly-owned U.S. subsidiaries. James River Group oversees the Company’s U.S. insurance operations and maintains all of the outstanding debt in the U.S.</w:t>
      </w:r>
    </w:p>
    <w:p>
      <w:pPr>
        <w:spacing w:after="0" w:line="71" w:lineRule="exact"/>
        <w:rPr>
          <w:rFonts w:ascii="Times New Roman" w:cs="Times New Roman" w:eastAsia="Times New Roman" w:hAnsi="Times New Roman"/>
          <w:sz w:val="18"/>
          <w:szCs w:val="18"/>
          <w:color w:val="auto"/>
        </w:rPr>
      </w:pPr>
    </w:p>
    <w:p>
      <w:pPr>
        <w:ind w:left="640" w:hanging="316"/>
        <w:spacing w:after="0" w:line="304" w:lineRule="auto"/>
        <w:tabs>
          <w:tab w:leader="none" w:pos="6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James River Insurance Company is an Ohio domiciled excess and surplus lines insurance company that, with its wholly-owned insurance subsidiary, James River Casualty Company, an Ohio domiciled company, is authorized to write business in every state and the District of Columbia.</w:t>
      </w:r>
    </w:p>
    <w:p>
      <w:pPr>
        <w:spacing w:after="0" w:line="34" w:lineRule="exact"/>
        <w:rPr>
          <w:rFonts w:ascii="Times New Roman" w:cs="Times New Roman" w:eastAsia="Times New Roman" w:hAnsi="Times New Roman"/>
          <w:sz w:val="17"/>
          <w:szCs w:val="17"/>
          <w:color w:val="auto"/>
        </w:rPr>
      </w:pPr>
    </w:p>
    <w:p>
      <w:pPr>
        <w:jc w:val="both"/>
        <w:ind w:left="640" w:hanging="316"/>
        <w:spacing w:after="0" w:line="259"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Falls Lake National Insurance Company (“Falls Lake National”) is an Ohio domiciled insurance company which wholly owns Stonewood Insurance Company, an Ohio domiciled company, and Falls Lake Fire and Casualty Company, a California domiciled company. Falls Lake National and its subsidiaries primarily write specialty admitted fronting and program business.</w:t>
      </w:r>
    </w:p>
    <w:p>
      <w:pPr>
        <w:spacing w:after="0" w:line="72" w:lineRule="exact"/>
        <w:rPr>
          <w:sz w:val="20"/>
          <w:szCs w:val="20"/>
          <w:color w:val="auto"/>
        </w:rPr>
      </w:pPr>
    </w:p>
    <w:p>
      <w:pPr>
        <w:jc w:val="both"/>
        <w:ind w:firstLine="358"/>
        <w:spacing w:after="0" w:line="252" w:lineRule="auto"/>
        <w:rPr>
          <w:sz w:val="20"/>
          <w:szCs w:val="20"/>
          <w:color w:val="auto"/>
        </w:rPr>
      </w:pPr>
      <w:r>
        <w:rPr>
          <w:rFonts w:ascii="Times New Roman" w:cs="Times New Roman" w:eastAsia="Times New Roman" w:hAnsi="Times New Roman"/>
          <w:sz w:val="18"/>
          <w:szCs w:val="18"/>
          <w:color w:val="auto"/>
        </w:rPr>
        <w:t>The Company previously owned JRG Reinsurance Company Ltd. (“JRG Re”), a Bermuda domiciled reinsurer, which comprised the former Casualty Reinsurance segment, and which, prior to the suspension of its underwriting activities in 2023, primarily provided non-catastrophe casualty reinsurance to U.S. third parties. On November 8, 2023, the Company entered into an agreement to sell JRG Re. The sale closed on April 16, 2024 and resulted in the Company’s disposition of its casualty reinsurance business and related assets. See Held-for-Sale and Discontinued Operations below and Note 2 for additional disclosure.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and notes have been prepared in accordance with U.S. generally accepted accounting principles (“GAAP”) for interim financial information and do not contain all of the information and footnotes required by U.S. GAAP for complete financial statements. The condensed consolidated financial statements include the results of the Company and its subsidiaries from their respective dates of inception or acquisition, as applicable. Readers are urged to review the Company’s Annual Report on Form 10-K for the year ended December 31, 2023 for a more complete description of the Company’s business and accounting policies. In the opinion of management, all adjustments necessary for a fair presentation of the condensed consolidated financial statements have been included. Such adjustments consist only of normal recurring items. Interim results are not necessarily indicative of results of operations for the full year. The consolidated balance sheet as of December 31, 2023 was derived from the Company’s audited annual consolidated financial statements.</w:t>
      </w:r>
    </w:p>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Intercompany transactions and balances have been eliminated.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Held-for-Sale and Discontinued Operations</w:t>
      </w:r>
    </w:p>
    <w:p>
      <w:pPr>
        <w:spacing w:after="0" w:line="113" w:lineRule="exact"/>
        <w:rPr>
          <w:sz w:val="20"/>
          <w:szCs w:val="20"/>
          <w:color w:val="auto"/>
        </w:rPr>
      </w:pPr>
    </w:p>
    <w:p>
      <w:pPr>
        <w:jc w:val="both"/>
        <w:ind w:firstLine="358"/>
        <w:spacing w:after="0" w:line="271" w:lineRule="auto"/>
        <w:rPr>
          <w:sz w:val="20"/>
          <w:szCs w:val="20"/>
          <w:color w:val="auto"/>
        </w:rPr>
      </w:pPr>
      <w:r>
        <w:rPr>
          <w:rFonts w:ascii="Times New Roman" w:cs="Times New Roman" w:eastAsia="Times New Roman" w:hAnsi="Times New Roman"/>
          <w:sz w:val="17"/>
          <w:szCs w:val="17"/>
          <w:color w:val="auto"/>
        </w:rPr>
        <w:t>The results of operations of a component of the Company are reported in discontinued operations when certain criteria are met as of the date of disposal, or earlier if classified as held-for-sale. The Company determined that the definitive agreement to sell JRG Re met the criteria for JRG Re to be classified as held for sale at December 31, 2023 and that the sale represented a strategic shift that will have a major effect on the Company's operations. Accordingly, the results of JRG Re's operations have been presented as discontinued operations, and the assets and liabilities of JRG Re at December 31, 2023 have been classified as held-for-sale and segregated for all periods presented in this interim report on Form 10-Q. See Note 2 for additional disclosure.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Estimates and Assumptions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Preparation of the condensed consolidated financial statements in conformity with U.S. GAAP requires management to make estimates and assumptions that affect the amounts reported in the condensed consolidated financial statements and accompanying disclosures. Those estimates are inherently subject to change, and actual results may ultimately differ from those estimates.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w:t>
      </w:r>
    </w:p>
    <w:p>
      <w:pPr>
        <w:spacing w:after="0" w:line="1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Entities that do not have sufficient equity at risk to allow the entity to finance its activities without additional financial support or in which the equity investors, as a group, do not have the characteristic of a controlling financial interest are referred to as variable interest entities (“VIE”). A VIE is consolidated by the variable interest holder that is determined to have the controlling financial interest (primary beneficiary) as a result of having both the power to direct the activities of a VIE that most significantly impact the VIE’s economic performance and the obligation to absorb losses or the right to receive benefits from the VIE that could potentially be significant to the VIE. The Company determines whether it is the primary beneficiary of an entity subject to consolidation based on a qualitative assessment of the VIE’s capital structure, contractual terms, nature of the VIE’s operations and purpose, and the Company’s relative exposure to the related risks of the VIE on the date it becomes initially involved in the VIE. The Company reassesses its VIE determination with respect to an entity on an ongoing basis.</w:t>
      </w:r>
    </w:p>
    <w:p>
      <w:pPr>
        <w:spacing w:after="0" w:line="8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holds interests in VIEs through certain equity method investments included in “other invested assets” in the accompanying condensed consolidated balance sheets. The Company has determined that it should not consolidate any of the VIEs as it is not the primary beneficiary in any of the relationships. Although the investments resulted in the Company holding variable interests in the entities, they did not empower the Company to direct the activities that most significantly impact the economic performance of the entities. The Company’s investments related to these VIEs totaled $8.0 million at June 30, 2024 and $8.4 million at December 31, 2023, representing the Company’s maximum exposure to loss.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13" w:lineRule="exact"/>
        <w:rPr>
          <w:sz w:val="20"/>
          <w:szCs w:val="20"/>
          <w:color w:val="auto"/>
        </w:rPr>
      </w:pPr>
    </w:p>
    <w:p>
      <w:pPr>
        <w:jc w:val="both"/>
        <w:ind w:firstLine="358"/>
        <w:spacing w:after="0" w:line="250" w:lineRule="auto"/>
        <w:rPr>
          <w:sz w:val="20"/>
          <w:szCs w:val="20"/>
          <w:color w:val="auto"/>
        </w:rPr>
      </w:pPr>
      <w:r>
        <w:rPr>
          <w:rFonts w:ascii="Times New Roman" w:cs="Times New Roman" w:eastAsia="Times New Roman" w:hAnsi="Times New Roman"/>
          <w:sz w:val="18"/>
          <w:szCs w:val="18"/>
          <w:color w:val="auto"/>
        </w:rPr>
        <w:t>Our effective tax rate fluctuates from period to period based on the relative mix of income from continuing operations reported by country and the respective tax rates imposed by each tax jurisdiction. Statutory tax rates are 0% and 21% for Bermuda and the U.S. For the three and six months ended June 30, 2024, our effective tax rate on income from continuing operations was 28.3% and 28.5%, respectively (32.0% and 32.8% in the respective prior year periods). The Company does not receive a U.S. tax deduction for losses in our Bermuda entities. Bermuda had losses in both periods primarily due to Bermuda holding company expenses and interest expense.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and expenses on share based compensation.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Adopted Accounting Standards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new accounting standards adopted in 2024 that materially impacted the Company's financial statements.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Prospective Accounting Standards</w:t>
      </w:r>
    </w:p>
    <w:p>
      <w:pPr>
        <w:spacing w:after="0" w:line="111" w:lineRule="exact"/>
        <w:rPr>
          <w:sz w:val="20"/>
          <w:szCs w:val="20"/>
          <w:color w:val="auto"/>
        </w:rPr>
      </w:pPr>
    </w:p>
    <w:p>
      <w:pPr>
        <w:jc w:val="both"/>
        <w:ind w:firstLine="358"/>
        <w:spacing w:after="0" w:line="275" w:lineRule="auto"/>
        <w:rPr>
          <w:sz w:val="20"/>
          <w:szCs w:val="20"/>
          <w:color w:val="auto"/>
        </w:rPr>
      </w:pPr>
      <w:r>
        <w:rPr>
          <w:rFonts w:ascii="Times New Roman" w:cs="Times New Roman" w:eastAsia="Times New Roman" w:hAnsi="Times New Roman"/>
          <w:sz w:val="17"/>
          <w:szCs w:val="17"/>
          <w:color w:val="auto"/>
        </w:rPr>
        <w:t>The guidance in ASU 2023-07</w:t>
      </w:r>
      <w:r>
        <w:rPr>
          <w:rFonts w:ascii="Times New Roman" w:cs="Times New Roman" w:eastAsia="Times New Roman" w:hAnsi="Times New Roman"/>
          <w:sz w:val="17"/>
          <w:szCs w:val="17"/>
          <w:i w:val="1"/>
          <w:iCs w:val="1"/>
          <w:color w:val="auto"/>
        </w:rPr>
        <w:t>—Segment Reporting (Topic 280): Improvements to Reportable Segment Disclosures</w:t>
      </w:r>
      <w:r>
        <w:rPr>
          <w:rFonts w:ascii="Times New Roman" w:cs="Times New Roman" w:eastAsia="Times New Roman" w:hAnsi="Times New Roman"/>
          <w:sz w:val="17"/>
          <w:szCs w:val="17"/>
          <w:color w:val="auto"/>
        </w:rPr>
        <w:t xml:space="preserve"> was designed to improve reportable segment disclosure requirements, primarily through enhanced disclosures about significant segment expenses. This ASU is effective for fiscal years beginning after December 15, 2023, and interim periods within fiscal years beginning after December 15, 2024. Although the Company continues to evaluate the impact of adopting this new accounting standard, the amendments are disclosure-related and are not expected to have a material impact on our financial statements.</w:t>
      </w:r>
    </w:p>
    <w:p>
      <w:pPr>
        <w:spacing w:after="0" w:line="58" w:lineRule="exact"/>
        <w:rPr>
          <w:sz w:val="20"/>
          <w:szCs w:val="20"/>
          <w:color w:val="auto"/>
        </w:rPr>
      </w:pPr>
    </w:p>
    <w:p>
      <w:pPr>
        <w:jc w:val="both"/>
        <w:ind w:firstLine="358"/>
        <w:spacing w:after="0" w:line="256" w:lineRule="auto"/>
        <w:rPr>
          <w:sz w:val="20"/>
          <w:szCs w:val="20"/>
          <w:color w:val="auto"/>
        </w:rPr>
      </w:pPr>
      <w:r>
        <w:rPr>
          <w:rFonts w:ascii="Times New Roman" w:cs="Times New Roman" w:eastAsia="Times New Roman" w:hAnsi="Times New Roman"/>
          <w:sz w:val="18"/>
          <w:szCs w:val="18"/>
          <w:color w:val="auto"/>
        </w:rPr>
        <w:t>The guidance in ASU 2023-09</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was designed to increase transparency about income tax information through improvements to the rate reconciliation and disclosure of income taxes paid. This ASU is effective for fiscal years beginning after December 15, 2024. Although the Company continues to evaluate the impact of adopting this new accounting standard, the amendments are disclosure-related and are not expected to have a material impact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Discontinued Operations</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November 8, 2023, the Company entered into a Stock Purchase Agreement (the “Stock Purchase Agreement”) with Fleming Intermediate Holdings LLC, a Cayman Islands limited liability company (the “Buyer”). Pursuant to the Stock Purchase Agreement, and on the terms and subject to the conditions therein, the Buyer agreed to purchase from the Company all of the common shares of JRG Re. JRG Re comprised the remaining operations of the former Casualty Reinsurance segment, and the sale of JRG Re, which closed on April 16, 2024, resulted in the Company’s disposition of its casualty reinsurance business and related assets.</w:t>
      </w:r>
    </w:p>
    <w:p>
      <w:pPr>
        <w:spacing w:after="0" w:line="79"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Pursuant to the terms of the Stock Purchase Agreement, the aggregate purchase price received by the Company, after giving effect to estimated adjustments based on changes in JRG Re’s adjusted net worth between March 31, 2023 and the closing, totaled approximately $291.4 million (the “Closing Date Purchase Price”). The aggregate Closing Date Purchase Price was comprised of (i) $152.4 million paid in cash by the Buyer and (ii) an aggregate $139.0 million dividend and distribution from contributed surplus by JRG Re to the Company. In accordance with the Stock Purchase Agreement, the cash portion of the purchase price was calculated based on an estimated balance sheet of JRG Re as of the date of closing. The estimated balance sheet is subject to final post-closing adjustments, which could result in adjustments to the purchase price. Additionally, the Buyer may pay an additional $2.5 million to the Company in the event that certain conditions outlined in the Stock Purchase Agreement are met on the date that is nine months following the date of closing.</w:t>
      </w:r>
    </w:p>
    <w:p>
      <w:pPr>
        <w:spacing w:after="0" w:line="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Buyer delivered a closing statement to the Company, and pursuant to the procedures in the Stock Purchase Agreement, the Company has given its notice of disagreement with the Buyer’s closing statement. In its notice of disagreement, the Company (i) agreed with an $11.4 million downward adjustment to the Closing Date Purchase Price due to losses from JRG Re’s operations between the date of the balance sheet used to produce the estimated closing statement and the Closing Date, which downward adjustment is included in “Other Liabilities” on the Company’s Balance Sheet at June 30, 2024, and (ii) disputed $54.1 million in aggregate downward adjustments to the Closing Date Purchase Price claimed by the Buyer, which the Company believes are unsupported by the facts known to the Company and the terms of the Stock Purchase Agreement. The Stock Purchase Agreement provides procedures for resolving disputes between the parties regarding the closing statement and it is possible that the resolution of these disputes could result in a significant reduction to the amount of the purchase price.</w:t>
      </w:r>
    </w:p>
    <w:p>
      <w:pPr>
        <w:spacing w:after="0" w:line="8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determined that the sale of JRG Re met the criteria to be classified as held for sale at December 31, 2023 and that the sale represented a strategic shift that will have a major effect on its operations. Accordingly, the results of JRG Re's operations have been presented as discontinued operations, and the assets and liabilities of JRG Re at December 31, 2023 have been classified as held for sale and segregated for all periods presented in this interim report on Form 10-Q.</w:t>
      </w:r>
    </w:p>
    <w:p>
      <w:pPr>
        <w:spacing w:after="0" w:line="7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$139.0 million pre-closing dividend was completed in the first quarter of 2024. It included the forgiveness of $133.2 million owed from JRG Holdings to JRG Re and $5.8 million paid in cash to JRG Holdings. In the fourth quarter of 2023, after giving effect to the pre-closing dividend, we recorded an estimated loss on sale of $80.4 million to write down the carrying value of JRG Re to its estimated fair value based upon the estimated sales price of the transaction less costs to sell and other adjustments in accordance with the Stock Purchase Agreement. In the six months ended June 30, 2024, the estimated loss on the sale was revised to $78.0 million. The loss on disposal for the six months ended June 30, 2024 of $1.4 million includes the $2.4 million gain for the change in the estimated loss on sale and selling costs incurred of $3.8 million. The $5.8 million cash portion of the pre-closing dividend was included in other liabilities at December 31, 2023.</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JRG Re's assets and liabilities held for sale at December 31, 2023 were comprised of the following: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9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1"/>
        </w:trPr>
        <w:tc>
          <w:tcPr>
            <w:tcW w:w="9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r>
      <w:tr>
        <w:trPr>
          <w:trHeight w:val="232"/>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5"/>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Invested 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5"/>
        </w:trPr>
        <w:tc>
          <w:tcPr>
            <w:tcW w:w="9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maturity securities, at fair value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532,242</w:t>
            </w:r>
          </w:p>
        </w:tc>
      </w:tr>
      <w:tr>
        <w:trPr>
          <w:trHeight w:val="225"/>
        </w:trPr>
        <w:tc>
          <w:tcPr>
            <w:tcW w:w="9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w:t>
            </w:r>
          </w:p>
        </w:tc>
      </w:tr>
      <w:tr>
        <w:trPr>
          <w:trHeight w:val="218"/>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invested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535,021</w:t>
            </w:r>
          </w:p>
        </w:tc>
      </w:tr>
      <w:tr>
        <w:trPr>
          <w:trHeight w:val="225"/>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13,202</w:t>
            </w:r>
          </w:p>
        </w:tc>
      </w:tr>
      <w:tr>
        <w:trPr>
          <w:trHeight w:val="225"/>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r>
      <w:tr>
        <w:trPr>
          <w:trHeight w:val="225"/>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Premiums receivable and agents’ balances,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68,441</w:t>
            </w:r>
          </w:p>
        </w:tc>
      </w:tr>
      <w:tr>
        <w:trPr>
          <w:trHeight w:val="225"/>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Reinsurance recoverable on unpaid and paid losses,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234,615</w:t>
            </w:r>
          </w:p>
        </w:tc>
      </w:tr>
      <w:tr>
        <w:trPr>
          <w:trHeight w:val="225"/>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w:t>
            </w:r>
          </w:p>
        </w:tc>
      </w:tr>
      <w:tr>
        <w:trPr>
          <w:trHeight w:val="225"/>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 down of JRG Re to fair value less cost to sell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(80,400)</w:t>
            </w:r>
          </w:p>
        </w:tc>
      </w:tr>
      <w:tr>
        <w:trPr>
          <w:trHeight w:val="225"/>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w:t>
            </w:r>
          </w:p>
        </w:tc>
      </w:tr>
      <w:tr>
        <w:trPr>
          <w:trHeight w:val="243"/>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held for sale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783,393</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9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5"/>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5"/>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 for losses and loss adjustment expenses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441,666</w:t>
            </w:r>
          </w:p>
        </w:tc>
      </w:tr>
      <w:tr>
        <w:trPr>
          <w:trHeight w:val="225"/>
        </w:trPr>
        <w:tc>
          <w:tcPr>
            <w:tcW w:w="9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Unearned premiums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17,223</w:t>
            </w:r>
          </w:p>
        </w:tc>
      </w:tr>
      <w:tr>
        <w:trPr>
          <w:trHeight w:val="225"/>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Funds held</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137,796</w:t>
            </w:r>
          </w:p>
        </w:tc>
      </w:tr>
      <w:tr>
        <w:trPr>
          <w:trHeight w:val="225"/>
        </w:trPr>
        <w:tc>
          <w:tcPr>
            <w:tcW w:w="9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reinsurance gain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33,167</w:t>
            </w:r>
          </w:p>
        </w:tc>
      </w:tr>
      <w:tr>
        <w:trPr>
          <w:trHeight w:val="225"/>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w:t>
            </w:r>
          </w:p>
        </w:tc>
      </w:tr>
      <w:tr>
        <w:trPr>
          <w:trHeight w:val="225"/>
        </w:trPr>
        <w:tc>
          <w:tcPr>
            <w:tcW w:w="9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9,690</w:t>
            </w:r>
          </w:p>
        </w:tc>
      </w:tr>
      <w:tr>
        <w:trPr>
          <w:trHeight w:val="21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641,497</w:t>
            </w:r>
          </w:p>
        </w:tc>
      </w:tr>
      <w:tr>
        <w:trPr>
          <w:trHeight w:val="20"/>
        </w:trPr>
        <w:tc>
          <w:tcPr>
            <w:tcW w:w="9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operating results of JRG Re reported in discontinued operations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2960" w:type="dxa"/>
            <w:vAlign w:val="bottom"/>
            <w:gridSpan w:val="7"/>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6"/>
                <w:szCs w:val="16"/>
                <w:color w:val="auto"/>
              </w:rPr>
            </w:pPr>
          </w:p>
        </w:tc>
        <w:tc>
          <w:tcPr>
            <w:tcW w:w="248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4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86"/>
        </w:trPr>
        <w:tc>
          <w:tcPr>
            <w:tcW w:w="54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r>
      <w:tr>
        <w:trPr>
          <w:trHeight w:val="186"/>
        </w:trPr>
        <w:tc>
          <w:tcPr>
            <w:tcW w:w="5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4"/>
          </w:tcPr>
          <w:p>
            <w:pPr>
              <w:jc w:val="center"/>
              <w:ind w:left="554"/>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840" w:type="dxa"/>
            <w:vAlign w:val="bottom"/>
            <w:shd w:val="clear" w:color="auto" w:fill="CCEEFF"/>
          </w:tcPr>
          <w:p>
            <w:pPr>
              <w:jc w:val="right"/>
              <w:ind w:right="66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15,130</w:t>
            </w:r>
          </w:p>
        </w:tc>
        <w:tc>
          <w:tcPr>
            <w:tcW w:w="40" w:type="dxa"/>
            <w:vAlign w:val="bottom"/>
          </w:tcPr>
          <w:p>
            <w:pPr>
              <w:spacing w:after="0"/>
              <w:rPr>
                <w:sz w:val="19"/>
                <w:szCs w:val="19"/>
                <w:color w:val="auto"/>
              </w:rPr>
            </w:pPr>
          </w:p>
        </w:tc>
      </w:tr>
      <w:tr>
        <w:trPr>
          <w:trHeight w:val="225"/>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Ceded written premiums</w:t>
            </w:r>
          </w:p>
        </w:tc>
        <w:tc>
          <w:tcPr>
            <w:tcW w:w="8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40" w:type="dxa"/>
            <w:vAlign w:val="bottom"/>
          </w:tcPr>
          <w:p>
            <w:pPr>
              <w:spacing w:after="0"/>
              <w:rPr>
                <w:sz w:val="19"/>
                <w:szCs w:val="19"/>
                <w:color w:val="auto"/>
              </w:rPr>
            </w:pPr>
          </w:p>
        </w:tc>
      </w:tr>
      <w:tr>
        <w:trPr>
          <w:trHeight w:val="218"/>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written premiums</w:t>
            </w:r>
          </w:p>
        </w:tc>
        <w:tc>
          <w:tcPr>
            <w:tcW w:w="8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2,014</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13,360</w:t>
            </w:r>
          </w:p>
        </w:tc>
        <w:tc>
          <w:tcPr>
            <w:tcW w:w="40" w:type="dxa"/>
            <w:vAlign w:val="bottom"/>
          </w:tcPr>
          <w:p>
            <w:pPr>
              <w:spacing w:after="0"/>
              <w:rPr>
                <w:sz w:val="19"/>
                <w:szCs w:val="19"/>
                <w:color w:val="auto"/>
              </w:rPr>
            </w:pPr>
          </w:p>
        </w:tc>
      </w:tr>
      <w:tr>
        <w:trPr>
          <w:trHeight w:val="225"/>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net unearned premiums</w:t>
            </w: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8,371</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49,711</w:t>
            </w:r>
          </w:p>
        </w:tc>
        <w:tc>
          <w:tcPr>
            <w:tcW w:w="40" w:type="dxa"/>
            <w:vAlign w:val="bottom"/>
          </w:tcPr>
          <w:p>
            <w:pPr>
              <w:spacing w:after="0"/>
              <w:rPr>
                <w:sz w:val="19"/>
                <w:szCs w:val="19"/>
                <w:color w:val="auto"/>
              </w:rPr>
            </w:pPr>
          </w:p>
        </w:tc>
      </w:tr>
      <w:tr>
        <w:trPr>
          <w:trHeight w:val="218"/>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10,385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63,071</w:t>
            </w:r>
          </w:p>
        </w:tc>
        <w:tc>
          <w:tcPr>
            <w:tcW w:w="40" w:type="dxa"/>
            <w:vAlign w:val="bottom"/>
          </w:tcPr>
          <w:p>
            <w:pPr>
              <w:spacing w:after="0"/>
              <w:rPr>
                <w:sz w:val="19"/>
                <w:szCs w:val="19"/>
                <w:color w:val="auto"/>
              </w:rPr>
            </w:pPr>
          </w:p>
        </w:tc>
      </w:tr>
      <w:tr>
        <w:trPr>
          <w:trHeight w:val="225"/>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4,432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14,288</w:t>
            </w:r>
          </w:p>
        </w:tc>
        <w:tc>
          <w:tcPr>
            <w:tcW w:w="40" w:type="dxa"/>
            <w:vAlign w:val="bottom"/>
          </w:tcPr>
          <w:p>
            <w:pPr>
              <w:spacing w:after="0"/>
              <w:rPr>
                <w:sz w:val="19"/>
                <w:szCs w:val="19"/>
                <w:color w:val="auto"/>
              </w:rPr>
            </w:pP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and unrealized (losses) gains on investments</w:t>
            </w:r>
          </w:p>
        </w:tc>
        <w:tc>
          <w:tcPr>
            <w:tcW w:w="8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(7,229)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(9,472)</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40" w:type="dxa"/>
            <w:vAlign w:val="bottom"/>
          </w:tcPr>
          <w:p>
            <w:pPr>
              <w:spacing w:after="0"/>
              <w:rPr>
                <w:sz w:val="19"/>
                <w:szCs w:val="19"/>
                <w:color w:val="auto"/>
              </w:rPr>
            </w:pPr>
          </w:p>
        </w:tc>
      </w:tr>
      <w:tr>
        <w:trPr>
          <w:trHeight w:val="21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(4,929)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5,345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78,136</w:t>
            </w:r>
          </w:p>
        </w:tc>
        <w:tc>
          <w:tcPr>
            <w:tcW w:w="40" w:type="dxa"/>
            <w:vAlign w:val="bottom"/>
          </w:tcPr>
          <w:p>
            <w:pPr>
              <w:spacing w:after="0"/>
              <w:rPr>
                <w:sz w:val="19"/>
                <w:szCs w:val="19"/>
                <w:color w:val="auto"/>
              </w:rPr>
            </w:pP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5"/>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13,157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49,775</w:t>
            </w:r>
          </w:p>
        </w:tc>
        <w:tc>
          <w:tcPr>
            <w:tcW w:w="40" w:type="dxa"/>
            <w:vAlign w:val="bottom"/>
          </w:tcPr>
          <w:p>
            <w:pPr>
              <w:spacing w:after="0"/>
              <w:rPr>
                <w:sz w:val="19"/>
                <w:szCs w:val="19"/>
                <w:color w:val="auto"/>
              </w:rPr>
            </w:pP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5,039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20,895</w:t>
            </w:r>
          </w:p>
        </w:tc>
        <w:tc>
          <w:tcPr>
            <w:tcW w:w="40" w:type="dxa"/>
            <w:vAlign w:val="bottom"/>
          </w:tcPr>
          <w:p>
            <w:pPr>
              <w:spacing w:after="0"/>
              <w:rPr>
                <w:sz w:val="19"/>
                <w:szCs w:val="19"/>
                <w:color w:val="auto"/>
              </w:rPr>
            </w:pPr>
          </w:p>
        </w:tc>
      </w:tr>
      <w:tr>
        <w:trPr>
          <w:trHeight w:val="225"/>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40" w:type="dxa"/>
            <w:vAlign w:val="bottom"/>
          </w:tcPr>
          <w:p>
            <w:pPr>
              <w:spacing w:after="0"/>
              <w:rPr>
                <w:sz w:val="19"/>
                <w:szCs w:val="19"/>
                <w:color w:val="auto"/>
              </w:rPr>
            </w:pPr>
          </w:p>
        </w:tc>
      </w:tr>
      <w:tr>
        <w:trPr>
          <w:trHeight w:val="218"/>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8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30,484</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18,928</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72,647</w:t>
            </w:r>
          </w:p>
        </w:tc>
        <w:tc>
          <w:tcPr>
            <w:tcW w:w="40" w:type="dxa"/>
            <w:vAlign w:val="bottom"/>
          </w:tcPr>
          <w:p>
            <w:pPr>
              <w:spacing w:after="0"/>
              <w:rPr>
                <w:sz w:val="19"/>
                <w:szCs w:val="19"/>
                <w:color w:val="auto"/>
              </w:rPr>
            </w:pPr>
          </w:p>
        </w:tc>
      </w:tr>
      <w:tr>
        <w:trPr>
          <w:trHeight w:val="21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discontinued operations</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(5,650)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(13,583)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40" w:type="dxa"/>
            <w:vAlign w:val="bottom"/>
          </w:tcPr>
          <w:p>
            <w:pPr>
              <w:spacing w:after="0"/>
              <w:rPr>
                <w:sz w:val="19"/>
                <w:szCs w:val="19"/>
                <w:color w:val="auto"/>
              </w:rPr>
            </w:pP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discontinued operations</w:t>
            </w: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1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(loss) income from discontinued operations</w:t>
            </w:r>
          </w:p>
        </w:tc>
        <w:tc>
          <w:tcPr>
            <w:tcW w:w="8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(6,853)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(14,958)</w:t>
            </w: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4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5"/>
        </w:trPr>
        <w:tc>
          <w:tcPr>
            <w:tcW w:w="8360" w:type="dxa"/>
            <w:vAlign w:val="bottom"/>
            <w:gridSpan w:val="8"/>
          </w:tcPr>
          <w:p>
            <w:pPr>
              <w:ind w:left="360"/>
              <w:spacing w:after="0"/>
              <w:rPr>
                <w:sz w:val="20"/>
                <w:szCs w:val="20"/>
                <w:color w:val="auto"/>
              </w:rPr>
            </w:pPr>
            <w:r>
              <w:rPr>
                <w:rFonts w:ascii="Times New Roman" w:cs="Times New Roman" w:eastAsia="Times New Roman" w:hAnsi="Times New Roman"/>
                <w:sz w:val="18"/>
                <w:szCs w:val="18"/>
                <w:color w:val="auto"/>
                <w:w w:val="98"/>
              </w:rPr>
              <w:t>Cash flows from discontinued operations included in the consolidated statements of cash flows were as follows:</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6"/>
        </w:trPr>
        <w:tc>
          <w:tcPr>
            <w:tcW w:w="5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8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86"/>
        </w:trPr>
        <w:tc>
          <w:tcPr>
            <w:tcW w:w="5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r>
      <w:tr>
        <w:trPr>
          <w:trHeight w:val="186"/>
        </w:trPr>
        <w:tc>
          <w:tcPr>
            <w:tcW w:w="5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gridSpan w:val="4"/>
          </w:tcPr>
          <w:p>
            <w:pPr>
              <w:jc w:val="right"/>
              <w:ind w:right="1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06"/>
        </w:trPr>
        <w:tc>
          <w:tcPr>
            <w:tcW w:w="5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gridSpan w:val="2"/>
          </w:tcPr>
          <w:p>
            <w:pPr>
              <w:spacing w:after="0"/>
              <w:rPr>
                <w:sz w:val="9"/>
                <w:szCs w:val="9"/>
                <w:color w:val="auto"/>
              </w:rPr>
            </w:pP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 of discontinued operations</w:t>
            </w: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center"/>
              <w:ind w:left="91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(48,878)</w:t>
            </w:r>
          </w:p>
        </w:tc>
      </w:tr>
      <w:tr>
        <w:trPr>
          <w:trHeight w:val="225"/>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 of discontinued operations</w:t>
            </w:r>
          </w:p>
        </w:tc>
        <w:tc>
          <w:tcPr>
            <w:tcW w:w="8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63,104</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59,555</w:t>
            </w:r>
          </w:p>
        </w:tc>
        <w:tc>
          <w:tcPr>
            <w:tcW w:w="40" w:type="dxa"/>
            <w:vAlign w:val="bottom"/>
            <w:tcBorders>
              <w:bottom w:val="single" w:sz="8" w:color="auto"/>
            </w:tcBorders>
          </w:tcPr>
          <w:p>
            <w:pPr>
              <w:spacing w:after="0"/>
              <w:rPr>
                <w:sz w:val="19"/>
                <w:szCs w:val="19"/>
                <w:color w:val="auto"/>
              </w:rPr>
            </w:pPr>
          </w:p>
        </w:tc>
      </w:tr>
      <w:tr>
        <w:trPr>
          <w:trHeight w:val="243"/>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discontinued operations</w:t>
            </w:r>
          </w:p>
        </w:tc>
        <w:tc>
          <w:tcPr>
            <w:tcW w:w="8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37,989</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w:t>
            </w:r>
          </w:p>
        </w:tc>
        <w:tc>
          <w:tcPr>
            <w:tcW w:w="40" w:type="dxa"/>
            <w:vAlign w:val="bottom"/>
            <w:tcBorders>
              <w:bottom w:val="single" w:sz="8" w:color="auto"/>
            </w:tcBorders>
            <w:shd w:val="clear" w:color="auto" w:fill="CCEEFF"/>
          </w:tcPr>
          <w:p>
            <w:pPr>
              <w:spacing w:after="0"/>
              <w:rPr>
                <w:sz w:val="20"/>
                <w:szCs w:val="20"/>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3"/>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r>
        <w:trPr>
          <w:trHeight w:val="198"/>
        </w:trPr>
        <w:tc>
          <w:tcPr>
            <w:tcW w:w="54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Interest paid by discontinued operations</w:t>
            </w: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center"/>
              <w:ind w:right="2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1,388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5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2,162</w:t>
            </w:r>
          </w:p>
        </w:tc>
        <w:tc>
          <w:tcPr>
            <w:tcW w:w="40" w:type="dxa"/>
            <w:vAlign w:val="bottom"/>
            <w:tcBorders>
              <w:top w:val="single" w:sz="8" w:color="auto"/>
              <w:bottom w:val="single" w:sz="8" w:color="auto"/>
            </w:tcBorders>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0" w:lineRule="exact"/>
        <w:rPr>
          <w:sz w:val="20"/>
          <w:szCs w:val="20"/>
          <w:color w:val="auto"/>
        </w:rPr>
      </w:pPr>
    </w:p>
    <w:p>
      <w:pPr>
        <w:ind w:left="320" w:hanging="314"/>
        <w:spacing w:after="0"/>
        <w:tabs>
          <w:tab w:leader="none" w:pos="3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13"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available-for-sale fixed maturity securities are summarized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22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300" w:type="dxa"/>
            <w:vAlign w:val="bottom"/>
          </w:tcPr>
          <w:p>
            <w:pPr>
              <w:spacing w:after="0"/>
              <w:rPr>
                <w:sz w:val="13"/>
                <w:szCs w:val="13"/>
                <w:color w:val="auto"/>
              </w:rPr>
            </w:pPr>
          </w:p>
        </w:tc>
        <w:tc>
          <w:tcPr>
            <w:tcW w:w="104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4"/>
        </w:trPr>
        <w:tc>
          <w:tcPr>
            <w:tcW w:w="5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4"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4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1"/>
        </w:trPr>
        <w:tc>
          <w:tcPr>
            <w:tcW w:w="5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202,925</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285,283</w:t>
            </w: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405,316</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198,304</w:t>
            </w:r>
          </w:p>
        </w:tc>
        <w:tc>
          <w:tcPr>
            <w:tcW w:w="0" w:type="dxa"/>
            <w:vAlign w:val="bottom"/>
          </w:tcPr>
          <w:p>
            <w:pPr>
              <w:spacing w:after="0"/>
              <w:rPr>
                <w:sz w:val="1"/>
                <w:szCs w:val="1"/>
                <w:color w:val="auto"/>
              </w:rPr>
            </w:pPr>
          </w:p>
        </w:tc>
      </w:tr>
      <w:tr>
        <w:trPr>
          <w:trHeight w:val="172"/>
        </w:trPr>
        <w:tc>
          <w:tcPr>
            <w:tcW w:w="5560" w:type="dxa"/>
            <w:vAlign w:val="bottom"/>
            <w:shd w:val="clear" w:color="auto" w:fill="CCEEFF"/>
          </w:tcPr>
          <w:p>
            <w:pPr>
              <w:ind w:left="180"/>
              <w:spacing w:after="0" w:line="172" w:lineRule="exact"/>
              <w:rPr>
                <w:sz w:val="20"/>
                <w:szCs w:val="20"/>
                <w:color w:val="auto"/>
              </w:rPr>
            </w:pPr>
            <w:r>
              <w:rPr>
                <w:rFonts w:ascii="Times New Roman" w:cs="Times New Roman" w:eastAsia="Times New Roman" w:hAnsi="Times New Roman"/>
                <w:sz w:val="18"/>
                <w:szCs w:val="18"/>
                <w:color w:val="auto"/>
              </w:rPr>
              <w:t>U.S. Treasury securities and obligations guaranteed by the U.S.</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government</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22,647</w:t>
            </w:r>
          </w:p>
        </w:tc>
        <w:tc>
          <w:tcPr>
            <w:tcW w:w="0" w:type="dxa"/>
            <w:vAlign w:val="bottom"/>
          </w:tcPr>
          <w:p>
            <w:pPr>
              <w:spacing w:after="0"/>
              <w:rPr>
                <w:sz w:val="1"/>
                <w:szCs w:val="1"/>
                <w:color w:val="auto"/>
              </w:rPr>
            </w:pPr>
          </w:p>
        </w:tc>
      </w:tr>
      <w:tr>
        <w:trPr>
          <w:trHeight w:val="21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1,207,960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(94,942)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1,114,475</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248,837</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317,928</w:t>
            </w: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505,728</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222,853</w:t>
            </w:r>
          </w:p>
        </w:tc>
        <w:tc>
          <w:tcPr>
            <w:tcW w:w="0" w:type="dxa"/>
            <w:vAlign w:val="bottom"/>
          </w:tcPr>
          <w:p>
            <w:pPr>
              <w:spacing w:after="0"/>
              <w:rPr>
                <w:sz w:val="1"/>
                <w:szCs w:val="1"/>
                <w:color w:val="auto"/>
              </w:rPr>
            </w:pPr>
          </w:p>
        </w:tc>
      </w:tr>
      <w:tr>
        <w:trPr>
          <w:trHeight w:val="172"/>
        </w:trPr>
        <w:tc>
          <w:tcPr>
            <w:tcW w:w="5560" w:type="dxa"/>
            <w:vAlign w:val="bottom"/>
            <w:shd w:val="clear" w:color="auto" w:fill="CCEEFF"/>
          </w:tcPr>
          <w:p>
            <w:pPr>
              <w:ind w:left="180"/>
              <w:spacing w:after="0" w:line="172" w:lineRule="exact"/>
              <w:rPr>
                <w:sz w:val="20"/>
                <w:szCs w:val="20"/>
                <w:color w:val="auto"/>
              </w:rPr>
            </w:pPr>
            <w:r>
              <w:rPr>
                <w:rFonts w:ascii="Times New Roman" w:cs="Times New Roman" w:eastAsia="Times New Roman" w:hAnsi="Times New Roman"/>
                <w:sz w:val="18"/>
                <w:szCs w:val="18"/>
                <w:color w:val="auto"/>
              </w:rPr>
              <w:t>U.S. Treasury securities and obligations guaranteed by the U.S.</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government</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29,900</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29,130</w:t>
            </w:r>
          </w:p>
        </w:tc>
        <w:tc>
          <w:tcPr>
            <w:tcW w:w="0" w:type="dxa"/>
            <w:vAlign w:val="bottom"/>
          </w:tcPr>
          <w:p>
            <w:pPr>
              <w:spacing w:after="0"/>
              <w:rPr>
                <w:sz w:val="1"/>
                <w:szCs w:val="1"/>
                <w:color w:val="auto"/>
              </w:rPr>
            </w:pPr>
          </w:p>
        </w:tc>
      </w:tr>
      <w:tr>
        <w:trPr>
          <w:trHeight w:val="21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1,405,136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(87,990)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1,324,476</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right="100" w:firstLine="318"/>
        <w:spacing w:after="0" w:line="274" w:lineRule="auto"/>
        <w:rPr>
          <w:sz w:val="20"/>
          <w:szCs w:val="20"/>
          <w:color w:val="auto"/>
        </w:rPr>
      </w:pPr>
      <w:r>
        <w:rPr>
          <w:rFonts w:ascii="Times New Roman" w:cs="Times New Roman" w:eastAsia="Times New Roman" w:hAnsi="Times New Roman"/>
          <w:sz w:val="18"/>
          <w:szCs w:val="18"/>
          <w:color w:val="auto"/>
        </w:rPr>
        <w:t>The amortized cost and fair value of available-for-sale investments in fixed maturity securities at June 30, 2024 are summarized, by contractual maturity,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440" w:type="dxa"/>
            <w:vAlign w:val="bottom"/>
          </w:tcPr>
          <w:p>
            <w:pPr>
              <w:spacing w:after="0"/>
              <w:rPr>
                <w:sz w:val="13"/>
                <w:szCs w:val="13"/>
                <w:color w:val="auto"/>
              </w:rPr>
            </w:pPr>
          </w:p>
        </w:tc>
        <w:tc>
          <w:tcPr>
            <w:tcW w:w="90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6"/>
        </w:trPr>
        <w:tc>
          <w:tcPr>
            <w:tcW w:w="8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4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8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1"/>
        </w:trPr>
        <w:tc>
          <w:tcPr>
            <w:tcW w:w="8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 year or less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19,434</w:t>
            </w:r>
          </w:p>
        </w:tc>
        <w:tc>
          <w:tcPr>
            <w:tcW w:w="0" w:type="dxa"/>
            <w:vAlign w:val="bottom"/>
          </w:tcPr>
          <w:p>
            <w:pPr>
              <w:spacing w:after="0"/>
              <w:rPr>
                <w:sz w:val="1"/>
                <w:szCs w:val="1"/>
                <w:color w:val="auto"/>
              </w:rPr>
            </w:pPr>
          </w:p>
        </w:tc>
      </w:tr>
      <w:tr>
        <w:trPr>
          <w:trHeight w:val="225"/>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308,786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299,268</w:t>
            </w:r>
          </w:p>
        </w:tc>
        <w:tc>
          <w:tcPr>
            <w:tcW w:w="0" w:type="dxa"/>
            <w:vAlign w:val="bottom"/>
          </w:tcPr>
          <w:p>
            <w:pPr>
              <w:spacing w:after="0"/>
              <w:rPr>
                <w:sz w:val="1"/>
                <w:szCs w:val="1"/>
                <w:color w:val="auto"/>
              </w:rPr>
            </w:pPr>
          </w:p>
        </w:tc>
      </w:tr>
      <w:tr>
        <w:trPr>
          <w:trHeight w:val="22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204,929</w:t>
            </w:r>
          </w:p>
        </w:tc>
        <w:tc>
          <w:tcPr>
            <w:tcW w:w="0" w:type="dxa"/>
            <w:vAlign w:val="bottom"/>
          </w:tcPr>
          <w:p>
            <w:pPr>
              <w:spacing w:after="0"/>
              <w:rPr>
                <w:sz w:val="1"/>
                <w:szCs w:val="1"/>
                <w:color w:val="auto"/>
              </w:rPr>
            </w:pPr>
          </w:p>
        </w:tc>
      </w:tr>
      <w:tr>
        <w:trPr>
          <w:trHeight w:val="225"/>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ten years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129,628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107,257</w:t>
            </w:r>
          </w:p>
        </w:tc>
        <w:tc>
          <w:tcPr>
            <w:tcW w:w="0" w:type="dxa"/>
            <w:vAlign w:val="bottom"/>
          </w:tcPr>
          <w:p>
            <w:pPr>
              <w:spacing w:after="0"/>
              <w:rPr>
                <w:sz w:val="1"/>
                <w:szCs w:val="1"/>
                <w:color w:val="auto"/>
              </w:rPr>
            </w:pPr>
          </w:p>
        </w:tc>
      </w:tr>
      <w:tr>
        <w:trPr>
          <w:trHeight w:val="22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285,283</w:t>
            </w:r>
          </w:p>
        </w:tc>
        <w:tc>
          <w:tcPr>
            <w:tcW w:w="0" w:type="dxa"/>
            <w:vAlign w:val="bottom"/>
          </w:tcPr>
          <w:p>
            <w:pPr>
              <w:spacing w:after="0"/>
              <w:rPr>
                <w:sz w:val="1"/>
                <w:szCs w:val="1"/>
                <w:color w:val="auto"/>
              </w:rPr>
            </w:pPr>
          </w:p>
        </w:tc>
      </w:tr>
      <w:tr>
        <w:trPr>
          <w:trHeight w:val="225"/>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209,115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198,304</w:t>
            </w:r>
          </w:p>
        </w:tc>
        <w:tc>
          <w:tcPr>
            <w:tcW w:w="0" w:type="dxa"/>
            <w:vAlign w:val="bottom"/>
          </w:tcPr>
          <w:p>
            <w:pPr>
              <w:spacing w:after="0"/>
              <w:rPr>
                <w:sz w:val="1"/>
                <w:szCs w:val="1"/>
                <w:color w:val="auto"/>
              </w:rPr>
            </w:pPr>
          </w:p>
        </w:tc>
      </w:tr>
      <w:tr>
        <w:trPr>
          <w:trHeight w:val="243"/>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1,207,960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1,114,475</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Actual maturities may differ for some securities because borrowers have the right to call or prepay obligations with or without penalties.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shows the Company’s gross unrealized losses and fair value for available-for-sale securities aggregated by investment category and the length of time that individual securities have been in a continuous unrealized loss position: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40" w:type="dxa"/>
            <w:vAlign w:val="bottom"/>
          </w:tcPr>
          <w:p>
            <w:pPr>
              <w:spacing w:after="0"/>
              <w:rPr>
                <w:sz w:val="16"/>
                <w:szCs w:val="16"/>
                <w:color w:val="auto"/>
              </w:rPr>
            </w:pPr>
          </w:p>
        </w:tc>
        <w:tc>
          <w:tcPr>
            <w:tcW w:w="21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12 Months or More</w:t>
            </w:r>
          </w:p>
        </w:tc>
        <w:tc>
          <w:tcPr>
            <w:tcW w:w="24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5"/>
              <w:spacing w:after="0" w:line="128"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5"/>
              <w:spacing w:after="0" w:line="128"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5"/>
              <w:spacing w:after="0" w:line="128"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0" w:type="dxa"/>
            <w:vAlign w:val="bottom"/>
          </w:tcPr>
          <w:p>
            <w:pPr>
              <w:spacing w:after="0"/>
              <w:rPr>
                <w:sz w:val="1"/>
                <w:szCs w:val="1"/>
                <w:color w:val="auto"/>
              </w:rPr>
            </w:pPr>
          </w:p>
        </w:tc>
      </w:tr>
      <w:tr>
        <w:trPr>
          <w:trHeight w:val="144"/>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5"/>
              <w:spacing w:after="0" w:line="14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3"/>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0" w:type="dxa"/>
            <w:vAlign w:val="bottom"/>
          </w:tcPr>
          <w:p>
            <w:pPr>
              <w:spacing w:after="0"/>
              <w:rPr>
                <w:sz w:val="1"/>
                <w:szCs w:val="1"/>
                <w:color w:val="auto"/>
              </w:rPr>
            </w:pPr>
          </w:p>
        </w:tc>
      </w:tr>
      <w:tr>
        <w:trPr>
          <w:trHeight w:val="191"/>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State and municipal</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(27,682)</w:t>
            </w:r>
          </w:p>
        </w:tc>
        <w:tc>
          <w:tcPr>
            <w:tcW w:w="0" w:type="dxa"/>
            <w:vAlign w:val="bottom"/>
          </w:tcPr>
          <w:p>
            <w:pPr>
              <w:spacing w:after="0"/>
              <w:rPr>
                <w:sz w:val="1"/>
                <w:szCs w:val="1"/>
                <w:color w:val="auto"/>
              </w:rPr>
            </w:pPr>
          </w:p>
        </w:tc>
      </w:tr>
      <w:tr>
        <w:trPr>
          <w:trHeight w:val="225"/>
        </w:trPr>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(25,008)</w:t>
            </w: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(30,632)</w:t>
            </w:r>
          </w:p>
        </w:tc>
        <w:tc>
          <w:tcPr>
            <w:tcW w:w="0" w:type="dxa"/>
            <w:vAlign w:val="bottom"/>
          </w:tcPr>
          <w:p>
            <w:pPr>
              <w:spacing w:after="0"/>
              <w:rPr>
                <w:sz w:val="1"/>
                <w:szCs w:val="1"/>
                <w:color w:val="auto"/>
              </w:rPr>
            </w:pPr>
          </w:p>
        </w:tc>
      </w:tr>
      <w:tr>
        <w:trPr>
          <w:trHeight w:val="225"/>
        </w:trPr>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(10,859)</w:t>
            </w:r>
          </w:p>
        </w:tc>
        <w:tc>
          <w:tcPr>
            <w:tcW w:w="0" w:type="dxa"/>
            <w:vAlign w:val="bottom"/>
          </w:tcPr>
          <w:p>
            <w:pPr>
              <w:spacing w:after="0"/>
              <w:rPr>
                <w:sz w:val="1"/>
                <w:szCs w:val="1"/>
                <w:color w:val="auto"/>
              </w:rPr>
            </w:pPr>
          </w:p>
        </w:tc>
      </w:tr>
      <w:tr>
        <w:trPr>
          <w:trHeight w:val="172"/>
        </w:trPr>
        <w:tc>
          <w:tcPr>
            <w:tcW w:w="4120" w:type="dxa"/>
            <w:vAlign w:val="bottom"/>
            <w:shd w:val="clear" w:color="auto" w:fill="CCEEFF"/>
          </w:tcPr>
          <w:p>
            <w:pPr>
              <w:ind w:left="260"/>
              <w:spacing w:after="0" w:line="172" w:lineRule="exact"/>
              <w:rPr>
                <w:sz w:val="20"/>
                <w:szCs w:val="20"/>
                <w:color w:val="auto"/>
              </w:rPr>
            </w:pPr>
            <w:r>
              <w:rPr>
                <w:rFonts w:ascii="Times New Roman" w:cs="Times New Roman" w:eastAsia="Times New Roman" w:hAnsi="Times New Roman"/>
                <w:sz w:val="18"/>
                <w:szCs w:val="18"/>
                <w:color w:val="auto"/>
              </w:rPr>
              <w:t>U.S. Treasury securities and obligations guaranteed</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by the U.S. government</w:t>
            </w: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21,151</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22,648</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18"/>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185,099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796,692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(92,242)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981,791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(94,942)</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State and municipal</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(26,459)</w:t>
            </w:r>
          </w:p>
        </w:tc>
        <w:tc>
          <w:tcPr>
            <w:tcW w:w="0" w:type="dxa"/>
            <w:vAlign w:val="bottom"/>
          </w:tcPr>
          <w:p>
            <w:pPr>
              <w:spacing w:after="0"/>
              <w:rPr>
                <w:sz w:val="1"/>
                <w:szCs w:val="1"/>
                <w:color w:val="auto"/>
              </w:rPr>
            </w:pPr>
          </w:p>
        </w:tc>
      </w:tr>
      <w:tr>
        <w:trPr>
          <w:trHeight w:val="225"/>
        </w:trPr>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(19,379)</w:t>
            </w: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(28,847)</w:t>
            </w:r>
          </w:p>
        </w:tc>
        <w:tc>
          <w:tcPr>
            <w:tcW w:w="0" w:type="dxa"/>
            <w:vAlign w:val="bottom"/>
          </w:tcPr>
          <w:p>
            <w:pPr>
              <w:spacing w:after="0"/>
              <w:rPr>
                <w:sz w:val="1"/>
                <w:szCs w:val="1"/>
                <w:color w:val="auto"/>
              </w:rPr>
            </w:pPr>
          </w:p>
        </w:tc>
      </w:tr>
      <w:tr>
        <w:trPr>
          <w:trHeight w:val="225"/>
        </w:trPr>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(12,527)</w:t>
            </w:r>
          </w:p>
        </w:tc>
        <w:tc>
          <w:tcPr>
            <w:tcW w:w="0" w:type="dxa"/>
            <w:vAlign w:val="bottom"/>
          </w:tcPr>
          <w:p>
            <w:pPr>
              <w:spacing w:after="0"/>
              <w:rPr>
                <w:sz w:val="1"/>
                <w:szCs w:val="1"/>
                <w:color w:val="auto"/>
              </w:rPr>
            </w:pPr>
          </w:p>
        </w:tc>
      </w:tr>
      <w:tr>
        <w:trPr>
          <w:trHeight w:val="172"/>
        </w:trPr>
        <w:tc>
          <w:tcPr>
            <w:tcW w:w="4120" w:type="dxa"/>
            <w:vAlign w:val="bottom"/>
            <w:shd w:val="clear" w:color="auto" w:fill="CCEEFF"/>
          </w:tcPr>
          <w:p>
            <w:pPr>
              <w:ind w:left="260"/>
              <w:spacing w:after="0" w:line="172" w:lineRule="exact"/>
              <w:rPr>
                <w:sz w:val="20"/>
                <w:szCs w:val="20"/>
                <w:color w:val="auto"/>
              </w:rPr>
            </w:pPr>
            <w:r>
              <w:rPr>
                <w:rFonts w:ascii="Times New Roman" w:cs="Times New Roman" w:eastAsia="Times New Roman" w:hAnsi="Times New Roman"/>
                <w:sz w:val="18"/>
                <w:szCs w:val="18"/>
                <w:color w:val="auto"/>
              </w:rPr>
              <w:t>U.S. Treasury securities and obligations guaranteed</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by the U.S. government</w:t>
            </w: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19,889</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27,850</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18"/>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186,672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806,963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(85,693)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993,635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(87,990)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At June 30, 2024, the Company held fixed maturity securities of 422 issuers that were in an unrealized loss position with a total fair value of $981.8 million and gross unrealized losses of $94.9 million. None of the fixed maturity securities with unrealized losses has ever missed, or been delinquent on a scheduled principal or interest payment. At June 30, 2024, 100.0% of the Company’s fixed maturity security portfolio was rated “BBB-” or better (“investment grade”) by Standard &amp; Poor’s or received an equivalent rating from another nationally recognized rating agency.</w:t>
      </w:r>
    </w:p>
    <w:p>
      <w:pPr>
        <w:spacing w:after="0" w:line="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231F20"/>
        </w:rPr>
        <w:t>The Company reviews its available-for-sale fixed maturities to determine whether unrealized losses are due to credit-related factors. An allowance for credit losses is established for any credit-related impairments, limited to the amount by which fair value is below amortized cost. Changes in the allowance for credit losses are recognized in earnings and included in n</w:t>
      </w:r>
      <w:r>
        <w:rPr>
          <w:rFonts w:ascii="Times New Roman" w:cs="Times New Roman" w:eastAsia="Times New Roman" w:hAnsi="Times New Roman"/>
          <w:sz w:val="18"/>
          <w:szCs w:val="18"/>
          <w:color w:val="000000"/>
        </w:rPr>
        <w:t>et realized and unrealized gains (losses) on investments</w:t>
      </w:r>
      <w:r>
        <w:rPr>
          <w:rFonts w:ascii="Times New Roman" w:cs="Times New Roman" w:eastAsia="Times New Roman" w:hAnsi="Times New Roman"/>
          <w:sz w:val="18"/>
          <w:szCs w:val="18"/>
          <w:color w:val="231F20"/>
        </w:rPr>
        <w:t>. Unrealized losses that are not credit-related are recognized in other comprehensive income.</w:t>
      </w:r>
    </w:p>
    <w:p>
      <w:pPr>
        <w:spacing w:after="0" w:line="7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The Company considers the extent to which fair value is below amortized cost in determining whether a credit-related loss exists. The Company also considers the credit quality rating of the security, with a special emphasis on securities downgraded below investment grade. A comparison is made between the present value of expected future cash flows for a security and its amortized cost. If the present value of future expected cash flows is less than amortized cost, a credit loss is presumed to exist and an allowance for credit losses is established. Management may conclude that a qualitative analysis is sufficient to support its conclusion that the present value of the expected cash flows equals or exceeds a security’s amortized cost. As a result of this review, management concluded that there were no credit-related impairments of fixed maturity securities at June 30, 2024, December 31, 2023, or June 30, 2023. During the three months ended June 30, 2024, management recognized an impairment loss of $207,000 for one fixed maturity security due to the Company’s inability to hold the security until a recovery in its value to the amortized cost basis. For the remainder of securities in an unrealized loss position, management does not intend to sell the securities, and </w:t>
      </w:r>
      <w:r>
        <w:rPr>
          <w:rFonts w:ascii="Times New Roman" w:cs="Times New Roman" w:eastAsia="Times New Roman" w:hAnsi="Times New Roman"/>
          <w:sz w:val="18"/>
          <w:szCs w:val="18"/>
          <w:color w:val="231F20"/>
        </w:rPr>
        <w:t>it is not “more likely than not” that the Company will be required to sell these securities before a recovery in their value to their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amortized cost basis occurs.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jc w:val="both"/>
        <w:ind w:firstLine="358"/>
        <w:spacing w:after="0" w:line="255" w:lineRule="auto"/>
        <w:rPr>
          <w:sz w:val="20"/>
          <w:szCs w:val="20"/>
          <w:color w:val="auto"/>
        </w:rPr>
      </w:pPr>
      <w:r>
        <w:rPr>
          <w:rFonts w:ascii="Times New Roman" w:cs="Times New Roman" w:eastAsia="Times New Roman" w:hAnsi="Times New Roman"/>
          <w:sz w:val="18"/>
          <w:szCs w:val="18"/>
          <w:color w:val="auto"/>
        </w:rPr>
        <w:t>The Company elected the fair value option to account for bank loan participations. Under the fair value option, bank loan participations are measured at fair value, and changes in unrealized gains and losses in bank loan participations are reported in the income statement as net realized and unrealized gains (losses) on investments. Applying the fair value option to the bank loan portfolio increases volatility in the Company's financial statements, but management believes it is less subjective and less burdensome to implement and maintain than ASU 2016-13, which would have otherwise been required.</w:t>
      </w:r>
    </w:p>
    <w:p>
      <w:pPr>
        <w:spacing w:after="0" w:line="7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231F20"/>
        </w:rPr>
        <w:t xml:space="preserve">At June 30, 2024, the Company's bank loan portfolio had an aggregate fair value of $165.3 million and unpaid principal of </w:t>
      </w:r>
      <w:r>
        <w:rPr>
          <w:rFonts w:ascii="Times New Roman" w:cs="Times New Roman" w:eastAsia="Times New Roman" w:hAnsi="Times New Roman"/>
          <w:sz w:val="18"/>
          <w:szCs w:val="18"/>
          <w:color w:val="000000"/>
        </w:rPr>
        <w:t>$173.4 million.</w:t>
      </w:r>
      <w:r>
        <w:rPr>
          <w:rFonts w:ascii="Times New Roman" w:cs="Times New Roman" w:eastAsia="Times New Roman" w:hAnsi="Times New Roman"/>
          <w:sz w:val="18"/>
          <w:szCs w:val="18"/>
          <w:color w:val="231F20"/>
        </w:rPr>
        <w:t xml:space="preserve"> Investment income on bank loan participations included in net investment income was </w:t>
      </w:r>
      <w:r>
        <w:rPr>
          <w:rFonts w:ascii="Times New Roman" w:cs="Times New Roman" w:eastAsia="Times New Roman" w:hAnsi="Times New Roman"/>
          <w:sz w:val="18"/>
          <w:szCs w:val="18"/>
          <w:color w:val="000000"/>
        </w:rPr>
        <w:t>$4.6 million and</w:t>
      </w:r>
      <w:r>
        <w:rPr>
          <w:rFonts w:ascii="Times New Roman" w:cs="Times New Roman" w:eastAsia="Times New Roman" w:hAnsi="Times New Roman"/>
          <w:sz w:val="18"/>
          <w:szCs w:val="18"/>
          <w:color w:val="231F20"/>
        </w:rPr>
        <w:t xml:space="preserve"> $9.1 million for the </w:t>
      </w:r>
      <w:r>
        <w:rPr>
          <w:rFonts w:ascii="Times New Roman" w:cs="Times New Roman" w:eastAsia="Times New Roman" w:hAnsi="Times New Roman"/>
          <w:sz w:val="18"/>
          <w:szCs w:val="18"/>
          <w:color w:val="000000"/>
        </w:rPr>
        <w:t>three and six</w:t>
      </w:r>
      <w:r>
        <w:rPr>
          <w:rFonts w:ascii="Times New Roman" w:cs="Times New Roman" w:eastAsia="Times New Roman" w:hAnsi="Times New Roman"/>
          <w:sz w:val="18"/>
          <w:szCs w:val="18"/>
          <w:color w:val="231F20"/>
        </w:rPr>
        <w:t xml:space="preserve"> months ended June 30, 2024, respectively (</w:t>
      </w:r>
      <w:r>
        <w:rPr>
          <w:rFonts w:ascii="Times New Roman" w:cs="Times New Roman" w:eastAsia="Times New Roman" w:hAnsi="Times New Roman"/>
          <w:sz w:val="18"/>
          <w:szCs w:val="18"/>
          <w:color w:val="000000"/>
        </w:rPr>
        <w:t>$2.0 million and $3.5 million for the three and six months ended June 30, 2023, respectively)</w:t>
      </w:r>
      <w:r>
        <w:rPr>
          <w:rFonts w:ascii="Times New Roman" w:cs="Times New Roman" w:eastAsia="Times New Roman" w:hAnsi="Times New Roman"/>
          <w:sz w:val="18"/>
          <w:szCs w:val="18"/>
          <w:color w:val="231F20"/>
        </w:rPr>
        <w:t xml:space="preserve">. Net realized and unrealized losses on bank loan participations were </w:t>
      </w:r>
      <w:r>
        <w:rPr>
          <w:rFonts w:ascii="Times New Roman" w:cs="Times New Roman" w:eastAsia="Times New Roman" w:hAnsi="Times New Roman"/>
          <w:sz w:val="18"/>
          <w:szCs w:val="18"/>
          <w:color w:val="000000"/>
        </w:rPr>
        <w:t>$843,000 and $1.1 million</w:t>
      </w:r>
      <w:r>
        <w:rPr>
          <w:rFonts w:ascii="Times New Roman" w:cs="Times New Roman" w:eastAsia="Times New Roman" w:hAnsi="Times New Roman"/>
          <w:sz w:val="18"/>
          <w:szCs w:val="18"/>
          <w:color w:val="231F20"/>
        </w:rPr>
        <w:t xml:space="preserve"> for the </w:t>
      </w:r>
      <w:r>
        <w:rPr>
          <w:rFonts w:ascii="Times New Roman" w:cs="Times New Roman" w:eastAsia="Times New Roman" w:hAnsi="Times New Roman"/>
          <w:sz w:val="18"/>
          <w:szCs w:val="18"/>
          <w:color w:val="000000"/>
        </w:rPr>
        <w:t>three and six</w:t>
      </w:r>
      <w:r>
        <w:rPr>
          <w:rFonts w:ascii="Times New Roman" w:cs="Times New Roman" w:eastAsia="Times New Roman" w:hAnsi="Times New Roman"/>
          <w:sz w:val="18"/>
          <w:szCs w:val="18"/>
          <w:color w:val="231F20"/>
        </w:rPr>
        <w:t xml:space="preserve"> months ended June 30, 2024, respectively (gains of </w:t>
      </w:r>
      <w:r>
        <w:rPr>
          <w:rFonts w:ascii="Times New Roman" w:cs="Times New Roman" w:eastAsia="Times New Roman" w:hAnsi="Times New Roman"/>
          <w:sz w:val="18"/>
          <w:szCs w:val="18"/>
          <w:color w:val="000000"/>
        </w:rPr>
        <w:t>$1.6 million</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$2.1 million for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three and six months ended June 30, 2023, respectively)</w:t>
      </w:r>
      <w:r>
        <w:rPr>
          <w:rFonts w:ascii="Times New Roman" w:cs="Times New Roman" w:eastAsia="Times New Roman" w:hAnsi="Times New Roman"/>
          <w:sz w:val="18"/>
          <w:szCs w:val="18"/>
          <w:color w:val="231F20"/>
        </w:rPr>
        <w:t>. For the</w:t>
      </w:r>
      <w:r>
        <w:rPr>
          <w:rFonts w:ascii="Times New Roman" w:cs="Times New Roman" w:eastAsia="Times New Roman" w:hAnsi="Times New Roman"/>
          <w:sz w:val="18"/>
          <w:szCs w:val="18"/>
          <w:color w:val="000000"/>
        </w:rPr>
        <w:t xml:space="preserve"> three and six months ended </w:t>
      </w:r>
      <w:r>
        <w:rPr>
          <w:rFonts w:ascii="Times New Roman" w:cs="Times New Roman" w:eastAsia="Times New Roman" w:hAnsi="Times New Roman"/>
          <w:sz w:val="18"/>
          <w:szCs w:val="18"/>
          <w:color w:val="231F20"/>
        </w:rPr>
        <w:t>June 30, 2024, management concluded that</w:t>
      </w:r>
      <w:r>
        <w:rPr>
          <w:rFonts w:ascii="Times New Roman" w:cs="Times New Roman" w:eastAsia="Times New Roman" w:hAnsi="Times New Roman"/>
          <w:sz w:val="18"/>
          <w:szCs w:val="18"/>
          <w:color w:val="000000"/>
        </w:rPr>
        <w:t xml:space="preserve"> $1.4 million and $2.6 million </w:t>
      </w:r>
      <w:r>
        <w:rPr>
          <w:rFonts w:ascii="Times New Roman" w:cs="Times New Roman" w:eastAsia="Times New Roman" w:hAnsi="Times New Roman"/>
          <w:sz w:val="18"/>
          <w:szCs w:val="18"/>
          <w:color w:val="231F20"/>
        </w:rPr>
        <w:t>of the unrealized losses were due to credit-related impairments. For the</w:t>
      </w:r>
      <w:r>
        <w:rPr>
          <w:rFonts w:ascii="Times New Roman" w:cs="Times New Roman" w:eastAsia="Times New Roman" w:hAnsi="Times New Roman"/>
          <w:sz w:val="18"/>
          <w:szCs w:val="18"/>
          <w:color w:val="000000"/>
        </w:rPr>
        <w:t xml:space="preserve"> three and six </w:t>
      </w:r>
      <w:r>
        <w:rPr>
          <w:rFonts w:ascii="Times New Roman" w:cs="Times New Roman" w:eastAsia="Times New Roman" w:hAnsi="Times New Roman"/>
          <w:sz w:val="18"/>
          <w:szCs w:val="18"/>
          <w:color w:val="231F20"/>
        </w:rPr>
        <w:t>months ended June 30, 2023, management concluded that</w:t>
      </w:r>
      <w:r>
        <w:rPr>
          <w:rFonts w:ascii="Times New Roman" w:cs="Times New Roman" w:eastAsia="Times New Roman" w:hAnsi="Times New Roman"/>
          <w:sz w:val="18"/>
          <w:szCs w:val="18"/>
          <w:color w:val="000000"/>
        </w:rPr>
        <w:t xml:space="preserve"> $497,000 and $1.0 million </w:t>
      </w:r>
      <w:r>
        <w:rPr>
          <w:rFonts w:ascii="Times New Roman" w:cs="Times New Roman" w:eastAsia="Times New Roman" w:hAnsi="Times New Roman"/>
          <w:sz w:val="18"/>
          <w:szCs w:val="18"/>
          <w:color w:val="231F20"/>
        </w:rPr>
        <w:t>of the unrealized losses were due to credit-related impairments. Losses due to credit-related impairments are determined based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upon consultations and advice from the Company's specialized investment manager and consideration of any adverse situations that could affect the borrower's ability to repay, the estimated value of underlying collateral, and other relevant factors.</w:t>
      </w:r>
    </w:p>
    <w:p>
      <w:pPr>
        <w:spacing w:after="0" w:line="81"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231F20"/>
        </w:rPr>
        <w:t>Bank loan participations generally provide a higher yield than our portfolio of fixed maturities and have a credit rating that is below investment grade (i.e. below “BBB-” for Standard &amp; Poor’s) at the date of purchase. These bank loans are primarily senior, secured floating-rate debt rated “BB”, “B”, or “CCC” by Standard &amp; Poor’s or an equivalent rating from another nationally recognized rating agency. These bank loans include assignments of, and participations in, performing and non-performing senior corporate debt generally acquired through primary bank syndications and in secondary markets. Bank loans consist of, but are not limited to, term loans, the funded and unfunded portions of revolving credit loans, and other similar loans and investments. Management believed that it was probable at the time that these loans were acquired that the Company would be able to collect all contractually required payments receivable.</w:t>
      </w:r>
    </w:p>
    <w:p>
      <w:pPr>
        <w:spacing w:after="0" w:line="6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231F20"/>
        </w:rPr>
        <w:t>Interest income on bank loan participations is accrued on the unpaid principal balance, and discounts and premiums on bank loan participations are amortized to income using the interest method. Generally, the accrual of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 Interest received on nonaccrual loans generally is reported as investment income. There were no bank loans on nonaccrual status at June 30, 2024 or December 31, 2023.</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net realized and unrealized gains and losses on investments are summarized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2300" w:type="dxa"/>
            <w:vAlign w:val="bottom"/>
            <w:gridSpan w:val="4"/>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3"/>
                <w:szCs w:val="13"/>
                <w:color w:val="auto"/>
              </w:rPr>
            </w:pPr>
          </w:p>
        </w:tc>
      </w:tr>
      <w:tr>
        <w:trPr>
          <w:trHeight w:val="191"/>
        </w:trPr>
        <w:tc>
          <w:tcPr>
            <w:tcW w:w="54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91"/>
        </w:trPr>
        <w:tc>
          <w:tcPr>
            <w:tcW w:w="542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2"/>
        </w:trPr>
        <w:tc>
          <w:tcPr>
            <w:tcW w:w="5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820" w:type="dxa"/>
            <w:vAlign w:val="bottom"/>
          </w:tcPr>
          <w:p>
            <w:pPr>
              <w:jc w:val="right"/>
              <w:ind w:right="64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20" w:type="dxa"/>
            <w:vAlign w:val="bottom"/>
          </w:tcPr>
          <w:p>
            <w:pPr>
              <w:spacing w:after="0"/>
              <w:rPr>
                <w:sz w:val="19"/>
                <w:szCs w:val="19"/>
                <w:color w:val="auto"/>
              </w:rPr>
            </w:pPr>
          </w:p>
        </w:tc>
        <w:tc>
          <w:tcPr>
            <w:tcW w:w="820" w:type="dxa"/>
            <w:vAlign w:val="bottom"/>
          </w:tcPr>
          <w:p>
            <w:pPr>
              <w:jc w:val="right"/>
              <w:ind w:right="63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Pr>
          <w:p>
            <w:pPr>
              <w:spacing w:after="0"/>
              <w:rPr>
                <w:sz w:val="19"/>
                <w:szCs w:val="19"/>
                <w:color w:val="auto"/>
              </w:rPr>
            </w:pPr>
          </w:p>
        </w:tc>
        <w:tc>
          <w:tcPr>
            <w:tcW w:w="5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8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(2,341)</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8"/>
        </w:trPr>
        <w:tc>
          <w:tcPr>
            <w:tcW w:w="5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loan participations:</w:t>
            </w: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r>
      <w:tr>
        <w:trPr>
          <w:trHeight w:val="22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values of bank loan participations</w:t>
            </w:r>
          </w:p>
        </w:tc>
        <w:tc>
          <w:tcPr>
            <w:tcW w:w="8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4,733</w:t>
            </w:r>
          </w:p>
        </w:tc>
      </w:tr>
      <w:tr>
        <w:trPr>
          <w:trHeight w:val="218"/>
        </w:trPr>
        <w:tc>
          <w:tcPr>
            <w:tcW w:w="5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w:t>
            </w: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8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values of equity securities</w:t>
            </w:r>
          </w:p>
        </w:tc>
        <w:tc>
          <w:tcPr>
            <w:tcW w:w="8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(1,087)</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18"/>
        </w:trPr>
        <w:tc>
          <w:tcPr>
            <w:tcW w:w="5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 and other:</w:t>
            </w: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8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8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values of short-term investments and other</w:t>
            </w:r>
          </w:p>
        </w:tc>
        <w:tc>
          <w:tcPr>
            <w:tcW w:w="8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54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(2,305)</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w:t>
            </w:r>
          </w:p>
        </w:tc>
      </w:tr>
      <w:tr>
        <w:trPr>
          <w:trHeight w:val="20"/>
        </w:trPr>
        <w:tc>
          <w:tcPr>
            <w:tcW w:w="5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Realized investment gains or losses are determined on a specific identification basis.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left="94"/>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214"/>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94"/>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ind w:left="94" w:firstLine="318"/>
        <w:spacing w:after="0" w:line="274" w:lineRule="auto"/>
        <w:rPr>
          <w:sz w:val="20"/>
          <w:szCs w:val="20"/>
          <w:color w:val="auto"/>
        </w:rPr>
      </w:pPr>
      <w:r>
        <w:rPr>
          <w:rFonts w:ascii="Times New Roman" w:cs="Times New Roman" w:eastAsia="Times New Roman" w:hAnsi="Times New Roman"/>
          <w:sz w:val="18"/>
          <w:szCs w:val="18"/>
          <w:color w:val="auto"/>
        </w:rPr>
        <w:t>The Company invests selectively in private debt and equity opportunities. These investments, which together comprise the Company’s other invested assets, are primarily focused in renewable energy, limited partnerships, and private debt.</w:t>
      </w:r>
    </w:p>
    <w:p>
      <w:pPr>
        <w:spacing w:after="0" w:line="91" w:lineRule="exact"/>
        <w:rPr>
          <w:sz w:val="20"/>
          <w:szCs w:val="20"/>
          <w:color w:val="auto"/>
        </w:rPr>
      </w:pPr>
    </w:p>
    <w:tbl>
      <w:tblPr>
        <w:tblLayout w:type="fixed"/>
        <w:tblInd w:w="94"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1"/>
                <w:szCs w:val="11"/>
                <w:color w:val="auto"/>
              </w:rPr>
            </w:pPr>
          </w:p>
        </w:tc>
        <w:tc>
          <w:tcPr>
            <w:tcW w:w="1800" w:type="dxa"/>
            <w:vAlign w:val="bottom"/>
            <w:gridSpan w:val="3"/>
          </w:tcPr>
          <w:p>
            <w:pPr>
              <w:jc w:val="center"/>
              <w:ind w:left="75"/>
              <w:spacing w:after="0" w:line="128"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40" w:type="dxa"/>
            <w:vAlign w:val="bottom"/>
            <w:gridSpan w:val="4"/>
          </w:tcPr>
          <w:p>
            <w:pPr>
              <w:jc w:val="right"/>
              <w:ind w:right="613"/>
              <w:spacing w:after="0" w:line="128"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3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3"/>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4"/>
        </w:trPr>
        <w:tc>
          <w:tcPr>
            <w:tcW w:w="3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3"/>
          </w:tcPr>
          <w:p>
            <w:pPr>
              <w:jc w:val="center"/>
              <w:ind w:left="75"/>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Renewable energy LLCs </w:t>
            </w:r>
            <w:r>
              <w:rPr>
                <w:rFonts w:ascii="Times New Roman" w:cs="Times New Roman" w:eastAsia="Times New Roman" w:hAnsi="Times New Roman"/>
                <w:sz w:val="18"/>
                <w:szCs w:val="18"/>
                <w:i w:val="1"/>
                <w:iCs w:val="1"/>
                <w:color w:val="auto"/>
              </w:rPr>
              <w:t>(a)</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Excess and Surplus Lines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Pr>
          <w:p>
            <w:pPr>
              <w:spacing w:after="0"/>
              <w:rPr>
                <w:sz w:val="19"/>
                <w:szCs w:val="19"/>
                <w:color w:val="auto"/>
              </w:rPr>
            </w:pPr>
          </w:p>
        </w:tc>
        <w:tc>
          <w:tcPr>
            <w:tcW w:w="760" w:type="dxa"/>
            <w:vAlign w:val="bottom"/>
          </w:tcPr>
          <w:p>
            <w:pPr>
              <w:jc w:val="right"/>
              <w:ind w:right="58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&amp; Other</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8"/>
        </w:trPr>
        <w:tc>
          <w:tcPr>
            <w:tcW w:w="3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8,003</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Renewable energy notes receivable (</w:t>
            </w:r>
            <w:r>
              <w:rPr>
                <w:rFonts w:ascii="Times New Roman" w:cs="Times New Roman" w:eastAsia="Times New Roman" w:hAnsi="Times New Roman"/>
                <w:sz w:val="18"/>
                <w:szCs w:val="18"/>
                <w:i w:val="1"/>
                <w:iCs w:val="1"/>
                <w:color w:val="auto"/>
              </w:rPr>
              <w:t>b)</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Excess and Surplus Lines</w:t>
            </w: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&amp; Other</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8"/>
        </w:trPr>
        <w:tc>
          <w:tcPr>
            <w:tcW w:w="3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Limited partnerships </w:t>
            </w:r>
            <w:r>
              <w:rPr>
                <w:rFonts w:ascii="Times New Roman" w:cs="Times New Roman" w:eastAsia="Times New Roman" w:hAnsi="Times New Roman"/>
                <w:sz w:val="18"/>
                <w:szCs w:val="18"/>
                <w:i w:val="1"/>
                <w:iCs w:val="1"/>
                <w:color w:val="auto"/>
              </w:rPr>
              <w:t>(c)</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Excess and Surplus Lines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&amp; Other</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3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13,651</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12,578</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Private Debt </w:t>
            </w:r>
            <w:r>
              <w:rPr>
                <w:rFonts w:ascii="Times New Roman" w:cs="Times New Roman" w:eastAsia="Times New Roman" w:hAnsi="Times New Roman"/>
                <w:sz w:val="18"/>
                <w:szCs w:val="18"/>
                <w:i w:val="1"/>
                <w:iCs w:val="1"/>
                <w:color w:val="auto"/>
              </w:rPr>
              <w:t>(d)</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Excess and Surplus Lines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&amp; Other</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3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10,805</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invested assets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Excess and Surplus Lines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&amp; Other</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8"/>
        </w:trPr>
        <w:tc>
          <w:tcPr>
            <w:tcW w:w="348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35,834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left="254" w:hanging="254"/>
        <w:spacing w:after="0" w:line="248" w:lineRule="auto"/>
        <w:tabs>
          <w:tab w:leader="none" w:pos="251"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Company's Excess and Surplus Lines segment owns equity interests ranging from 2.5% to 4.9% in various LLCs whose principal objective is capital appreciation and income generation from owning and operating renewable energy production facilities (wind and solar). The Company's former Non-Executive Chairman invested in certain of these LLCs. The equity method is used to account for the Company’s LLC investments. Income for the LLCs primarily reflects adjustments to the carrying values of investments in renewable energy projects to their determined fair values. The fair value adjustments are included in revenues for the LLCs. Expenses for the LLCs are not significant and are comprised of administrative and interest expenses. The Company received cash distributions from these investments totaling $161,000 and $24,000 in the six months ended June 30, 2024 and 2023, respectively. During the fourth quarter of 2022, the underlying projects in two of our LLCs were sold at the manager's discretion. In the three months ended March 31, 2023, the Company received additional proceeds from the sales of $1.2 million comprised of $984,000 in the Excess and Surplus Lines segment and $170,000 in the Corporate and Other segment. In the three months ended June 30, 2024, the Company received additional proceeds from the sale of $1.2 million comprised of $880,000 in the Excess and Surplus Lines segment and $293,000 in the Corporate and Other segment.</w:t>
      </w:r>
    </w:p>
    <w:p>
      <w:pPr>
        <w:spacing w:after="0" w:line="87" w:lineRule="exact"/>
        <w:rPr>
          <w:rFonts w:ascii="Times New Roman" w:cs="Times New Roman" w:eastAsia="Times New Roman" w:hAnsi="Times New Roman"/>
          <w:sz w:val="18"/>
          <w:szCs w:val="18"/>
          <w:color w:val="231F20"/>
        </w:rPr>
      </w:pPr>
    </w:p>
    <w:p>
      <w:pPr>
        <w:jc w:val="both"/>
        <w:ind w:left="254" w:hanging="254"/>
        <w:spacing w:after="0" w:line="259" w:lineRule="auto"/>
        <w:tabs>
          <w:tab w:leader="none" w:pos="2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The Company's </w:t>
      </w:r>
      <w:r>
        <w:rPr>
          <w:rFonts w:ascii="Times New Roman" w:cs="Times New Roman" w:eastAsia="Times New Roman" w:hAnsi="Times New Roman"/>
          <w:sz w:val="18"/>
          <w:szCs w:val="18"/>
          <w:color w:val="000000"/>
        </w:rPr>
        <w:t>Excess and Surplus Lines and</w:t>
      </w:r>
      <w:r>
        <w:rPr>
          <w:rFonts w:ascii="Times New Roman" w:cs="Times New Roman" w:eastAsia="Times New Roman" w:hAnsi="Times New Roman"/>
          <w:sz w:val="18"/>
          <w:szCs w:val="18"/>
          <w:color w:val="231F20"/>
        </w:rPr>
        <w:t xml:space="preserve"> Corporate and Other segments invested in two notes receivable for renewable energy projects. Interest on the notes was fixed at 12%. During the </w:t>
      </w:r>
      <w:r>
        <w:rPr>
          <w:rFonts w:ascii="Times New Roman" w:cs="Times New Roman" w:eastAsia="Times New Roman" w:hAnsi="Times New Roman"/>
          <w:sz w:val="18"/>
          <w:szCs w:val="18"/>
          <w:color w:val="000000"/>
        </w:rPr>
        <w:t>six months ended June 30, 2024</w:t>
      </w:r>
      <w:r>
        <w:rPr>
          <w:rFonts w:ascii="Times New Roman" w:cs="Times New Roman" w:eastAsia="Times New Roman" w:hAnsi="Times New Roman"/>
          <w:sz w:val="18"/>
          <w:szCs w:val="18"/>
          <w:color w:val="231F20"/>
        </w:rPr>
        <w:t>, the Company received final principal repayments of $608,000 and $761,000 on the notes receivable in the Company's Excess and Surplus Lines segment and Corporate and Other segment, respectively.</w:t>
      </w:r>
    </w:p>
    <w:p>
      <w:pPr>
        <w:spacing w:after="0" w:line="71" w:lineRule="exact"/>
        <w:rPr>
          <w:rFonts w:ascii="Times New Roman" w:cs="Times New Roman" w:eastAsia="Times New Roman" w:hAnsi="Times New Roman"/>
          <w:sz w:val="18"/>
          <w:szCs w:val="18"/>
          <w:color w:val="auto"/>
        </w:rPr>
      </w:pPr>
    </w:p>
    <w:p>
      <w:pPr>
        <w:jc w:val="both"/>
        <w:ind w:left="254" w:hanging="254"/>
        <w:spacing w:after="0" w:line="244" w:lineRule="auto"/>
        <w:tabs>
          <w:tab w:leader="none" w:pos="251"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 xml:space="preserve">The Company owns investments in limited partnerships that invest in concentrated portfolios including publicly-traded small cap equities, loans of middle market private equity sponsored companies, private equity general partnership interests, commercial mortgage-backed securities, specialty private credit, and tranches of distressed home loans. </w:t>
      </w:r>
      <w:r>
        <w:rPr>
          <w:rFonts w:ascii="Times New Roman" w:cs="Times New Roman" w:eastAsia="Times New Roman" w:hAnsi="Times New Roman"/>
          <w:sz w:val="18"/>
          <w:szCs w:val="18"/>
          <w:color w:val="231F20"/>
        </w:rPr>
        <w:t>Income f</w:t>
      </w:r>
      <w:r>
        <w:rPr>
          <w:rFonts w:ascii="Times New Roman" w:cs="Times New Roman" w:eastAsia="Times New Roman" w:hAnsi="Times New Roman"/>
          <w:sz w:val="18"/>
          <w:szCs w:val="18"/>
          <w:color w:val="auto"/>
        </w:rPr>
        <w:t>rom the partnerships is recognized under the equity method of accounting. At June 30, 2024, the Company’s Excess and Surplus Lines segment has outstanding commitments to invest another $5.0 million in the limited partnerships.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34"/>
          </w:cols>
          <w:pgMar w:left="226" w:top="121" w:right="339" w:bottom="1440" w:gutter="0" w:footer="0" w:header="0"/>
        </w:sectPr>
      </w:pPr>
    </w:p>
    <w:bookmarkStart w:id="20" w:name="page21"/>
    <w:bookmarkEnd w:id="20"/>
    <w:p>
      <w:pPr>
        <w:ind w:left="94"/>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214"/>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94"/>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jc w:val="both"/>
        <w:ind w:left="254" w:hanging="254"/>
        <w:spacing w:after="0" w:line="252" w:lineRule="auto"/>
        <w:tabs>
          <w:tab w:leader="none" w:pos="248"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 xml:space="preserve">The Company's Excess and Surplus Lines segment has invested in two notes receivable for structured private specialty credit. Interest on the notes, which mature in 2031, is fixed at 4.25% and 5.25%. At June 30, 2024, the Company’s Excess and Surplus Lines segment has outstanding commitments to invest another $2.3 million in these notes. Previously, the Company's Excess and Surplus Lines segment held $4.5 million of subordinated notes issued by a bank holding company for which the former Non-Executive Chairman of the Company was previously the Lead Independent Director and an investor. </w:t>
      </w:r>
      <w:r>
        <w:rPr>
          <w:rFonts w:ascii="Times New Roman" w:cs="Times New Roman" w:eastAsia="Times New Roman" w:hAnsi="Times New Roman"/>
          <w:sz w:val="18"/>
          <w:szCs w:val="18"/>
          <w:color w:val="231F20"/>
        </w:rPr>
        <w:t>T</w:t>
      </w:r>
      <w:r>
        <w:rPr>
          <w:rFonts w:ascii="Times New Roman" w:cs="Times New Roman" w:eastAsia="Times New Roman" w:hAnsi="Times New Roman"/>
          <w:sz w:val="18"/>
          <w:szCs w:val="18"/>
          <w:color w:val="auto"/>
        </w:rPr>
        <w:t>he notes matured on August 12, 2023. Interest on the notes was fixed at 7.6% per annum.</w:t>
      </w:r>
    </w:p>
    <w:p>
      <w:pPr>
        <w:spacing w:after="0" w:line="77" w:lineRule="exact"/>
        <w:rPr>
          <w:rFonts w:ascii="Times New Roman" w:cs="Times New Roman" w:eastAsia="Times New Roman" w:hAnsi="Times New Roman"/>
          <w:sz w:val="18"/>
          <w:szCs w:val="18"/>
          <w:color w:val="231F20"/>
        </w:rPr>
      </w:pPr>
    </w:p>
    <w:p>
      <w:pPr>
        <w:ind w:left="414" w:hanging="314"/>
        <w:spacing w:after="0"/>
        <w:tabs>
          <w:tab w:leader="none" w:pos="414"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13" w:lineRule="exact"/>
        <w:rPr>
          <w:sz w:val="20"/>
          <w:szCs w:val="20"/>
          <w:color w:val="auto"/>
        </w:rPr>
      </w:pPr>
    </w:p>
    <w:p>
      <w:pPr>
        <w:jc w:val="both"/>
        <w:ind w:left="94" w:firstLine="318"/>
        <w:spacing w:after="0" w:line="255" w:lineRule="auto"/>
        <w:rPr>
          <w:sz w:val="20"/>
          <w:szCs w:val="20"/>
          <w:color w:val="auto"/>
        </w:rPr>
      </w:pPr>
      <w:r>
        <w:rPr>
          <w:rFonts w:ascii="Times New Roman" w:cs="Times New Roman" w:eastAsia="Times New Roman" w:hAnsi="Times New Roman"/>
          <w:sz w:val="18"/>
          <w:szCs w:val="18"/>
          <w:color w:val="auto"/>
        </w:rPr>
        <w:t>On December 11, 2007, the Company completed an acquisition of James River Group by acquiring 100% of the outstanding shares of James River Group common stock, referred to herein as the “Merger”. The transaction was accounted for under the purchase method of accounting, and goodwill and intangible assets were recognized by the Company as a result of the transaction. Goodwill resulting from the Merger was $181.8 million at June 30, 2024 and December 31, 2023.</w:t>
      </w:r>
    </w:p>
    <w:p>
      <w:pPr>
        <w:spacing w:after="0" w:line="74" w:lineRule="exact"/>
        <w:rPr>
          <w:sz w:val="20"/>
          <w:szCs w:val="20"/>
          <w:color w:val="auto"/>
        </w:rPr>
      </w:pPr>
    </w:p>
    <w:p>
      <w:pPr>
        <w:ind w:left="414"/>
        <w:spacing w:after="0"/>
        <w:rPr>
          <w:sz w:val="20"/>
          <w:szCs w:val="20"/>
          <w:color w:val="auto"/>
        </w:rPr>
      </w:pPr>
      <w:r>
        <w:rPr>
          <w:rFonts w:ascii="Times New Roman" w:cs="Times New Roman" w:eastAsia="Times New Roman" w:hAnsi="Times New Roman"/>
          <w:sz w:val="18"/>
          <w:szCs w:val="18"/>
          <w:color w:val="auto"/>
        </w:rPr>
        <w:t>The gross carrying amounts and accumulated amortization for each major specifically identifiable intangible asset class were as follows:</w:t>
      </w:r>
    </w:p>
    <w:p>
      <w:pPr>
        <w:spacing w:after="0" w:line="145" w:lineRule="exact"/>
        <w:rPr>
          <w:sz w:val="20"/>
          <w:szCs w:val="20"/>
          <w:color w:val="auto"/>
        </w:rPr>
      </w:pPr>
    </w:p>
    <w:tbl>
      <w:tblPr>
        <w:tblLayout w:type="fixed"/>
        <w:tblInd w:w="94"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40" w:type="dxa"/>
            <w:vAlign w:val="bottom"/>
          </w:tcPr>
          <w:p>
            <w:pPr>
              <w:spacing w:after="0"/>
              <w:rPr>
                <w:sz w:val="16"/>
                <w:szCs w:val="16"/>
                <w:color w:val="auto"/>
              </w:rPr>
            </w:pPr>
          </w:p>
        </w:tc>
        <w:tc>
          <w:tcPr>
            <w:tcW w:w="2500" w:type="dxa"/>
            <w:vAlign w:val="bottom"/>
            <w:gridSpan w:val="4"/>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1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40" w:type="dxa"/>
            <w:vAlign w:val="bottom"/>
          </w:tcPr>
          <w:p>
            <w:pPr>
              <w:spacing w:after="0"/>
              <w:rPr>
                <w:sz w:val="11"/>
                <w:szCs w:val="11"/>
                <w:color w:val="auto"/>
              </w:rPr>
            </w:pPr>
          </w:p>
        </w:tc>
        <w:tc>
          <w:tcPr>
            <w:tcW w:w="1160" w:type="dxa"/>
            <w:vAlign w:val="bottom"/>
            <w:gridSpan w:val="2"/>
          </w:tcPr>
          <w:p>
            <w:pPr>
              <w:jc w:val="center"/>
              <w:ind w:right="340"/>
              <w:spacing w:after="0" w:line="128"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80" w:type="dxa"/>
            <w:vAlign w:val="bottom"/>
          </w:tcPr>
          <w:p>
            <w:pPr>
              <w:spacing w:after="0"/>
              <w:rPr>
                <w:sz w:val="11"/>
                <w:szCs w:val="11"/>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28"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14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4"/>
        </w:trPr>
        <w:tc>
          <w:tcPr>
            <w:tcW w:w="40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60"/>
              <w:spacing w:after="0" w:line="14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40"/>
              <w:spacing w:after="0" w:line="14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08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Pr>
          <w:p>
            <w:pPr>
              <w:spacing w:after="0"/>
              <w:rPr>
                <w:sz w:val="16"/>
                <w:szCs w:val="16"/>
                <w:color w:val="auto"/>
              </w:rPr>
            </w:pPr>
          </w:p>
        </w:tc>
        <w:tc>
          <w:tcPr>
            <w:tcW w:w="11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1"/>
        </w:trPr>
        <w:tc>
          <w:tcPr>
            <w:tcW w:w="408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640" w:type="dxa"/>
            <w:vAlign w:val="bottom"/>
            <w:tcBorders>
              <w:top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Indefinite</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licenses and authorities</w:t>
            </w:r>
          </w:p>
        </w:tc>
        <w:tc>
          <w:tcPr>
            <w:tcW w:w="16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Indefinite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 not subject to amortization</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Broker relationships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w:t>
            </w:r>
          </w:p>
        </w:tc>
        <w:tc>
          <w:tcPr>
            <w:tcW w:w="0" w:type="dxa"/>
            <w:vAlign w:val="bottom"/>
          </w:tcPr>
          <w:p>
            <w:pPr>
              <w:spacing w:after="0"/>
              <w:rPr>
                <w:sz w:val="1"/>
                <w:szCs w:val="1"/>
                <w:color w:val="auto"/>
              </w:rPr>
            </w:pPr>
          </w:p>
        </w:tc>
      </w:tr>
      <w:tr>
        <w:trPr>
          <w:trHeight w:val="218"/>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 subject to amortization</w:t>
            </w: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7,462</w:t>
            </w:r>
          </w:p>
        </w:tc>
        <w:tc>
          <w:tcPr>
            <w:tcW w:w="0" w:type="dxa"/>
            <w:vAlign w:val="bottom"/>
          </w:tcPr>
          <w:p>
            <w:pPr>
              <w:spacing w:after="0"/>
              <w:rPr>
                <w:sz w:val="1"/>
                <w:szCs w:val="1"/>
                <w:color w:val="auto"/>
              </w:rPr>
            </w:pPr>
          </w:p>
        </w:tc>
      </w:tr>
      <w:tr>
        <w:trPr>
          <w:trHeight w:val="243"/>
        </w:trPr>
        <w:tc>
          <w:tcPr>
            <w:tcW w:w="40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69215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34"/>
          </w:cols>
          <w:pgMar w:left="226"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represents a reconciliation of the numerator and denominator of the basic and diluted earnings per common share computations contained in the condensed consolidated financial statements: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6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3"/>
                <w:szCs w:val="13"/>
                <w:color w:val="auto"/>
              </w:rPr>
            </w:pPr>
          </w:p>
        </w:tc>
      </w:tr>
      <w:tr>
        <w:trPr>
          <w:trHeight w:val="191"/>
        </w:trPr>
        <w:tc>
          <w:tcPr>
            <w:tcW w:w="5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91"/>
        </w:trPr>
        <w:tc>
          <w:tcPr>
            <w:tcW w:w="5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5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8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and per share amounts)</w:t>
            </w: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14,478</w:t>
            </w:r>
          </w:p>
        </w:tc>
        <w:tc>
          <w:tcPr>
            <w:tcW w:w="48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37,986</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17,431</w:t>
            </w:r>
          </w:p>
        </w:tc>
      </w:tr>
      <w:tr>
        <w:trPr>
          <w:trHeight w:val="22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Dividends on Series A preferred shares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w:t>
            </w:r>
          </w:p>
        </w:tc>
      </w:tr>
      <w:tr>
        <w:trPr>
          <w:trHeight w:val="21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available to common shareholders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12,181</w:t>
            </w:r>
          </w:p>
        </w:tc>
      </w:tr>
      <w:tr>
        <w:trPr>
          <w:trHeight w:val="22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income from discontinued operations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5,489</w:t>
            </w: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17,778</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17,670</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37,869,322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37,642,289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37,801,516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37,587,359</w:t>
            </w:r>
          </w:p>
        </w:tc>
      </w:tr>
      <w:tr>
        <w:trPr>
          <w:trHeight w:val="225"/>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168,071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6,961,047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235,046</w:t>
            </w:r>
          </w:p>
        </w:tc>
      </w:tr>
      <w:tr>
        <w:trPr>
          <w:trHeight w:val="218"/>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38,037,393</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37,858,747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44,762,563</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37,822,405</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2"/>
        </w:trPr>
        <w:tc>
          <w:tcPr>
            <w:tcW w:w="5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5"/>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Continuing operations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48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tcPr>
          <w:p>
            <w:pPr>
              <w:spacing w:after="0"/>
              <w:rPr>
                <w:sz w:val="19"/>
                <w:szCs w:val="19"/>
                <w:color w:val="auto"/>
              </w:rPr>
            </w:pPr>
          </w:p>
        </w:tc>
        <w:tc>
          <w:tcPr>
            <w:tcW w:w="5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225"/>
        </w:trPr>
        <w:tc>
          <w:tcPr>
            <w:tcW w:w="5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48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18"/>
        </w:trPr>
        <w:tc>
          <w:tcPr>
            <w:tcW w:w="5420" w:type="dxa"/>
            <w:vAlign w:val="bottom"/>
          </w:tcPr>
          <w:p>
            <w:pPr>
              <w:spacing w:after="0"/>
              <w:rPr>
                <w:sz w:val="19"/>
                <w:szCs w:val="19"/>
                <w:color w:val="auto"/>
              </w:rPr>
            </w:pP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19"/>
                <w:szCs w:val="19"/>
                <w:color w:val="auto"/>
              </w:rPr>
            </w:pPr>
          </w:p>
        </w:tc>
        <w:tc>
          <w:tcPr>
            <w:tcW w:w="52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25"/>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Continuing operations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48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Pr>
          <w:p>
            <w:pPr>
              <w:spacing w:after="0"/>
              <w:rPr>
                <w:sz w:val="19"/>
                <w:szCs w:val="19"/>
                <w:color w:val="auto"/>
              </w:rPr>
            </w:pPr>
          </w:p>
        </w:tc>
        <w:tc>
          <w:tcPr>
            <w:tcW w:w="5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225"/>
        </w:trPr>
        <w:tc>
          <w:tcPr>
            <w:tcW w:w="5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48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25"/>
        </w:trPr>
        <w:tc>
          <w:tcPr>
            <w:tcW w:w="5420" w:type="dxa"/>
            <w:vAlign w:val="bottom"/>
          </w:tcPr>
          <w:p>
            <w:pPr>
              <w:spacing w:after="0"/>
              <w:rPr>
                <w:sz w:val="19"/>
                <w:szCs w:val="19"/>
                <w:color w:val="auto"/>
              </w:rPr>
            </w:pP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19"/>
                <w:szCs w:val="19"/>
                <w:color w:val="auto"/>
              </w:rPr>
            </w:pPr>
          </w:p>
        </w:tc>
        <w:tc>
          <w:tcPr>
            <w:tcW w:w="52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r>
    </w:tbl>
    <w:p>
      <w:pPr>
        <w:spacing w:after="0" w:line="2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231F20"/>
        </w:rPr>
        <w:t xml:space="preserve">For the three months ended June 30, 2024, potential common shares of </w:t>
      </w:r>
      <w:r>
        <w:rPr>
          <w:rFonts w:ascii="Times New Roman" w:cs="Times New Roman" w:eastAsia="Times New Roman" w:hAnsi="Times New Roman"/>
          <w:sz w:val="18"/>
          <w:szCs w:val="18"/>
          <w:color w:val="000000"/>
        </w:rPr>
        <w:t>6,848,763 were excluded from the calculation of diluted earnings per common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share as their effects were anti-dilutive. For the six months ended </w:t>
      </w:r>
      <w:r>
        <w:rPr>
          <w:rFonts w:ascii="Times New Roman" w:cs="Times New Roman" w:eastAsia="Times New Roman" w:hAnsi="Times New Roman"/>
          <w:sz w:val="18"/>
          <w:szCs w:val="18"/>
          <w:color w:val="231F20"/>
        </w:rPr>
        <w:t>June 30, 2024, all potential common shares were dilutive and included in the</w:t>
      </w:r>
      <w:r>
        <w:rPr>
          <w:rFonts w:ascii="Times New Roman" w:cs="Times New Roman" w:eastAsia="Times New Roman" w:hAnsi="Times New Roman"/>
          <w:sz w:val="18"/>
          <w:szCs w:val="18"/>
          <w:color w:val="000000"/>
        </w:rPr>
        <w:t xml:space="preserve"> calculation of diluted earnings per common share</w:t>
      </w:r>
      <w:r>
        <w:rPr>
          <w:rFonts w:ascii="Times New Roman" w:cs="Times New Roman" w:eastAsia="Times New Roman" w:hAnsi="Times New Roman"/>
          <w:sz w:val="18"/>
          <w:szCs w:val="18"/>
          <w:color w:val="231F20"/>
        </w:rPr>
        <w:t>. For the three and six months ended June 30, 2023, potential common shares of</w:t>
      </w:r>
      <w:r>
        <w:rPr>
          <w:rFonts w:ascii="Times New Roman" w:cs="Times New Roman" w:eastAsia="Times New Roman" w:hAnsi="Times New Roman"/>
          <w:sz w:val="18"/>
          <w:szCs w:val="18"/>
          <w:color w:val="000000"/>
        </w:rPr>
        <w:t xml:space="preserve"> 5,640,158 were excluded from the calculations of diluted earnings per common share as their effects were anti-dilutive.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Reserve for Losses and Loss Adjustment Expenses</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reserve balances for losses and loss adjustment expenses, net of reinsurance, to the gross amounts reported in the condensed consolidated balance sheets. Reinsurance recoverables on unpaid losses and loss adjustment expenses are presented gross of an allowance for credit losses on reinsurance balances of $744,000 at June 30, 2024, $660,000 at March 31, 2024 and December 31, 2023, $637,000 at June 30, 2023, $628,000 at March 31, 2023, and $580,000 at December 31, 2022.</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4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Reserve for losses and loss adjustment expenses net of reinsurance</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recoverables at beginning of period</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1,283,386</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1,121,532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1,246,973</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1,080,766</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Incurred losses and loss adjustment expenses net of reinsurance: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year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108,497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222,946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238,589</w:t>
            </w:r>
          </w:p>
        </w:tc>
        <w:tc>
          <w:tcPr>
            <w:tcW w:w="0" w:type="dxa"/>
            <w:vAlign w:val="bottom"/>
          </w:tcPr>
          <w:p>
            <w:pPr>
              <w:spacing w:after="0"/>
              <w:rPr>
                <w:sz w:val="1"/>
                <w:szCs w:val="1"/>
                <w:color w:val="auto"/>
              </w:rPr>
            </w:pPr>
          </w:p>
        </w:tc>
      </w:tr>
      <w:tr>
        <w:trPr>
          <w:trHeight w:val="225"/>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Prior years - retroactive reinsurance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9,448</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Prior years - excluding retroactive reinsurance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1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incurred losses and loss and adjustment expenses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115,471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120,440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225,520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246,821</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 Loss and loss adjustment expense payments net of reinsurance: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year</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Prior years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83,747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170,234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155,101</w:t>
            </w:r>
          </w:p>
        </w:tc>
        <w:tc>
          <w:tcPr>
            <w:tcW w:w="0" w:type="dxa"/>
            <w:vAlign w:val="bottom"/>
          </w:tcPr>
          <w:p>
            <w:pPr>
              <w:spacing w:after="0"/>
              <w:rPr>
                <w:sz w:val="1"/>
                <w:szCs w:val="1"/>
                <w:color w:val="auto"/>
              </w:rPr>
            </w:pPr>
          </w:p>
        </w:tc>
      </w:tr>
      <w:tr>
        <w:trPr>
          <w:trHeight w:val="21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loss and loss adjustment expense payments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100,879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89,267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178,517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163,182</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 Change in deferred reinsurance gain - retroactive reinsurance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9,448</w:t>
            </w:r>
          </w:p>
        </w:tc>
        <w:tc>
          <w:tcPr>
            <w:tcW w:w="0" w:type="dxa"/>
            <w:vAlign w:val="bottom"/>
          </w:tcPr>
          <w:p>
            <w:pPr>
              <w:spacing w:after="0"/>
              <w:rPr>
                <w:sz w:val="1"/>
                <w:szCs w:val="1"/>
                <w:color w:val="auto"/>
              </w:rPr>
            </w:pPr>
          </w:p>
        </w:tc>
      </w:tr>
      <w:tr>
        <w:trPr>
          <w:trHeight w:val="152"/>
        </w:trPr>
        <w:tc>
          <w:tcPr>
            <w:tcW w:w="5420" w:type="dxa"/>
            <w:vAlign w:val="bottom"/>
          </w:tcPr>
          <w:p>
            <w:pPr>
              <w:ind w:left="20"/>
              <w:spacing w:after="0" w:line="152" w:lineRule="exact"/>
              <w:rPr>
                <w:sz w:val="20"/>
                <w:szCs w:val="20"/>
                <w:color w:val="auto"/>
              </w:rPr>
            </w:pPr>
            <w:r>
              <w:rPr>
                <w:rFonts w:ascii="Times New Roman" w:cs="Times New Roman" w:eastAsia="Times New Roman" w:hAnsi="Times New Roman"/>
                <w:sz w:val="17"/>
                <w:szCs w:val="17"/>
                <w:color w:val="auto"/>
              </w:rPr>
              <w:t>Reserve for losses and loss adjustment expenses net of reinsurance</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recoverables at end of period</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1,301,662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1,154,957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1,301,662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1,154,957</w:t>
            </w:r>
          </w:p>
        </w:tc>
        <w:tc>
          <w:tcPr>
            <w:tcW w:w="0" w:type="dxa"/>
            <w:vAlign w:val="bottom"/>
          </w:tcPr>
          <w:p>
            <w:pPr>
              <w:spacing w:after="0"/>
              <w:rPr>
                <w:sz w:val="1"/>
                <w:szCs w:val="1"/>
                <w:color w:val="auto"/>
              </w:rPr>
            </w:pPr>
          </w:p>
        </w:tc>
      </w:tr>
      <w:tr>
        <w:trPr>
          <w:trHeight w:val="172"/>
        </w:trPr>
        <w:tc>
          <w:tcPr>
            <w:tcW w:w="54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Add: Reinsurance recoverables on unpaid losses and loss adjustment</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 at end of period</w:t>
            </w: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1,418,536</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1,307,227</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1,418,536</w:t>
            </w:r>
          </w:p>
        </w:tc>
        <w:tc>
          <w:tcPr>
            <w:tcW w:w="10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1,307,227</w:t>
            </w:r>
          </w:p>
        </w:tc>
        <w:tc>
          <w:tcPr>
            <w:tcW w:w="0" w:type="dxa"/>
            <w:vAlign w:val="bottom"/>
          </w:tcPr>
          <w:p>
            <w:pPr>
              <w:spacing w:after="0"/>
              <w:rPr>
                <w:sz w:val="1"/>
                <w:szCs w:val="1"/>
                <w:color w:val="auto"/>
              </w:rPr>
            </w:pPr>
          </w:p>
        </w:tc>
      </w:tr>
      <w:tr>
        <w:trPr>
          <w:trHeight w:val="152"/>
        </w:trPr>
        <w:tc>
          <w:tcPr>
            <w:tcW w:w="5420" w:type="dxa"/>
            <w:vAlign w:val="bottom"/>
          </w:tcPr>
          <w:p>
            <w:pPr>
              <w:ind w:left="20"/>
              <w:spacing w:after="0" w:line="152" w:lineRule="exact"/>
              <w:rPr>
                <w:sz w:val="20"/>
                <w:szCs w:val="20"/>
                <w:color w:val="auto"/>
              </w:rPr>
            </w:pPr>
            <w:r>
              <w:rPr>
                <w:rFonts w:ascii="Times New Roman" w:cs="Times New Roman" w:eastAsia="Times New Roman" w:hAnsi="Times New Roman"/>
                <w:sz w:val="17"/>
                <w:szCs w:val="17"/>
                <w:color w:val="auto"/>
              </w:rPr>
              <w:t>Reserve for losses and loss adjustment expenses gross of reinsurance</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4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recoverables on unpaid losses and loss adjustment expenses at end of</w:t>
            </w:r>
          </w:p>
        </w:tc>
        <w:tc>
          <w:tcPr>
            <w:tcW w:w="32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2,720,198</w:t>
            </w:r>
          </w:p>
        </w:tc>
        <w:tc>
          <w:tcPr>
            <w:tcW w:w="120" w:type="dxa"/>
            <w:vAlign w:val="bottom"/>
          </w:tcPr>
          <w:p>
            <w:pPr>
              <w:spacing w:after="0"/>
              <w:rPr>
                <w:sz w:val="15"/>
                <w:szCs w:val="15"/>
                <w:color w:val="auto"/>
              </w:rPr>
            </w:pPr>
          </w:p>
        </w:tc>
        <w:tc>
          <w:tcPr>
            <w:tcW w:w="360" w:type="dxa"/>
            <w:vAlign w:val="bottom"/>
            <w:vMerge w:val="restart"/>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2,462,184</w:t>
            </w:r>
          </w:p>
        </w:tc>
        <w:tc>
          <w:tcPr>
            <w:tcW w:w="100" w:type="dxa"/>
            <w:vAlign w:val="bottom"/>
          </w:tcPr>
          <w:p>
            <w:pPr>
              <w:spacing w:after="0"/>
              <w:rPr>
                <w:sz w:val="15"/>
                <w:szCs w:val="15"/>
                <w:color w:val="auto"/>
              </w:rPr>
            </w:pPr>
          </w:p>
        </w:tc>
        <w:tc>
          <w:tcPr>
            <w:tcW w:w="460" w:type="dxa"/>
            <w:vAlign w:val="bottom"/>
            <w:vMerge w:val="restart"/>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2,720,198</w:t>
            </w:r>
          </w:p>
        </w:tc>
        <w:tc>
          <w:tcPr>
            <w:tcW w:w="100" w:type="dxa"/>
            <w:vAlign w:val="bottom"/>
          </w:tcPr>
          <w:p>
            <w:pPr>
              <w:spacing w:after="0"/>
              <w:rPr>
                <w:sz w:val="15"/>
                <w:szCs w:val="15"/>
                <w:color w:val="auto"/>
              </w:rPr>
            </w:pPr>
          </w:p>
        </w:tc>
        <w:tc>
          <w:tcPr>
            <w:tcW w:w="540" w:type="dxa"/>
            <w:vAlign w:val="bottom"/>
            <w:vMerge w:val="restart"/>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2,462,184</w:t>
            </w:r>
          </w:p>
        </w:tc>
        <w:tc>
          <w:tcPr>
            <w:tcW w:w="0" w:type="dxa"/>
            <w:vAlign w:val="bottom"/>
          </w:tcPr>
          <w:p>
            <w:pPr>
              <w:spacing w:after="0"/>
              <w:rPr>
                <w:sz w:val="1"/>
                <w:szCs w:val="1"/>
                <w:color w:val="auto"/>
              </w:rPr>
            </w:pPr>
          </w:p>
        </w:tc>
      </w:tr>
      <w:tr>
        <w:trPr>
          <w:trHeight w:val="209"/>
        </w:trPr>
        <w:tc>
          <w:tcPr>
            <w:tcW w:w="542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period</w:t>
            </w:r>
          </w:p>
        </w:tc>
        <w:tc>
          <w:tcPr>
            <w:tcW w:w="3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The Company experienced $10.7 million of net adverse reserve development in the three months ended June 30, 2024 on the reserve for losses and loss adjustment expenses held at December 31, 2023 (excluding adverse prior year development on the commercial auto loss portfolio transfer subject to retroactive reinsurance accounting - see </w:t>
      </w:r>
      <w:r>
        <w:rPr>
          <w:rFonts w:ascii="Times New Roman" w:cs="Times New Roman" w:eastAsia="Times New Roman" w:hAnsi="Times New Roman"/>
          <w:sz w:val="18"/>
          <w:szCs w:val="18"/>
          <w:i w:val="1"/>
          <w:iCs w:val="1"/>
          <w:color w:val="auto"/>
        </w:rPr>
        <w:t>Loss Portfolio Transfer</w:t>
      </w:r>
      <w:r>
        <w:rPr>
          <w:rFonts w:ascii="Times New Roman" w:cs="Times New Roman" w:eastAsia="Times New Roman" w:hAnsi="Times New Roman"/>
          <w:sz w:val="18"/>
          <w:szCs w:val="18"/>
          <w:color w:val="auto"/>
        </w:rPr>
        <w:t xml:space="preserve"> below). This reserve development included $10.7 million of net adverse development in the Excess and Surplus Lines segment that was primarily related to accident years 2017-2020 for the general liability and excess casualty lines of business. The unfavorable reserve development in the E&amp;S segment for this quarter includes $9.7 million that will be subject to the combined loss portfolio transfer and adverse development cover reinsurance transaction ("E&amp;S LPT and ADC"). The E&amp;S LPT and ADC is effective January 1, 2024, but closed on July 2, 2024. As such, any applicable recoveries will be recognized in the third quarter of 2024.</w:t>
      </w:r>
    </w:p>
    <w:p>
      <w:pPr>
        <w:spacing w:after="0" w:line="8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The Company experienced $721,000 of net favorable reserve development in the three months ended June 30, 2023 on the reserve for losses and loss adjustment expenses held at December 31, 2022 (excluding adverse prior year development on the commercial auto loss portfolio transfer subject to retroactive reinsurance accounting - see </w:t>
      </w:r>
      <w:r>
        <w:rPr>
          <w:rFonts w:ascii="Times New Roman" w:cs="Times New Roman" w:eastAsia="Times New Roman" w:hAnsi="Times New Roman"/>
          <w:sz w:val="18"/>
          <w:szCs w:val="18"/>
          <w:i w:val="1"/>
          <w:iCs w:val="1"/>
          <w:color w:val="auto"/>
        </w:rPr>
        <w:t>Loss Portfolio Transfer</w:t>
      </w:r>
      <w:r>
        <w:rPr>
          <w:rFonts w:ascii="Times New Roman" w:cs="Times New Roman" w:eastAsia="Times New Roman" w:hAnsi="Times New Roman"/>
          <w:sz w:val="18"/>
          <w:szCs w:val="18"/>
          <w:color w:val="auto"/>
        </w:rPr>
        <w:t xml:space="preserve"> below). This reserve development included $118,000 of net adverse development in the Excess and Surplus Lines segment and $839,000 of net favorable development in the Specialty Admitted Insurance segment.</w:t>
      </w:r>
    </w:p>
    <w:p>
      <w:pPr>
        <w:spacing w:after="0" w:line="7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The Company experienced $10.3 million of net adverse reserve development in the six months ended June 30, 2024 on the reserve for losses and loss adjustment expenses held at December 31, 2023 (excluding adverse prior year development on the commercial auto loss portfolio transfer subject to retroactive reinsurance accounting - see </w:t>
      </w:r>
      <w:r>
        <w:rPr>
          <w:rFonts w:ascii="Times New Roman" w:cs="Times New Roman" w:eastAsia="Times New Roman" w:hAnsi="Times New Roman"/>
          <w:sz w:val="18"/>
          <w:szCs w:val="18"/>
          <w:i w:val="1"/>
          <w:iCs w:val="1"/>
          <w:color w:val="auto"/>
        </w:rPr>
        <w:t>Loss Portfolio Transfer</w:t>
      </w:r>
      <w:r>
        <w:rPr>
          <w:rFonts w:ascii="Times New Roman" w:cs="Times New Roman" w:eastAsia="Times New Roman" w:hAnsi="Times New Roman"/>
          <w:sz w:val="18"/>
          <w:szCs w:val="18"/>
          <w:color w:val="auto"/>
        </w:rPr>
        <w:t xml:space="preserve"> below). This reserve development included $10.7 million of net adverse development in the Excess and Surplus Lines segment and $442,000 of net favorable development in the Specialty Admitted Insurance segment. Reserve development in the E&amp;S segment was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primarily related to accident years 2017-2020 for the general liability and excess casualty lines of business. The unfavorable reserve development in the E&amp;S segment includes $9.7 million that will be subject to the E&amp;S LPT and ADC.</w:t>
      </w:r>
    </w:p>
    <w:p>
      <w:pPr>
        <w:spacing w:after="0" w:line="5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The Company experienced $1.2 million of net favorable reserve development in the six months ended June 30, 2023 on the reserve for losses and loss adjustment expenses held at December 31, 2022 (excluding adverse prior year development on the commercial auto loss portfolio transfer subject to retroactive reinsurance accounting - see </w:t>
      </w:r>
      <w:r>
        <w:rPr>
          <w:rFonts w:ascii="Times New Roman" w:cs="Times New Roman" w:eastAsia="Times New Roman" w:hAnsi="Times New Roman"/>
          <w:sz w:val="18"/>
          <w:szCs w:val="18"/>
          <w:i w:val="1"/>
          <w:iCs w:val="1"/>
          <w:color w:val="auto"/>
        </w:rPr>
        <w:t>Loss Portfolio Transfer</w:t>
      </w:r>
      <w:r>
        <w:rPr>
          <w:rFonts w:ascii="Times New Roman" w:cs="Times New Roman" w:eastAsia="Times New Roman" w:hAnsi="Times New Roman"/>
          <w:sz w:val="18"/>
          <w:szCs w:val="18"/>
          <w:color w:val="auto"/>
        </w:rPr>
        <w:t xml:space="preserve"> below). This reserve development included $206,000 of net favorable development in the Excess and Surplus Lines segment and $1.0 million of net favorable development in the Specialty Admitted Insurance segment.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Portfolio Transfers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Loss portfolio transfers are a form of reinsurance utilized by the Company to transfer losses and loss adjustment expenses and associated risk of adverse development on covered subject business, as defined in the respective agreements, to an assuming reinsurer in exchange for a reinsurance premium. Loss portfolio transfers can bring economic finality (up to the limit of such loss portfolio transfer, if applicable) on the subject risks when they no longer meet the Company's appetite or are no longer aligned with the Company's risk management guidelines.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Auto Loss Portfolio Transfer</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September 27, 2021, James River Insurance Company and James River Casualty Company (together, “James River”) entered into a loss portfolio transfer transaction (the “Commercial Auto LPT”) with Aleka Insurance, Inc. (“Aleka”), a captive insurance company affiliate of Rasier LLC, to reinsure substantially all of the Excess and Surplus Lines segment's legacy portfolio of commercial auto policies previously issued to Rasier LLC and its affiliates (collectively, “Rasier”) for which James River is not otherwise indemnified by Rasier. The reinsurance coverage is structured to be fully collateralized, is not subject to an aggregate limit, and is subject to certain exclusions.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Retroactive Reinsurance Accounting</w:t>
      </w:r>
    </w:p>
    <w:p>
      <w:pPr>
        <w:spacing w:after="0" w:line="115" w:lineRule="exact"/>
        <w:rPr>
          <w:sz w:val="20"/>
          <w:szCs w:val="20"/>
          <w:color w:val="auto"/>
        </w:rPr>
      </w:pPr>
    </w:p>
    <w:p>
      <w:pPr>
        <w:jc w:val="both"/>
        <w:ind w:firstLine="358"/>
        <w:spacing w:after="0" w:line="251" w:lineRule="auto"/>
        <w:rPr>
          <w:sz w:val="20"/>
          <w:szCs w:val="20"/>
          <w:color w:val="auto"/>
        </w:rPr>
      </w:pPr>
      <w:r>
        <w:rPr>
          <w:rFonts w:ascii="Times New Roman" w:cs="Times New Roman" w:eastAsia="Times New Roman" w:hAnsi="Times New Roman"/>
          <w:sz w:val="18"/>
          <w:szCs w:val="18"/>
          <w:color w:val="auto"/>
        </w:rPr>
        <w:t>The Company periodically reevaluates the remaining reserves subject to the Commercial Auto LPT, and when recognized adverse prior year development on the subject business causes the cumulative amounts ceded under the loss portfolio transfer to exceed the consideration paid, the loss portfolio transfer moves into a gain position subject to retroactive reinsurance accounting under GAAP. Gains are deferred under retroactive reinsurance accounting and recognized in earnings in proportion to actual paid recoveries under the loss portfolio transfer using the recovery method. While the deferral of gains can introduce volatility in our results in the short-term, over the life of the contract, we would expect no economic impact to the Company as long as the counterparty performs under the contract. The impact of retroactive reinsurance accounting is not indicative of our current and ongoing operations.</w:t>
      </w:r>
    </w:p>
    <w:p>
      <w:pPr>
        <w:spacing w:after="0" w:line="7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For the three and six months ended June 30, 2024, due to adverse paid and reported loss trends on the legacy Rasier business, the Company recognized adverse prior year development of $1.4 million and $1.9 million, respectively ($12.6 million and $53.6 million in the respective prior year periods), on the net reserves subject to the Commercial Auto LPT, resulting in corresponding additional amounts ceded under the Commercial Auto LPT. As a result, the cumulative amounts ceded under the Commercial Auto LPT exceed the consideration paid, putting the Commercial Auto LPT into a gain position. The Company has applied retroactive reinsurance accounting to the loss portfolio transfer. Retroactive reinsurance benefits of $5.1 million and $9.6 million for the three and six months ended June 30, 2024, respectively ($14.8 million and $44.1 million in the respective prior year periods), were recorded in losses and loss adjustment expenses on the Condensed Consolidated Statements of Income and Comprehensive Income (Loss) using the recovery method. The cumulative amounts ceded under the loss portfolio transfer were $458.1 million and $456.2 million as of June 30, 2024 and December 31, 2023, respectively. The deferred retroactive reinsurance gain related to the Commercial Auto LPT separately presented on the Company's Condensed Consolidated Balance Sheets was $13.0 million and $20.7 million at June 30,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0" w:hanging="314"/>
        <w:spacing w:after="0"/>
        <w:tabs>
          <w:tab w:leader="none" w:pos="3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Comprehensive (Loss) Income</w:t>
      </w:r>
    </w:p>
    <w:p>
      <w:pPr>
        <w:spacing w:after="0" w:line="113"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components of other comprehensive (loss) income: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2960" w:type="dxa"/>
            <w:vAlign w:val="bottom"/>
            <w:gridSpan w:val="6"/>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3"/>
                <w:szCs w:val="13"/>
                <w:color w:val="auto"/>
              </w:rPr>
            </w:pPr>
          </w:p>
        </w:tc>
      </w:tr>
      <w:tr>
        <w:trPr>
          <w:trHeight w:val="191"/>
        </w:trPr>
        <w:tc>
          <w:tcPr>
            <w:tcW w:w="54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91"/>
        </w:trPr>
        <w:tc>
          <w:tcPr>
            <w:tcW w:w="542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2"/>
        </w:trPr>
        <w:tc>
          <w:tcPr>
            <w:tcW w:w="5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79"/>
        </w:trPr>
        <w:tc>
          <w:tcPr>
            <w:tcW w:w="54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Unrealized (losses) gains arising during the period, before U.S. income</w:t>
            </w:r>
          </w:p>
        </w:tc>
        <w:tc>
          <w:tcPr>
            <w:tcW w:w="8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3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820" w:type="dxa"/>
            <w:vAlign w:val="bottom"/>
            <w:shd w:val="clear" w:color="auto" w:fill="CCEEFF"/>
          </w:tcPr>
          <w:p>
            <w:pPr>
              <w:jc w:val="right"/>
              <w:ind w:right="64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(3,784)</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(20,367)</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(13,934)</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15,445</w:t>
            </w:r>
          </w:p>
        </w:tc>
      </w:tr>
      <w:tr>
        <w:trPr>
          <w:trHeight w:val="22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income taxes</w:t>
            </w:r>
          </w:p>
        </w:tc>
        <w:tc>
          <w:tcPr>
            <w:tcW w:w="8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r>
      <w:tr>
        <w:trPr>
          <w:trHeight w:val="152"/>
        </w:trPr>
        <w:tc>
          <w:tcPr>
            <w:tcW w:w="542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Unrealized (losses) gains arising during the period, net of U.S. income</w:t>
            </w:r>
          </w:p>
        </w:tc>
        <w:tc>
          <w:tcPr>
            <w:tcW w:w="8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23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(2,989)</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(11,008)</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14,082</w:t>
            </w: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reclassification adjustment:</w:t>
            </w: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investment losses</w:t>
            </w: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2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income taxes</w:t>
            </w:r>
          </w:p>
        </w:tc>
        <w:tc>
          <w:tcPr>
            <w:tcW w:w="8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investment losses realized in net income</w:t>
            </w:r>
          </w:p>
        </w:tc>
        <w:tc>
          <w:tcPr>
            <w:tcW w:w="8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1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82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(2,359)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(10,132)</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14,445</w:t>
            </w:r>
          </w:p>
        </w:tc>
      </w:tr>
      <w:tr>
        <w:trPr>
          <w:trHeight w:val="20"/>
        </w:trPr>
        <w:tc>
          <w:tcPr>
            <w:tcW w:w="5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 xml:space="preserve">In addition to the $798,000 and $1.1 million of net realized investment losses on available-for-sale fixed maturities for the three and six </w:t>
      </w:r>
      <w:r>
        <w:rPr>
          <w:rFonts w:ascii="Times New Roman" w:cs="Times New Roman" w:eastAsia="Times New Roman" w:hAnsi="Times New Roman"/>
          <w:sz w:val="17"/>
          <w:szCs w:val="17"/>
          <w:color w:val="231F20"/>
        </w:rPr>
        <w:t>months ended</w:t>
      </w:r>
      <w:r>
        <w:rPr>
          <w:rFonts w:ascii="Times New Roman" w:cs="Times New Roman" w:eastAsia="Times New Roman" w:hAnsi="Times New Roman"/>
          <w:sz w:val="17"/>
          <w:szCs w:val="17"/>
          <w:color w:val="auto"/>
        </w:rPr>
        <w:t xml:space="preserve"> June 30, 2024 ($277,000 and $369,000 of net realized investment losses for the three and six </w:t>
      </w:r>
      <w:r>
        <w:rPr>
          <w:rFonts w:ascii="Times New Roman" w:cs="Times New Roman" w:eastAsia="Times New Roman" w:hAnsi="Times New Roman"/>
          <w:sz w:val="17"/>
          <w:szCs w:val="17"/>
          <w:color w:val="231F20"/>
        </w:rPr>
        <w:t>months ended June 30,</w:t>
      </w:r>
      <w:r>
        <w:rPr>
          <w:rFonts w:ascii="Times New Roman" w:cs="Times New Roman" w:eastAsia="Times New Roman" w:hAnsi="Times New Roman"/>
          <w:sz w:val="17"/>
          <w:szCs w:val="17"/>
          <w:color w:val="auto"/>
        </w:rPr>
        <w:t xml:space="preserve"> 2023</w:t>
      </w:r>
      <w:r>
        <w:rPr>
          <w:rFonts w:ascii="Times New Roman" w:cs="Times New Roman" w:eastAsia="Times New Roman" w:hAnsi="Times New Roman"/>
          <w:sz w:val="17"/>
          <w:szCs w:val="17"/>
          <w:color w:val="231F20"/>
        </w:rPr>
        <w:t>, respectively),</w:t>
      </w:r>
      <w:r>
        <w:rPr>
          <w:rFonts w:ascii="Times New Roman" w:cs="Times New Roman" w:eastAsia="Times New Roman" w:hAnsi="Times New Roman"/>
          <w:sz w:val="17"/>
          <w:szCs w:val="17"/>
          <w:color w:val="auto"/>
        </w:rPr>
        <w:t xml:space="preserve"> the Company also recognized net realized and unrealized investment losses in the respective periods of $843,000 and $1.1 million on its investments in bank loan participations (net realized and unrealized investment gains of $1.6 million and $2.1 million in the respective prior year periods) and net realized and unrealized investment (losses) gains of $(664,000) and $4.5 million on its investments in equity securities ($81,000 and $(248,000) in the respective prior year periods).</w:t>
      </w:r>
    </w:p>
    <w:p>
      <w:pPr>
        <w:spacing w:after="0" w:line="60" w:lineRule="exact"/>
        <w:rPr>
          <w:sz w:val="20"/>
          <w:szCs w:val="20"/>
          <w:color w:val="auto"/>
        </w:rPr>
      </w:pPr>
    </w:p>
    <w:p>
      <w:pPr>
        <w:ind w:left="440" w:hanging="434"/>
        <w:spacing w:after="0"/>
        <w:tabs>
          <w:tab w:leader="none" w:pos="4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Contingent Liabilities</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is involved in various legal proceedings, including commercial matters and litigation regarding insurance claims which arise in the ordinary course of business, as well as the matters specifically discussed below. In addition, the Company is involved from time to time in legal actions which seek extra-contractual damages, punitive damages or penalties, including claims alleging bad faith in the handling of insurance claims. The Company believes that the outcome of such matters, individually and in the aggregate, is not reasonably likely to have a material adverse effect on the Company's consolidated financial position, results of operations or cash flows.</w:t>
      </w:r>
    </w:p>
    <w:p>
      <w:pPr>
        <w:spacing w:after="0" w:line="79"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On July 9, 2021, a purported class action lawsuit was filed in the U.S. District Court, Eastern District of Virginia (the “Court”) by Employees’ Retirement Fund of the City of Fort Worth against James River Group Holdings, Ltd. and certain of its present and former officers (together, “Defendants”). On September 22, 2021, the Court entered an order appointing Employees’ Retirement Fund of the City of Fort Worth and the City of Miami General Employees’ and Sanitation Employees’ Retirement Trust as co-lead plaintiffs (together, “Plaintiffs”). Plaintiffs’ consolidated amended complaint was filed on November 19, 2021 (the “First Amended Complaint”). The Defendants filed a motion to dismiss the First Amended Complaint on January 18, 2022, Plaintiffs’ opposition thereto was filed on March 4, 2022, and the Defendants’ reply to the Plaintiffs’ opposition was filed on April 4, 2022. On August 25, 2022, Plaintiffs filed a motion for leave to file a second amended class action complaint (the “Second Amended Complaint”). On September 8, 2022, the Defendants consented to the Plaintiffs’ motion to file the Second Amended Complaint, and filed a motion to dismiss the Second Amended Complaint on October 24, 2022 (the “Second MTD”). The Plaintiffs’ opposition to the Second MTD was filed on November 7, 2022, and the Defendant’s reply to the Plaintiffs’ opposition was filed on November 14, 2022. On August 28, 2023, the Court denied the Second MTD. The Second Amended Complaint asserts claims under Sections 10(b) and 20(a) of the Securities Exchange Act of 1934 on behalf of a putative class of persons and entities that purchased the Company’s stock between February 22, 2019 and October 25, 2021, alleges that Defendants failed to make appropriate disclosures concerning the adequacy of reserves for policies that covered Rasier LLC, a subsidiary of Uber Technologies, Inc., and seeks unspecified damages, costs, attorneys’ fees and such other relief as the court may deem proper. The Company engaged in mediation in the fourth quarter of 2023 and on December 7, 2023, in connection with the mediation, the Company reached an agreement in principle to settle the action. On December 22, 2023, the parties submitted the stipulation of settlement to the Court for approval. The settlement provides for a full release of all defendants in connection with the allegations made and a settlement payment to the class of $30.0 million, inclusive of all Plaintiffs’ attorneys fees and expenses and settlement costs, all of which will be paid by the Company’s insurance carriers. 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January 26, 2024 the Court issued an order granting preliminary approval of the settlement and on May 24, 2024 the Court issued an order granting final approval of the settlement, and no appeal was filed. This matter is now concluded.</w:t>
      </w:r>
    </w:p>
    <w:p>
      <w:pPr>
        <w:spacing w:after="0" w:line="5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November 13, 2023, a purported class action lawsuit was filed in the U.S. District Court, Southern District of New York, on behalf of Paul Glantz against James River Group Holdings, Ltd. and certain of its officers, asserting claims under Sections 10(b) and 20(a) of the Securities Exchange Act of 1934. On January 12, 2024, both Mr. Glantz and Madhav Ghimire, another individual shareholder, filed an application with the court for appointment as Lead Plaintiff, and on January 26, 2024 Mr. Glantz filed a notice of non-opposition to Mr. Ghimire's competing motion for appointment as Lead Plaintiff. On March 25, 2024 the court entered an order appointing Mr. Ghimire as lead plaintiff. On May 24, 2024, Plaintiff filed its consolidated amended complaint alleging that he acquired the Company’s common stock at artificially inflated pricing between May 2, 2023 and November 7, 2023, inclusive, that the Company knew and/or recklessly disregarded that it had improperly accounted for reinsurance premiums and did not have effective internal control over financial reporting, and that as a result, he suffered unspecified damages, and seeking unspecified damages, costs, attorneys' fees and such other relief as the court may deem proper. On July 23, 2024 the Company filed a motion to dismiss the consolidated amended complaint. The Company believes that the claims are without merit and intends to vigorously defend this lawsuit.</w:t>
      </w:r>
    </w:p>
    <w:p>
      <w:pPr>
        <w:spacing w:after="0" w:line="87"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On March 11, 2024, the Company filed a complaint (the “Complaint”) in the Supreme Court of the State of New York, New York County, Commercial Division against Fleming Intermediate Holdings LLC (“Fleming”), a Cayman Islands limited liability company, relating to the previously announced Stock Purchase Agreement, dated as of November 8, 2023 (the “Stock Purchase Agreement”), pursuant to which Fleming agreed to purchase all of the outstanding common shares of JRG Re (the “Transaction”). The complaint alleges that Fleming breached the Stock Purchase Agreement by its refusal to close the Transaction on March 1, 2024 as required under the terms of the Stock Purchase Agreement, and seeks specific performance of Fleming’s obligation to complete the Transaction and an award of damages. The Company subsequently filed a motion for preliminary injunction to require Fleming to fulfill its contractual obligation to close the Transaction, and on April 6, 2024 the Court granted the Company’s motion and ordered Fleming to complete the Transaction on or prior to April 16, 2024. On April 8, 2024, Fleming filed a notice of appeal of the preliminary injunction, which is pending in the Supreme Court of the State of New York Appellate Division, First Department. The Transaction closed on April 16, 2024. On April 19, 2024, Fleming filed a motion to dismiss the Complaint. On May 9, 2024, the Company filed an amended complaint seeking, among other things, specific performance and damages suffered as a result of Fleming's breach of the Stock Purchase Agreement. On June 6, 2024, Fleming filed a motion to dismiss the amended complaint, on July 3, 2024 the Company filed an opposition to such motion to dismiss (the "MTD Opposition"), and on July 24, 2024 Fleming filed its reply to the MTD Opposition.</w:t>
      </w:r>
    </w:p>
    <w:p>
      <w:pPr>
        <w:spacing w:after="0" w:line="7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July 15, 2024, Fleming filed a complaint in the U.S. District Court, Southern District of New York against James River Group Holdings, Ltd. and certain of its officers. Refer to Note 15 for additional information.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Recoverable from an Indemnifying Party and Reinsurer on Legacy Commercial Auto Book</w:t>
      </w:r>
    </w:p>
    <w:p>
      <w:pPr>
        <w:spacing w:after="0" w:line="115" w:lineRule="exact"/>
        <w:rPr>
          <w:sz w:val="20"/>
          <w:szCs w:val="20"/>
          <w:color w:val="auto"/>
        </w:rPr>
      </w:pPr>
    </w:p>
    <w:p>
      <w:pPr>
        <w:jc w:val="both"/>
        <w:ind w:firstLine="358"/>
        <w:spacing w:after="0" w:line="248" w:lineRule="auto"/>
        <w:rPr>
          <w:sz w:val="20"/>
          <w:szCs w:val="20"/>
          <w:color w:val="auto"/>
        </w:rPr>
      </w:pPr>
      <w:r>
        <w:rPr>
          <w:rFonts w:ascii="Times New Roman" w:cs="Times New Roman" w:eastAsia="Times New Roman" w:hAnsi="Times New Roman"/>
          <w:sz w:val="18"/>
          <w:szCs w:val="18"/>
          <w:color w:val="auto"/>
        </w:rPr>
        <w:t>James River previously issued a set of commercial auto insurance contracts (the “Rasier Commercial Auto Policies”) to Rasier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On September 27, 2021, James River entered into the Commercial Auto LPT with Aleka to reinsure substantially all of the Rasier Commercial Auto Policies for which James River is not otherwise indemnified by Rasier under the Indemnity Agreements. Under the terms of the Commercial Auto LPT, effective as of July 1, 2021, James River ceded to Aleka approximately $345.1 million of commercial auto liabilities relating to Rasier Commercial Auto Policies written in the years 2013-2019, which amount constituted the reinsurance premium. Since inception, due to adverse paid and reported loss trends on the legacy Rasier business, the Company has recognized adverse prior year development of $113.0 million on the reserves subject to the Commercial Auto LPT, bringing the cumulative amount ceded under the Commercial Auto LPT to $458.1 million at June 30, 2024.</w:t>
      </w:r>
    </w:p>
    <w:p>
      <w:pPr>
        <w:spacing w:after="0" w:line="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Each of Rasier and Aleka are required to post collateral under the Indemnity Agreements and the Commercial Auto LPT, respectively:</w:t>
      </w:r>
    </w:p>
    <w:p>
      <w:pPr>
        <w:spacing w:after="0" w:line="111" w:lineRule="exact"/>
        <w:rPr>
          <w:sz w:val="20"/>
          <w:szCs w:val="20"/>
          <w:color w:val="auto"/>
        </w:rPr>
      </w:pPr>
    </w:p>
    <w:p>
      <w:pPr>
        <w:jc w:val="both"/>
        <w:ind w:firstLine="364"/>
        <w:spacing w:after="0" w:line="251" w:lineRule="auto"/>
        <w:tabs>
          <w:tab w:leader="none" w:pos="63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Indemnity Agreements, Rasier is required to post collateral equal to 102% of James River's estimate of the amounts that are recoverable or may be recoverable under the Indemnity Agreements, including, among other things, case loss and loss adjustment expense reserves, IBNR loss and loss adjustment expense reserves, extra contractual obligations and excess policy limits liabilities. The collateral is provided through a collateral trust arrangement (the “Indemnity Trust”) in favor of James River by Aleka. In connection with the execution of the Commercial Auto LPT, James River returned $691.3 million to the Indemnity Trust, representing the remaining balance of the amount withdrawn in October 2019, as was permitted under the indemnification agreements with Rasier and the associated trust agreement. At June 30, 2024, the balance in the Indemnity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Trust was $99.6 million, and, together with the balance of the Loss Fund Trust (as defined below) attributable to the Indemnity Agreements as described below, the total balance of collateral securing Rasier’s obligations under the Indemnity Agreements was $117.0 million.</w:t>
      </w:r>
    </w:p>
    <w:p>
      <w:pPr>
        <w:spacing w:after="0" w:line="57" w:lineRule="exact"/>
        <w:rPr>
          <w:sz w:val="20"/>
          <w:szCs w:val="20"/>
          <w:color w:val="auto"/>
        </w:rPr>
      </w:pPr>
    </w:p>
    <w:p>
      <w:pPr>
        <w:jc w:val="both"/>
        <w:ind w:firstLine="364"/>
        <w:spacing w:after="0" w:line="251" w:lineRule="auto"/>
        <w:tabs>
          <w:tab w:leader="none" w:pos="63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Commercial Auto LPT, Aleka is required to post collateral equal to 102% of James River's estimate of Aleka's obligations under the Commercial Auto LPT, calculated in accordance with standard actuarial principles and based on reserves recorded in the Company’s statutory financial statements. The collateral is provided through a collateral trust arrangement (the “LPT Trust”) established in favor of James River by Aleka. At June 30, 2024, the balance in the LPT Trust was $45.4 million, and, together with the balance of the Loss Fund Trust (as defined below) attributable to the Commercial Auto LPT as described below, the total balance of collateral securing Aleka’s obligations under the Commercial Auto LPT was $53.1 million. At June 30, 2024, the total reinsurance recoverables under the Commercial Auto LPT was $52.4 million.</w:t>
      </w:r>
    </w:p>
    <w:p>
      <w:pPr>
        <w:spacing w:after="0" w:line="79" w:lineRule="exact"/>
        <w:rPr>
          <w:sz w:val="20"/>
          <w:szCs w:val="20"/>
          <w:color w:val="auto"/>
        </w:rPr>
      </w:pPr>
    </w:p>
    <w:p>
      <w:pPr>
        <w:jc w:val="both"/>
        <w:ind w:firstLine="358"/>
        <w:spacing w:after="0" w:line="248" w:lineRule="auto"/>
        <w:rPr>
          <w:sz w:val="20"/>
          <w:szCs w:val="20"/>
          <w:color w:val="auto"/>
        </w:rPr>
      </w:pPr>
      <w:r>
        <w:rPr>
          <w:rFonts w:ascii="Times New Roman" w:cs="Times New Roman" w:eastAsia="Times New Roman" w:hAnsi="Times New Roman"/>
          <w:sz w:val="18"/>
          <w:szCs w:val="18"/>
          <w:color w:val="auto"/>
        </w:rPr>
        <w:t>In connection with the execution of the Commercial Auto LPT, James River and Aleka entered into an administrative services agreement (the “Administrative Services Agreement”) with a third party claims administrator (the “Administrator”) pursuant to which the Administrator handles the claims on the Rasier Commercial Auto Policies for the remaining life of those claims. The claims paid by the Administrator are reimbursable by James River, and pursuant to the Administrative Services Agreement, James River established a loss fund trust account for the benefit of the Administrator (the “Loss Fund Trust”) to collateralize its claims payment reimbursement obligations. James River funds the Loss Fund Trust using funds withdrawn from the Indemnity Trust, funds withdrawn from the LPT Trust, and its own funds, in each case in an amount equal to the pro rata portion of the required Loss Fund Trust balance attributable to the Indemnity Agreements, the Commercial Auto LPT and James River’s existing third party reinsurance agreements, respectively. At June 30, 2024, the balance in the Loss Fund Trust was $28.0 million, including $17.4 million representing collateral supporting Rasier’s obligations under the Indemnity Agreements and $7.7 million representing collateral supporting Aleka’s obligations under the Commercial Auto LPT. Funds posted to the Loss Fund Trust are classified as restricted cash equivalents on the Company's balance sheets.</w:t>
      </w:r>
    </w:p>
    <w:p>
      <w:pPr>
        <w:spacing w:after="0" w:line="87" w:lineRule="exact"/>
        <w:rPr>
          <w:sz w:val="20"/>
          <w:szCs w:val="20"/>
          <w:color w:val="auto"/>
        </w:rPr>
      </w:pPr>
    </w:p>
    <w:p>
      <w:pPr>
        <w:jc w:val="both"/>
        <w:ind w:firstLine="358"/>
        <w:spacing w:after="0" w:line="267" w:lineRule="auto"/>
        <w:rPr>
          <w:sz w:val="20"/>
          <w:szCs w:val="20"/>
          <w:color w:val="auto"/>
        </w:rPr>
      </w:pPr>
      <w:r>
        <w:rPr>
          <w:rFonts w:ascii="Times New Roman" w:cs="Times New Roman" w:eastAsia="Times New Roman" w:hAnsi="Times New Roman"/>
          <w:sz w:val="17"/>
          <w:szCs w:val="17"/>
          <w:color w:val="auto"/>
        </w:rPr>
        <w:t>While the Commercial Auto LPT brings economic finality to substantially all of the Rasier Commercial Auto Policies, the Company has credit exposure to Rasier and Aleka under the Indemnity Agreements and the Commercial Auto LPT if the estimated losses and expenses of the Rasier Commercial Auto Policies grow at a faster pace than the growth in the collateral balances. In addition, the Company has credit exposure if its estimates of future losses and loss adjustment expenses and other amounts recoverable under the Indemnity Agreements and the Commercial Auto LPT, which are the basis for establishing the collateral balances, are lower than actual amounts paid or payable. The amount of our credit exposure in any of these instances could be material. To mitigate these risks, the Company closely and frequently monitors its exposure compared to the collateral held, and requests additional collateral in accordance with the terms of the Commercial Auto LPT and Indemnity Agreements when its analysis indicates that it has uncollateralized exposure.</w:t>
      </w:r>
    </w:p>
    <w:p>
      <w:pPr>
        <w:spacing w:after="0" w:line="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Company's continuing operations are comprised of three reportable segments, two of which are separately managed business units and the third (“Corporate and Other”) includes the Company’s remaining operations. Prior to entering into a definitive agreement to sell JRG Re on November 8, 2023, JRG Re was considered a reportable segment (the “Casualty Reinsurance” segment). After entering into the agreement to sell JRG Re, the Company no longer considered Casualty Reinsurance to be a reportable segment, but instead it is reported as discontinued operations. The segment information below excludes discontinued operations for all periods presented.</w:t>
      </w:r>
    </w:p>
    <w:p>
      <w:pPr>
        <w:spacing w:after="0" w:line="79" w:lineRule="exact"/>
        <w:rPr>
          <w:sz w:val="20"/>
          <w:szCs w:val="20"/>
          <w:color w:val="auto"/>
        </w:rPr>
      </w:pPr>
    </w:p>
    <w:p>
      <w:pPr>
        <w:jc w:val="both"/>
        <w:ind w:firstLine="358"/>
        <w:spacing w:after="0" w:line="250" w:lineRule="auto"/>
        <w:rPr>
          <w:sz w:val="20"/>
          <w:szCs w:val="20"/>
          <w:color w:val="auto"/>
        </w:rPr>
      </w:pPr>
      <w:r>
        <w:rPr>
          <w:rFonts w:ascii="Times New Roman" w:cs="Times New Roman" w:eastAsia="Times New Roman" w:hAnsi="Times New Roman"/>
          <w:sz w:val="18"/>
          <w:szCs w:val="18"/>
          <w:color w:val="auto"/>
        </w:rPr>
        <w:t xml:space="preserve">Segment profit (loss) is measured by underwriting profit (loss), which is generally defined as net earned premiums and gross fee income (in specific instances when the Company is not retaining insurance risk) in “other income” in the Condensed Consolidated Statements of Income and Comprehensive Income less loss and loss adjustment expenses on business not subject to retroactive reinsurance accounting for loss portfolio transfers (see </w:t>
      </w:r>
      <w:r>
        <w:rPr>
          <w:rFonts w:ascii="Times New Roman" w:cs="Times New Roman" w:eastAsia="Times New Roman" w:hAnsi="Times New Roman"/>
          <w:sz w:val="18"/>
          <w:szCs w:val="18"/>
          <w:i w:val="1"/>
          <w:iCs w:val="1"/>
          <w:color w:val="auto"/>
        </w:rPr>
        <w:t>Loss Portfolio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Transfer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i w:val="1"/>
          <w:iCs w:val="1"/>
          <w:color w:val="auto"/>
        </w:rPr>
        <w:t xml:space="preserve"> Note 6 - Reserve for Losses and Loss Adjustment Expenses</w:t>
      </w:r>
      <w:r>
        <w:rPr>
          <w:rFonts w:ascii="Times New Roman" w:cs="Times New Roman" w:eastAsia="Times New Roman" w:hAnsi="Times New Roman"/>
          <w:sz w:val="18"/>
          <w:szCs w:val="18"/>
          <w:color w:val="auto"/>
        </w:rPr>
        <w:t>) and other operating expenses of the operating segments. Gross fee income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$1.3 million and $2.6 million for the Specialty Admitted Insurance segment was included in other income and in underwriting profit (loss) for the three and six </w:t>
      </w:r>
      <w:r>
        <w:rPr>
          <w:rFonts w:ascii="Times New Roman" w:cs="Times New Roman" w:eastAsia="Times New Roman" w:hAnsi="Times New Roman"/>
          <w:sz w:val="18"/>
          <w:szCs w:val="18"/>
          <w:color w:val="231F20"/>
        </w:rPr>
        <w:t>months ended</w:t>
      </w:r>
      <w:r>
        <w:rPr>
          <w:rFonts w:ascii="Times New Roman" w:cs="Times New Roman" w:eastAsia="Times New Roman" w:hAnsi="Times New Roman"/>
          <w:sz w:val="18"/>
          <w:szCs w:val="18"/>
          <w:color w:val="auto"/>
        </w:rPr>
        <w:t xml:space="preserve"> June 30, 2024, respectively ($1.3 million and $2.4 million in the respective prior year periods)</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Segment results are reported prior to the effects of intercompany reinsurance agreements among the Company’s insurance subsidiaries.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Company’s segment results: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Excess and</w:t>
            </w:r>
          </w:p>
        </w:tc>
        <w:tc>
          <w:tcPr>
            <w:tcW w:w="320" w:type="dxa"/>
            <w:vAlign w:val="bottom"/>
          </w:tcPr>
          <w:p>
            <w:pPr>
              <w:spacing w:after="0"/>
              <w:rPr>
                <w:sz w:val="13"/>
                <w:szCs w:val="13"/>
                <w:color w:val="auto"/>
              </w:rPr>
            </w:pPr>
          </w:p>
        </w:tc>
        <w:tc>
          <w:tcPr>
            <w:tcW w:w="1140" w:type="dxa"/>
            <w:vAlign w:val="bottom"/>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Specialty</w:t>
            </w:r>
          </w:p>
        </w:tc>
        <w:tc>
          <w:tcPr>
            <w:tcW w:w="300" w:type="dxa"/>
            <w:vAlign w:val="bottom"/>
          </w:tcPr>
          <w:p>
            <w:pPr>
              <w:spacing w:after="0"/>
              <w:rPr>
                <w:sz w:val="13"/>
                <w:szCs w:val="13"/>
                <w:color w:val="auto"/>
              </w:rPr>
            </w:pPr>
          </w:p>
        </w:tc>
        <w:tc>
          <w:tcPr>
            <w:tcW w:w="112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73"/>
              <w:spacing w:after="0" w:line="144" w:lineRule="exact"/>
              <w:rPr>
                <w:sz w:val="20"/>
                <w:szCs w:val="20"/>
                <w:color w:val="auto"/>
              </w:rPr>
            </w:pPr>
            <w:r>
              <w:rPr>
                <w:rFonts w:ascii="Times New Roman" w:cs="Times New Roman" w:eastAsia="Times New Roman" w:hAnsi="Times New Roman"/>
                <w:sz w:val="14"/>
                <w:szCs w:val="14"/>
                <w:b w:val="1"/>
                <w:bCs w:val="1"/>
                <w:color w:val="auto"/>
              </w:rPr>
              <w:t>Surplus</w:t>
            </w:r>
          </w:p>
        </w:tc>
        <w:tc>
          <w:tcPr>
            <w:tcW w:w="320" w:type="dxa"/>
            <w:vAlign w:val="bottom"/>
          </w:tcPr>
          <w:p>
            <w:pPr>
              <w:spacing w:after="0"/>
              <w:rPr>
                <w:sz w:val="12"/>
                <w:szCs w:val="12"/>
                <w:color w:val="auto"/>
              </w:rPr>
            </w:pPr>
          </w:p>
        </w:tc>
        <w:tc>
          <w:tcPr>
            <w:tcW w:w="1140" w:type="dxa"/>
            <w:vAlign w:val="bottom"/>
          </w:tcPr>
          <w:p>
            <w:pPr>
              <w:jc w:val="center"/>
              <w:ind w:right="194"/>
              <w:spacing w:after="0" w:line="144" w:lineRule="exact"/>
              <w:rPr>
                <w:sz w:val="20"/>
                <w:szCs w:val="20"/>
                <w:color w:val="auto"/>
              </w:rPr>
            </w:pPr>
            <w:r>
              <w:rPr>
                <w:rFonts w:ascii="Times New Roman" w:cs="Times New Roman" w:eastAsia="Times New Roman" w:hAnsi="Times New Roman"/>
                <w:sz w:val="14"/>
                <w:szCs w:val="14"/>
                <w:b w:val="1"/>
                <w:bCs w:val="1"/>
                <w:color w:val="auto"/>
              </w:rPr>
              <w:t>Admitted</w:t>
            </w:r>
          </w:p>
        </w:tc>
        <w:tc>
          <w:tcPr>
            <w:tcW w:w="300" w:type="dxa"/>
            <w:vAlign w:val="bottom"/>
          </w:tcPr>
          <w:p>
            <w:pPr>
              <w:spacing w:after="0"/>
              <w:rPr>
                <w:sz w:val="12"/>
                <w:szCs w:val="12"/>
                <w:color w:val="auto"/>
              </w:rPr>
            </w:pPr>
          </w:p>
        </w:tc>
        <w:tc>
          <w:tcPr>
            <w:tcW w:w="1120" w:type="dxa"/>
            <w:vAlign w:val="bottom"/>
          </w:tcPr>
          <w:p>
            <w:pPr>
              <w:jc w:val="center"/>
              <w:ind w:right="173"/>
              <w:spacing w:after="0" w:line="144"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400" w:type="dxa"/>
            <w:vAlign w:val="bottom"/>
          </w:tcPr>
          <w:p>
            <w:pPr>
              <w:spacing w:after="0"/>
              <w:rPr>
                <w:sz w:val="12"/>
                <w:szCs w:val="12"/>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7"/>
              </w:rPr>
              <w:t>Lines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3"/>
          </w:tcPr>
          <w:p>
            <w:pPr>
              <w:jc w:val="right"/>
              <w:ind w:right="913"/>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292,836</w:t>
            </w:r>
          </w:p>
        </w:tc>
        <w:tc>
          <w:tcPr>
            <w:tcW w:w="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119,411</w:t>
            </w: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412,247</w:t>
            </w: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140,447</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22,746</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163,193</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profit of operating segments</w:t>
            </w:r>
          </w:p>
        </w:tc>
        <w:tc>
          <w:tcPr>
            <w:tcW w:w="22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6,427</w:t>
            </w:r>
          </w:p>
        </w:tc>
        <w:tc>
          <w:tcPr>
            <w:tcW w:w="32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3,416</w:t>
            </w:r>
          </w:p>
        </w:tc>
        <w:tc>
          <w:tcPr>
            <w:tcW w:w="30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9,843</w:t>
            </w: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20,255</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4,097</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579</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24,931</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6,344</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159,572</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28,055</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662</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188,289</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goodwill</w:t>
            </w:r>
          </w:p>
        </w:tc>
        <w:tc>
          <w:tcPr>
            <w:tcW w:w="22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181,831</w:t>
            </w:r>
          </w:p>
        </w:tc>
        <w:tc>
          <w:tcPr>
            <w:tcW w:w="32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3,211,050</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1,385,738</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141,418</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4,738,206</w:t>
            </w:r>
          </w:p>
        </w:tc>
        <w:tc>
          <w:tcPr>
            <w:tcW w:w="0" w:type="dxa"/>
            <w:vAlign w:val="bottom"/>
          </w:tcPr>
          <w:p>
            <w:pPr>
              <w:spacing w:after="0"/>
              <w:rPr>
                <w:sz w:val="1"/>
                <w:szCs w:val="1"/>
                <w:color w:val="auto"/>
              </w:rPr>
            </w:pPr>
          </w:p>
        </w:tc>
      </w:tr>
      <w:tr>
        <w:trPr>
          <w:trHeight w:val="252"/>
        </w:trPr>
        <w:tc>
          <w:tcPr>
            <w:tcW w:w="5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286,126</w:t>
            </w:r>
          </w:p>
        </w:tc>
        <w:tc>
          <w:tcPr>
            <w:tcW w:w="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136,924</w:t>
            </w: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423,050</w:t>
            </w: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149,611</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23,858</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173,469</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profit of operating segments</w:t>
            </w:r>
          </w:p>
        </w:tc>
        <w:tc>
          <w:tcPr>
            <w:tcW w:w="22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10,042</w:t>
            </w:r>
          </w:p>
        </w:tc>
        <w:tc>
          <w:tcPr>
            <w:tcW w:w="32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384</w:t>
            </w:r>
          </w:p>
        </w:tc>
        <w:tc>
          <w:tcPr>
            <w:tcW w:w="30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10,426</w:t>
            </w: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14,903</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3,173</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158</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18,234</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5,997</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166,130</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28,330</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322</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194,782</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goodwill</w:t>
            </w:r>
          </w:p>
        </w:tc>
        <w:tc>
          <w:tcPr>
            <w:tcW w:w="22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181,831</w:t>
            </w:r>
          </w:p>
        </w:tc>
        <w:tc>
          <w:tcPr>
            <w:tcW w:w="32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2,880,824</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1,381,877</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87,541</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4,350,242</w:t>
            </w:r>
          </w:p>
        </w:tc>
        <w:tc>
          <w:tcPr>
            <w:tcW w:w="0" w:type="dxa"/>
            <w:vAlign w:val="bottom"/>
          </w:tcPr>
          <w:p>
            <w:pPr>
              <w:spacing w:after="0"/>
              <w:rPr>
                <w:sz w:val="1"/>
                <w:szCs w:val="1"/>
                <w:color w:val="auto"/>
              </w:rPr>
            </w:pPr>
          </w:p>
        </w:tc>
      </w:tr>
      <w:tr>
        <w:trPr>
          <w:trHeight w:val="252"/>
        </w:trPr>
        <w:tc>
          <w:tcPr>
            <w:tcW w:w="5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506,527</w:t>
            </w:r>
          </w:p>
        </w:tc>
        <w:tc>
          <w:tcPr>
            <w:tcW w:w="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236,530</w:t>
            </w: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743,057</w:t>
            </w: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286,070</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48,814</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334,884</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profit of operating segments</w:t>
            </w:r>
          </w:p>
        </w:tc>
        <w:tc>
          <w:tcPr>
            <w:tcW w:w="22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24,918</w:t>
            </w:r>
          </w:p>
        </w:tc>
        <w:tc>
          <w:tcPr>
            <w:tcW w:w="32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4,202</w:t>
            </w:r>
          </w:p>
        </w:tc>
        <w:tc>
          <w:tcPr>
            <w:tcW w:w="30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29,120</w:t>
            </w: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38,681</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8,083</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799</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47,563</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12,829</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12,829</w:t>
            </w: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328,493</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59,591</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1,332</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389,416</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goodwill</w:t>
            </w:r>
          </w:p>
        </w:tc>
        <w:tc>
          <w:tcPr>
            <w:tcW w:w="22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181,831</w:t>
            </w:r>
          </w:p>
        </w:tc>
        <w:tc>
          <w:tcPr>
            <w:tcW w:w="32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3,211,050</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1,385,738</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141,418</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4,738,206</w:t>
            </w:r>
          </w:p>
        </w:tc>
        <w:tc>
          <w:tcPr>
            <w:tcW w:w="0" w:type="dxa"/>
            <w:vAlign w:val="bottom"/>
          </w:tcPr>
          <w:p>
            <w:pPr>
              <w:spacing w:after="0"/>
              <w:rPr>
                <w:sz w:val="1"/>
                <w:szCs w:val="1"/>
                <w:color w:val="auto"/>
              </w:rPr>
            </w:pPr>
          </w:p>
        </w:tc>
      </w:tr>
      <w:tr>
        <w:trPr>
          <w:trHeight w:val="252"/>
        </w:trPr>
        <w:tc>
          <w:tcPr>
            <w:tcW w:w="5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515,029</w:t>
            </w:r>
          </w:p>
        </w:tc>
        <w:tc>
          <w:tcPr>
            <w:tcW w:w="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261,475</w:t>
            </w: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776,504</w:t>
            </w: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298,040</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44,339</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342,379</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profit (loss) of operating segments</w:t>
            </w:r>
          </w:p>
        </w:tc>
        <w:tc>
          <w:tcPr>
            <w:tcW w:w="22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27,107</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0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27,022</w:t>
            </w: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29,956</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6,158</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545</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36,659</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11,580</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11,580</w:t>
            </w: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329,850</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52,840</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896</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383,586</w:t>
            </w: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goodwill</w:t>
            </w:r>
          </w:p>
        </w:tc>
        <w:tc>
          <w:tcPr>
            <w:tcW w:w="22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181,831</w:t>
            </w:r>
          </w:p>
        </w:tc>
        <w:tc>
          <w:tcPr>
            <w:tcW w:w="32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2,880,824</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1,381,877</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87,541</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4,350,242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ind w:right="32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reconciles the underwriting profit (loss) of the operating segments by individual segment to consolidated income from continuing operations before income taxes: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560" w:type="dxa"/>
            <w:vAlign w:val="bottom"/>
            <w:gridSpan w:val="3"/>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61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profit (loss) of the operating segments:</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10,042</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24,918</w:t>
            </w:r>
          </w:p>
        </w:tc>
        <w:tc>
          <w:tcPr>
            <w:tcW w:w="100" w:type="dxa"/>
            <w:vAlign w:val="bottom"/>
          </w:tcPr>
          <w:p>
            <w:pPr>
              <w:spacing w:after="0"/>
              <w:rPr>
                <w:sz w:val="19"/>
                <w:szCs w:val="19"/>
                <w:color w:val="auto"/>
              </w:rPr>
            </w:pPr>
          </w:p>
        </w:tc>
        <w:tc>
          <w:tcPr>
            <w:tcW w:w="5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27,107</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underwriting profit of operating segments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27,022</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 of the Corporate and Other segment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(17,830)</w:t>
            </w:r>
          </w:p>
        </w:tc>
        <w:tc>
          <w:tcPr>
            <w:tcW w:w="0" w:type="dxa"/>
            <w:vAlign w:val="bottom"/>
          </w:tcPr>
          <w:p>
            <w:pPr>
              <w:spacing w:after="0"/>
              <w:rPr>
                <w:sz w:val="1"/>
                <w:szCs w:val="1"/>
                <w:color w:val="auto"/>
              </w:rPr>
            </w:pPr>
          </w:p>
        </w:tc>
      </w:tr>
      <w:tr>
        <w:trPr>
          <w:trHeight w:val="21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profit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9,192</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 - retroactive reinsurance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(9,448)</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36,659</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and unrealized (losses) gains on investments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and expenses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(11,580)</w:t>
            </w:r>
          </w:p>
        </w:tc>
        <w:tc>
          <w:tcPr>
            <w:tcW w:w="0" w:type="dxa"/>
            <w:vAlign w:val="bottom"/>
          </w:tcPr>
          <w:p>
            <w:pPr>
              <w:spacing w:after="0"/>
              <w:rPr>
                <w:sz w:val="1"/>
                <w:szCs w:val="1"/>
                <w:color w:val="auto"/>
              </w:rPr>
            </w:pPr>
          </w:p>
        </w:tc>
      </w:tr>
      <w:tr>
        <w:trPr>
          <w:trHeight w:val="22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43"/>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53,149</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25,948</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Other Operating Expenses and Other Expenses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4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operating expenses consist of the following:</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4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22"/>
                <w:szCs w:val="22"/>
                <w:color w:val="auto"/>
              </w:rPr>
            </w:pPr>
          </w:p>
        </w:tc>
        <w:tc>
          <w:tcPr>
            <w:tcW w:w="1560" w:type="dxa"/>
            <w:vAlign w:val="bottom"/>
            <w:gridSpan w:val="3"/>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61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policy acquisition costs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31,805</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36,759</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underwriting expenses of the operating segments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43,640</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 of the Corporate and Other segment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17,830</w:t>
            </w:r>
          </w:p>
        </w:tc>
        <w:tc>
          <w:tcPr>
            <w:tcW w:w="0" w:type="dxa"/>
            <w:vAlign w:val="bottom"/>
          </w:tcPr>
          <w:p>
            <w:pPr>
              <w:spacing w:after="0"/>
              <w:rPr>
                <w:sz w:val="1"/>
                <w:szCs w:val="1"/>
                <w:color w:val="auto"/>
              </w:rPr>
            </w:pPr>
          </w:p>
        </w:tc>
      </w:tr>
      <w:tr>
        <w:trPr>
          <w:trHeight w:val="21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44,096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50,193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94,906</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98,229</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Other expenses of $2.1 million and $2.8 million for the three and six </w:t>
      </w:r>
      <w:r>
        <w:rPr>
          <w:rFonts w:ascii="Times New Roman" w:cs="Times New Roman" w:eastAsia="Times New Roman" w:hAnsi="Times New Roman"/>
          <w:sz w:val="18"/>
          <w:szCs w:val="18"/>
          <w:color w:val="231F20"/>
        </w:rPr>
        <w:t>months ended June 30, 2024</w:t>
      </w:r>
      <w:r>
        <w:rPr>
          <w:rFonts w:ascii="Times New Roman" w:cs="Times New Roman" w:eastAsia="Times New Roman" w:hAnsi="Times New Roman"/>
          <w:sz w:val="18"/>
          <w:szCs w:val="18"/>
          <w:color w:val="auto"/>
        </w:rPr>
        <w:t>, respectively ($223,000 and $826,000 in the respective prior year periods), primarily consist of certain nonoperating expenses including legal and other professional fees and other expenses related to various strategic initiatives.</w:t>
      </w:r>
    </w:p>
    <w:p>
      <w:pPr>
        <w:spacing w:after="0" w:line="7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Senior Debt</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On April 16, 2024, the Company amended a senior revolving credit facility (as amended or amended and restated, the "2013 Facility”) in connection with the closing of the sale of JRG Re by the Company to (i) release JRG Re as a borrower and release all collateral pledged by JRG Re thereunder, and (ii) decrease a secured revolving facility commitment to $45.0 million. At </w:t>
      </w:r>
      <w:r>
        <w:rPr>
          <w:rFonts w:ascii="Times New Roman" w:cs="Times New Roman" w:eastAsia="Times New Roman" w:hAnsi="Times New Roman"/>
          <w:sz w:val="18"/>
          <w:szCs w:val="18"/>
          <w:color w:val="231F20"/>
        </w:rPr>
        <w:t>June 30, 2024, the 2013 Facility</w:t>
      </w:r>
      <w:r>
        <w:rPr>
          <w:rFonts w:ascii="Times New Roman" w:cs="Times New Roman" w:eastAsia="Times New Roman" w:hAnsi="Times New Roman"/>
          <w:sz w:val="18"/>
          <w:szCs w:val="18"/>
          <w:color w:val="auto"/>
        </w:rPr>
        <w:t xml:space="preserve"> is comprised of the following:</w:t>
      </w:r>
    </w:p>
    <w:p>
      <w:pPr>
        <w:spacing w:after="0" w:line="72" w:lineRule="exact"/>
        <w:rPr>
          <w:sz w:val="20"/>
          <w:szCs w:val="20"/>
          <w:color w:val="auto"/>
        </w:rPr>
      </w:pPr>
    </w:p>
    <w:p>
      <w:pPr>
        <w:ind w:left="640" w:right="20" w:hanging="316"/>
        <w:spacing w:after="0" w:line="274" w:lineRule="auto"/>
        <w:tabs>
          <w:tab w:leader="none" w:pos="6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$212.5 million unsecured revolving facility to meet the working capital needs of the Company. At </w:t>
      </w:r>
      <w:r>
        <w:rPr>
          <w:rFonts w:ascii="Times New Roman" w:cs="Times New Roman" w:eastAsia="Times New Roman" w:hAnsi="Times New Roman"/>
          <w:sz w:val="18"/>
          <w:szCs w:val="18"/>
          <w:color w:val="231F20"/>
        </w:rPr>
        <w:t>June 30, 2024 and</w:t>
      </w:r>
      <w:r>
        <w:rPr>
          <w:rFonts w:ascii="Times New Roman" w:cs="Times New Roman" w:eastAsia="Times New Roman" w:hAnsi="Times New Roman"/>
          <w:sz w:val="18"/>
          <w:szCs w:val="18"/>
          <w:color w:val="auto"/>
        </w:rPr>
        <w:t xml:space="preserve"> December 31, 2023, the Company had a drawn balance of $185.8 million outstanding on the unsecured revolver.</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$45.0 million secured revolving facility to issue letters of credit for the benefit of third-party reinsureds. At </w:t>
      </w:r>
      <w:r>
        <w:rPr>
          <w:rFonts w:ascii="Times New Roman" w:cs="Times New Roman" w:eastAsia="Times New Roman" w:hAnsi="Times New Roman"/>
          <w:sz w:val="18"/>
          <w:szCs w:val="18"/>
          <w:color w:val="231F20"/>
        </w:rPr>
        <w:t>June 30, 2024</w:t>
      </w:r>
      <w:r>
        <w:rPr>
          <w:rFonts w:ascii="Times New Roman" w:cs="Times New Roman" w:eastAsia="Times New Roman" w:hAnsi="Times New Roman"/>
          <w:sz w:val="18"/>
          <w:szCs w:val="18"/>
          <w:color w:val="auto"/>
        </w:rPr>
        <w:t>, the Company had $36.0 million of letters of credit issued under the secured facility, all of which are collateralized by a back-to-back letter of credit issued by Comerica Bank on behalf of JRG Re.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 xml:space="preserve">The 2013 Facility contains certain financial and other covenants (including minimum net worth, maximum ratio of total adjusted debt outstanding to total capitalization, and financial strength ratings) with which the Company was in compliance at </w:t>
      </w:r>
      <w:r>
        <w:rPr>
          <w:rFonts w:ascii="Times New Roman" w:cs="Times New Roman" w:eastAsia="Times New Roman" w:hAnsi="Times New Roman"/>
          <w:sz w:val="18"/>
          <w:szCs w:val="18"/>
          <w:color w:val="231F20"/>
        </w:rPr>
        <w:t>June 30, 2024.</w:t>
      </w:r>
    </w:p>
    <w:p>
      <w:pPr>
        <w:spacing w:after="0" w:line="5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Also in connection with the closing of the sale of JRG Re by the Company, on April 16, 2024, t</w:t>
      </w:r>
      <w:r>
        <w:rPr>
          <w:rFonts w:ascii="Times New Roman" w:cs="Times New Roman" w:eastAsia="Times New Roman" w:hAnsi="Times New Roman"/>
          <w:sz w:val="18"/>
          <w:szCs w:val="18"/>
          <w:color w:val="231F20"/>
        </w:rPr>
        <w:t>he Company amended</w:t>
      </w:r>
      <w:r>
        <w:rPr>
          <w:rFonts w:ascii="Times New Roman" w:cs="Times New Roman" w:eastAsia="Times New Roman" w:hAnsi="Times New Roman"/>
          <w:sz w:val="18"/>
          <w:szCs w:val="18"/>
          <w:color w:val="auto"/>
        </w:rPr>
        <w:t xml:space="preserve"> a credit agreement (the "2017 Facility") to (i) release JRG Re as a borrower and release all collateral pledged by JRG Re thereunder, (ii) increase the applicable interest rates, (iii) eliminate the letter of credit portion of the facility, and (iv) to build in an automatic decrease of the facility amount by the amount of each letter of credit outstanding under the 2017 Facility as of the date of the amendment with effect from the date each such letter of credit is cancelled. The 2017 Facility provides the Company with a revolving line of credit which may be used for loans and letters of credit made or issued, at the borrowers' option, on a secured or unsecured basis. In the three months ended </w:t>
      </w:r>
      <w:r>
        <w:rPr>
          <w:rFonts w:ascii="Times New Roman" w:cs="Times New Roman" w:eastAsia="Times New Roman" w:hAnsi="Times New Roman"/>
          <w:sz w:val="18"/>
          <w:szCs w:val="18"/>
          <w:color w:val="231F20"/>
        </w:rPr>
        <w:t>June 30, 2024, the Company repaid $21.5 million of unsecured loans under the facility. At June 30, 2024, there were no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outstanding and $24.7 million of </w:t>
      </w:r>
      <w:r>
        <w:rPr>
          <w:rFonts w:ascii="Times New Roman" w:cs="Times New Roman" w:eastAsia="Times New Roman" w:hAnsi="Times New Roman"/>
          <w:sz w:val="18"/>
          <w:szCs w:val="18"/>
          <w:color w:val="000000"/>
        </w:rPr>
        <w:t>letters of credit were issued</w:t>
      </w:r>
      <w:r>
        <w:rPr>
          <w:rFonts w:ascii="Times New Roman" w:cs="Times New Roman" w:eastAsia="Times New Roman" w:hAnsi="Times New Roman"/>
          <w:sz w:val="18"/>
          <w:szCs w:val="18"/>
          <w:color w:val="231F20"/>
        </w:rPr>
        <w:t xml:space="preserve"> under the facility, all of which are collateralized by a back-to-back letter of credit issued by Comerica Bank on behalf of JRG Re. </w:t>
      </w:r>
      <w:r>
        <w:rPr>
          <w:rFonts w:ascii="Times New Roman" w:cs="Times New Roman" w:eastAsia="Times New Roman" w:hAnsi="Times New Roman"/>
          <w:sz w:val="18"/>
          <w:szCs w:val="18"/>
          <w:color w:val="000000"/>
        </w:rPr>
        <w:t>The 2017 Facility contains certain financial and other covenants with which the Company was in compliance at</w:t>
      </w:r>
      <w:r>
        <w:rPr>
          <w:rFonts w:ascii="Times New Roman" w:cs="Times New Roman" w:eastAsia="Times New Roman" w:hAnsi="Times New Roman"/>
          <w:sz w:val="18"/>
          <w:szCs w:val="18"/>
          <w:color w:val="231F20"/>
        </w:rPr>
        <w:t xml:space="preserve"> June 30, 2024</w:t>
      </w:r>
      <w:r>
        <w:rPr>
          <w:rFonts w:ascii="Times New Roman" w:cs="Times New Roman" w:eastAsia="Times New Roman" w:hAnsi="Times New Roman"/>
          <w:sz w:val="18"/>
          <w:szCs w:val="18"/>
          <w:color w:val="000000"/>
        </w:rPr>
        <w:t>.</w:t>
      </w:r>
    </w:p>
    <w:p>
      <w:pPr>
        <w:spacing w:after="0" w:line="7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Three levels of inputs are used to measure fair value of financial instruments: (1) Level 1: quoted price (unadjusted) in active markets for identical assets,</w:t>
      </w:r>
    </w:p>
    <w:p>
      <w:pPr>
        <w:spacing w:after="0" w:line="36" w:lineRule="exact"/>
        <w:rPr>
          <w:sz w:val="20"/>
          <w:szCs w:val="20"/>
          <w:color w:val="auto"/>
        </w:rPr>
      </w:pPr>
    </w:p>
    <w:p>
      <w:pPr>
        <w:jc w:val="both"/>
        <w:ind w:firstLine="6"/>
        <w:spacing w:after="0" w:line="248" w:lineRule="auto"/>
        <w:tabs>
          <w:tab w:leader="none" w:pos="25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spacing w:after="0" w:line="8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in the principal or most advantageous market in an orderly transaction between market participants on the measurement date.</w:t>
      </w:r>
    </w:p>
    <w:p>
      <w:pPr>
        <w:spacing w:after="0" w:line="57"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The fair values of fixed maturity securities, equity securities, and bank loan participations have been determined using fair value prices provided by the Company’s investment accounting services provider or investment managers, who utilize internationally recognized independent pricing services. The prices provided by the independent pricing services are generally based on observable market data in active markets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xml:space="preserve"> broker quotes and prices observed for comparable securities). Values for U.S. Treasury and publicly-traded equity securities are generally based on Level 1 inputs which use the market approach valuation technique. The values for all other fixed maturity securities (including state and municipal securities and obligations of U.S. government corporations and agencies) and bank loan participations generally incorporate significant Level 2 inputs, and in some cases, Level 3 inputs, using the market approach and income approach valuation techniques. There have been no changes in the Company’s use of valuation techniques since December 31, 2022.</w:t>
      </w:r>
    </w:p>
    <w:p>
      <w:pPr>
        <w:spacing w:after="0" w:line="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reviews fair value prices provided by its outside investment accounting service provider or investment managers for reasonableness by comparing the fair values provided by the managers to those provided by its investment custodian. The Company also reviews and monitors changes in unrealized gains and losses. The Company has not historically adjusted security prices. The Company obtains an understanding of the methods, models and inputs used by the investment managers and independent pricing services, and controls are in place to validate that prices provided represent fair values. The Company’s control process includes, but is not limited to, initial and ongoing evaluation of the methodologies used, a review of specific securities and an assessment for proper classification within the fair value hierarchy, and obtaining and reviewing internal control reports for our investment manager that obtains fair values from independent pricing services.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Assets measured at fair value on a recurring basis as of June 30, 2024 are summarized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tcPr>
          <w:p>
            <w:pPr>
              <w:jc w:val="center"/>
              <w:ind w:right="300"/>
              <w:spacing w:after="0" w:line="126" w:lineRule="exact"/>
              <w:rPr>
                <w:sz w:val="20"/>
                <w:szCs w:val="20"/>
                <w:color w:val="auto"/>
              </w:rPr>
            </w:pPr>
            <w:r>
              <w:rPr>
                <w:rFonts w:ascii="Times New Roman" w:cs="Times New Roman" w:eastAsia="Times New Roman" w:hAnsi="Times New Roman"/>
                <w:sz w:val="14"/>
                <w:szCs w:val="14"/>
                <w:b w:val="1"/>
                <w:bCs w:val="1"/>
                <w:color w:val="auto"/>
                <w:w w:val="99"/>
              </w:rPr>
              <w:t>Quoted Prices</w:t>
            </w:r>
          </w:p>
        </w:tc>
        <w:tc>
          <w:tcPr>
            <w:tcW w:w="220" w:type="dxa"/>
            <w:vAlign w:val="bottom"/>
          </w:tcPr>
          <w:p>
            <w:pPr>
              <w:spacing w:after="0"/>
              <w:rPr>
                <w:sz w:val="10"/>
                <w:szCs w:val="10"/>
                <w:color w:val="auto"/>
              </w:rPr>
            </w:pPr>
          </w:p>
        </w:tc>
        <w:tc>
          <w:tcPr>
            <w:tcW w:w="12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7"/>
              </w:rPr>
              <w:t>in Active</w:t>
            </w: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300"/>
              <w:spacing w:after="0" w:line="133"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20" w:type="dxa"/>
            <w:vAlign w:val="bottom"/>
          </w:tcPr>
          <w:p>
            <w:pPr>
              <w:spacing w:after="0"/>
              <w:rPr>
                <w:sz w:val="11"/>
                <w:szCs w:val="11"/>
                <w:color w:val="auto"/>
              </w:rPr>
            </w:pPr>
          </w:p>
        </w:tc>
        <w:tc>
          <w:tcPr>
            <w:tcW w:w="1260" w:type="dxa"/>
            <w:vAlign w:val="bottom"/>
            <w:gridSpan w:val="2"/>
          </w:tcPr>
          <w:p>
            <w:pPr>
              <w:jc w:val="center"/>
              <w:ind w:right="340"/>
              <w:spacing w:after="0" w:line="133"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Identical</w:t>
            </w: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6"/>
              </w:rPr>
              <w:t>Assets</w:t>
            </w: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320" w:type="dxa"/>
            <w:vAlign w:val="bottom"/>
          </w:tcPr>
          <w:p>
            <w:pPr>
              <w:spacing w:after="0"/>
              <w:rPr>
                <w:sz w:val="12"/>
                <w:szCs w:val="12"/>
                <w:color w:val="auto"/>
              </w:rPr>
            </w:pPr>
          </w:p>
        </w:tc>
        <w:tc>
          <w:tcPr>
            <w:tcW w:w="106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State and municipal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202,925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202,925</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285,283</w:t>
            </w:r>
          </w:p>
        </w:tc>
        <w:tc>
          <w:tcPr>
            <w:tcW w:w="0" w:type="dxa"/>
            <w:vAlign w:val="bottom"/>
          </w:tcPr>
          <w:p>
            <w:pPr>
              <w:spacing w:after="0"/>
              <w:rPr>
                <w:sz w:val="1"/>
                <w:szCs w:val="1"/>
                <w:color w:val="auto"/>
              </w:rPr>
            </w:pPr>
          </w:p>
        </w:tc>
      </w:tr>
      <w:tr>
        <w:trPr>
          <w:trHeight w:val="225"/>
        </w:trPr>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405,316</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198,304</w:t>
            </w:r>
          </w:p>
        </w:tc>
        <w:tc>
          <w:tcPr>
            <w:tcW w:w="0" w:type="dxa"/>
            <w:vAlign w:val="bottom"/>
          </w:tcPr>
          <w:p>
            <w:pPr>
              <w:spacing w:after="0"/>
              <w:rPr>
                <w:sz w:val="1"/>
                <w:szCs w:val="1"/>
                <w:color w:val="auto"/>
              </w:rPr>
            </w:pPr>
          </w:p>
        </w:tc>
      </w:tr>
      <w:tr>
        <w:trPr>
          <w:trHeight w:val="172"/>
        </w:trPr>
        <w:tc>
          <w:tcPr>
            <w:tcW w:w="5420" w:type="dxa"/>
            <w:vAlign w:val="bottom"/>
          </w:tcPr>
          <w:p>
            <w:pPr>
              <w:ind w:left="260"/>
              <w:spacing w:after="0" w:line="172" w:lineRule="exact"/>
              <w:rPr>
                <w:sz w:val="20"/>
                <w:szCs w:val="20"/>
                <w:color w:val="auto"/>
              </w:rPr>
            </w:pPr>
            <w:r>
              <w:rPr>
                <w:rFonts w:ascii="Times New Roman" w:cs="Times New Roman" w:eastAsia="Times New Roman" w:hAnsi="Times New Roman"/>
                <w:sz w:val="18"/>
                <w:szCs w:val="18"/>
                <w:color w:val="auto"/>
              </w:rPr>
              <w:t>U.S. Treasury securities and obligations guaranteed by the U.S.</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government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22,647</w:t>
            </w:r>
          </w:p>
        </w:tc>
        <w:tc>
          <w:tcPr>
            <w:tcW w:w="0" w:type="dxa"/>
            <w:vAlign w:val="bottom"/>
          </w:tcPr>
          <w:p>
            <w:pPr>
              <w:spacing w:after="0"/>
              <w:rPr>
                <w:sz w:val="1"/>
                <w:szCs w:val="1"/>
                <w:color w:val="auto"/>
              </w:rPr>
            </w:pPr>
          </w:p>
        </w:tc>
      </w:tr>
      <w:tr>
        <w:trPr>
          <w:trHeight w:val="244"/>
        </w:trPr>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1,091,828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1,114,475</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4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Preferred stock</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74,546</w:t>
            </w:r>
          </w:p>
        </w:tc>
        <w:tc>
          <w:tcPr>
            <w:tcW w:w="0" w:type="dxa"/>
            <w:vAlign w:val="bottom"/>
          </w:tcPr>
          <w:p>
            <w:pPr>
              <w:spacing w:after="0"/>
              <w:rPr>
                <w:sz w:val="1"/>
                <w:szCs w:val="1"/>
                <w:color w:val="auto"/>
              </w:rPr>
            </w:pPr>
          </w:p>
        </w:tc>
      </w:tr>
      <w:tr>
        <w:trPr>
          <w:trHeight w:val="225"/>
        </w:trPr>
        <w:tc>
          <w:tcPr>
            <w:tcW w:w="54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51,540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54,018</w:t>
            </w:r>
          </w:p>
        </w:tc>
        <w:tc>
          <w:tcPr>
            <w:tcW w:w="0" w:type="dxa"/>
            <w:vAlign w:val="bottom"/>
          </w:tcPr>
          <w:p>
            <w:pPr>
              <w:spacing w:after="0"/>
              <w:rPr>
                <w:sz w:val="1"/>
                <w:szCs w:val="1"/>
                <w:color w:val="auto"/>
              </w:rPr>
            </w:pPr>
          </w:p>
        </w:tc>
      </w:tr>
      <w:tr>
        <w:trPr>
          <w:trHeight w:val="217"/>
        </w:trPr>
        <w:tc>
          <w:tcPr>
            <w:tcW w:w="5420" w:type="dxa"/>
            <w:vAlign w:val="bottom"/>
            <w:tcBorders>
              <w:bottom w:val="single" w:sz="8" w:color="CCEEFF"/>
            </w:tcBorders>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Total equity securities</w:t>
            </w:r>
          </w:p>
        </w:tc>
        <w:tc>
          <w:tcPr>
            <w:tcW w:w="18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51,540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2"/>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77,019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2"/>
              <w:spacing w:after="0" w:line="19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128,564</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4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Bank loan participations</w:t>
            </w:r>
          </w:p>
        </w:tc>
        <w:tc>
          <w:tcPr>
            <w:tcW w:w="18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165,280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165,280</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45,977</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838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Assets measured at fair value on a recurring basis as of December 31, 2023 are summarized below:</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4"/>
                <w:szCs w:val="14"/>
                <w:b w:val="1"/>
                <w:bCs w:val="1"/>
                <w:color w:val="auto"/>
                <w:w w:val="99"/>
              </w:rPr>
              <w:t>Quoted Prices</w:t>
            </w:r>
          </w:p>
        </w:tc>
        <w:tc>
          <w:tcPr>
            <w:tcW w:w="220" w:type="dxa"/>
            <w:vAlign w:val="bottom"/>
          </w:tcPr>
          <w:p>
            <w:pPr>
              <w:spacing w:after="0"/>
              <w:rPr>
                <w:sz w:val="11"/>
                <w:szCs w:val="11"/>
                <w:color w:val="auto"/>
              </w:rPr>
            </w:pPr>
          </w:p>
        </w:tc>
        <w:tc>
          <w:tcPr>
            <w:tcW w:w="12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7"/>
              </w:rPr>
              <w:t>in Active</w:t>
            </w: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4"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Identical</w:t>
            </w: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300"/>
              <w:spacing w:after="0" w:line="133" w:lineRule="exact"/>
              <w:rPr>
                <w:sz w:val="20"/>
                <w:szCs w:val="20"/>
                <w:color w:val="auto"/>
              </w:rPr>
            </w:pPr>
            <w:r>
              <w:rPr>
                <w:rFonts w:ascii="Times New Roman" w:cs="Times New Roman" w:eastAsia="Times New Roman" w:hAnsi="Times New Roman"/>
                <w:sz w:val="14"/>
                <w:szCs w:val="14"/>
                <w:b w:val="1"/>
                <w:bCs w:val="1"/>
                <w:color w:val="auto"/>
                <w:w w:val="96"/>
              </w:rPr>
              <w:t>Assets</w:t>
            </w:r>
          </w:p>
        </w:tc>
        <w:tc>
          <w:tcPr>
            <w:tcW w:w="220" w:type="dxa"/>
            <w:vAlign w:val="bottom"/>
          </w:tcPr>
          <w:p>
            <w:pPr>
              <w:spacing w:after="0"/>
              <w:rPr>
                <w:sz w:val="11"/>
                <w:szCs w:val="11"/>
                <w:color w:val="auto"/>
              </w:rPr>
            </w:pPr>
          </w:p>
        </w:tc>
        <w:tc>
          <w:tcPr>
            <w:tcW w:w="1260" w:type="dxa"/>
            <w:vAlign w:val="bottom"/>
            <w:gridSpan w:val="2"/>
          </w:tcPr>
          <w:p>
            <w:pPr>
              <w:jc w:val="center"/>
              <w:ind w:right="340"/>
              <w:spacing w:after="0" w:line="133"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1"/>
                <w:szCs w:val="11"/>
                <w:color w:val="auto"/>
              </w:rPr>
            </w:pPr>
          </w:p>
        </w:tc>
        <w:tc>
          <w:tcPr>
            <w:tcW w:w="130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320" w:type="dxa"/>
            <w:vAlign w:val="bottom"/>
          </w:tcPr>
          <w:p>
            <w:pPr>
              <w:spacing w:after="0"/>
              <w:rPr>
                <w:sz w:val="11"/>
                <w:szCs w:val="11"/>
                <w:color w:val="auto"/>
              </w:rPr>
            </w:pPr>
          </w:p>
        </w:tc>
        <w:tc>
          <w:tcPr>
            <w:tcW w:w="106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5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State and municipal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248,837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248,837</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317,928</w:t>
            </w:r>
          </w:p>
        </w:tc>
        <w:tc>
          <w:tcPr>
            <w:tcW w:w="0" w:type="dxa"/>
            <w:vAlign w:val="bottom"/>
          </w:tcPr>
          <w:p>
            <w:pPr>
              <w:spacing w:after="0"/>
              <w:rPr>
                <w:sz w:val="1"/>
                <w:szCs w:val="1"/>
                <w:color w:val="auto"/>
              </w:rPr>
            </w:pPr>
          </w:p>
        </w:tc>
      </w:tr>
      <w:tr>
        <w:trPr>
          <w:trHeight w:val="225"/>
        </w:trPr>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505,728</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222,853</w:t>
            </w:r>
          </w:p>
        </w:tc>
        <w:tc>
          <w:tcPr>
            <w:tcW w:w="0" w:type="dxa"/>
            <w:vAlign w:val="bottom"/>
          </w:tcPr>
          <w:p>
            <w:pPr>
              <w:spacing w:after="0"/>
              <w:rPr>
                <w:sz w:val="1"/>
                <w:szCs w:val="1"/>
                <w:color w:val="auto"/>
              </w:rPr>
            </w:pPr>
          </w:p>
        </w:tc>
      </w:tr>
      <w:tr>
        <w:trPr>
          <w:trHeight w:val="180"/>
        </w:trPr>
        <w:tc>
          <w:tcPr>
            <w:tcW w:w="5420" w:type="dxa"/>
            <w:vAlign w:val="bottom"/>
          </w:tcPr>
          <w:p>
            <w:pPr>
              <w:ind w:left="260"/>
              <w:spacing w:after="0" w:line="181" w:lineRule="exact"/>
              <w:rPr>
                <w:sz w:val="20"/>
                <w:szCs w:val="20"/>
                <w:color w:val="auto"/>
              </w:rPr>
            </w:pPr>
            <w:r>
              <w:rPr>
                <w:rFonts w:ascii="Times New Roman" w:cs="Times New Roman" w:eastAsia="Times New Roman" w:hAnsi="Times New Roman"/>
                <w:sz w:val="18"/>
                <w:szCs w:val="18"/>
                <w:color w:val="auto"/>
              </w:rPr>
              <w:t>U.S. Treasury securities and obligations guaranteed by the U.S.</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government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29,130</w:t>
            </w:r>
          </w:p>
        </w:tc>
        <w:tc>
          <w:tcPr>
            <w:tcW w:w="0" w:type="dxa"/>
            <w:vAlign w:val="bottom"/>
          </w:tcPr>
          <w:p>
            <w:pPr>
              <w:spacing w:after="0"/>
              <w:rPr>
                <w:sz w:val="1"/>
                <w:szCs w:val="1"/>
                <w:color w:val="auto"/>
              </w:rPr>
            </w:pPr>
          </w:p>
        </w:tc>
      </w:tr>
      <w:tr>
        <w:trPr>
          <w:trHeight w:val="244"/>
        </w:trPr>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1,295,346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1,324,476</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4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Preferred stock</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69,310</w:t>
            </w:r>
          </w:p>
        </w:tc>
        <w:tc>
          <w:tcPr>
            <w:tcW w:w="0" w:type="dxa"/>
            <w:vAlign w:val="bottom"/>
          </w:tcPr>
          <w:p>
            <w:pPr>
              <w:spacing w:after="0"/>
              <w:rPr>
                <w:sz w:val="1"/>
                <w:szCs w:val="1"/>
                <w:color w:val="auto"/>
              </w:rPr>
            </w:pPr>
          </w:p>
        </w:tc>
      </w:tr>
      <w:tr>
        <w:trPr>
          <w:trHeight w:val="225"/>
        </w:trPr>
        <w:tc>
          <w:tcPr>
            <w:tcW w:w="54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48,370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50,635</w:t>
            </w:r>
          </w:p>
        </w:tc>
        <w:tc>
          <w:tcPr>
            <w:tcW w:w="0" w:type="dxa"/>
            <w:vAlign w:val="bottom"/>
          </w:tcPr>
          <w:p>
            <w:pPr>
              <w:spacing w:after="0"/>
              <w:rPr>
                <w:sz w:val="1"/>
                <w:szCs w:val="1"/>
                <w:color w:val="auto"/>
              </w:rPr>
            </w:pPr>
          </w:p>
        </w:tc>
      </w:tr>
      <w:tr>
        <w:trPr>
          <w:trHeight w:val="243"/>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119,945</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4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Bank loan participations</w:t>
            </w:r>
          </w:p>
        </w:tc>
        <w:tc>
          <w:tcPr>
            <w:tcW w:w="18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156,169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156,169</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72,137</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 reconciliation of the beginning and ending balances of available-for-sale fixed maturity securities, equity securities, and bank loan participations measured at fair value on a recurring basis using significant unobservable inputs (Level 3) is shown below:</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2460" w:type="dxa"/>
            <w:vAlign w:val="bottom"/>
            <w:gridSpan w:val="4"/>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20" w:type="dxa"/>
            <w:vAlign w:val="bottom"/>
            <w:gridSpan w:val="3"/>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r>
      <w:tr>
        <w:trPr>
          <w:trHeight w:val="192"/>
        </w:trPr>
        <w:tc>
          <w:tcPr>
            <w:tcW w:w="54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43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2"/>
        </w:trPr>
        <w:tc>
          <w:tcPr>
            <w:tcW w:w="5420" w:type="dxa"/>
            <w:vAlign w:val="bottom"/>
          </w:tcPr>
          <w:p>
            <w:pPr>
              <w:spacing w:after="0"/>
              <w:rPr>
                <w:sz w:val="16"/>
                <w:szCs w:val="16"/>
                <w:color w:val="auto"/>
              </w:rPr>
            </w:pPr>
          </w:p>
        </w:tc>
        <w:tc>
          <w:tcPr>
            <w:tcW w:w="9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5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40" w:type="dxa"/>
            <w:vAlign w:val="bottom"/>
            <w:gridSpan w:val="3"/>
          </w:tcPr>
          <w:p>
            <w:pPr>
              <w:jc w:val="center"/>
              <w:ind w:right="458"/>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20" w:type="dxa"/>
            <w:vAlign w:val="bottom"/>
            <w:gridSpan w:val="3"/>
          </w:tcPr>
          <w:p>
            <w:pPr>
              <w:jc w:val="center"/>
              <w:ind w:right="18"/>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r>
      <w:tr>
        <w:trPr>
          <w:trHeight w:val="23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2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78"/>
              <w:spacing w:after="0"/>
              <w:rPr>
                <w:sz w:val="20"/>
                <w:szCs w:val="20"/>
                <w:color w:val="auto"/>
              </w:rPr>
            </w:pPr>
            <w:r>
              <w:rPr>
                <w:rFonts w:ascii="Times New Roman" w:cs="Times New Roman" w:eastAsia="Times New Roman" w:hAnsi="Times New Roman"/>
                <w:sz w:val="18"/>
                <w:szCs w:val="18"/>
                <w:color w:val="auto"/>
                <w:w w:val="88"/>
              </w:rPr>
              <w:t>$</w:t>
            </w: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out of Level 3</w:t>
            </w:r>
          </w:p>
        </w:tc>
        <w:tc>
          <w:tcPr>
            <w:tcW w:w="9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in to Level 3</w:t>
            </w:r>
          </w:p>
        </w:tc>
        <w:tc>
          <w:tcPr>
            <w:tcW w:w="9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9"/>
                <w:szCs w:val="19"/>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9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9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9"/>
                <w:szCs w:val="19"/>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calls and paydowns</w:t>
            </w:r>
          </w:p>
        </w:tc>
        <w:tc>
          <w:tcPr>
            <w:tcW w:w="9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discount</w:t>
            </w:r>
          </w:p>
        </w:tc>
        <w:tc>
          <w:tcPr>
            <w:tcW w:w="9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9"/>
                <w:szCs w:val="19"/>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gains or losses (realized/unrealized):</w:t>
            </w: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5"/>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Included in earnings</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9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r>
      <w:tr>
        <w:trPr>
          <w:trHeight w:val="243"/>
        </w:trPr>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20" w:type="dxa"/>
            <w:vAlign w:val="bottom"/>
            <w:tcBorders>
              <w:top w:val="single" w:sz="8" w:color="auto"/>
              <w:bottom w:val="single" w:sz="8" w:color="auto"/>
            </w:tcBorders>
            <w:shd w:val="clear" w:color="auto" w:fill="CCEEFF"/>
          </w:tcPr>
          <w:p>
            <w:pPr>
              <w:jc w:val="right"/>
              <w:ind w:right="74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The Company held one equity security at December 31, 2023 and June 30, 2024 for which the fair value was determined using significant unobservable inputs (Level 3). The fair value of $5,000 at June 30, 2024 for the equity security was obtained from our asset manager and was derived from an internal model.</w:t>
      </w:r>
    </w:p>
    <w:p>
      <w:pPr>
        <w:spacing w:after="0" w:line="72"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The Company held one equity security at December 31, 2022 and June 30, 2023 for which the fair value was determined using significant unobservable inputs (Level 3). The fair value of $16,000 at June 30, 2023 for the equity security was obtained from our asset manager and was derived from an internal model.</w:t>
      </w:r>
    </w:p>
    <w:p>
      <w:pPr>
        <w:spacing w:after="0" w:line="72"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Transfers out of Level 3 occur when the Company is able to obtain reliable prices from pricing vendors for securities for which the Company was previously unable to obtain reliable prices. Transfers in to Level 3 occur when the Company is unable to obtain reliable prices for securities from pricing vendors and instead must use broker price quotes to value the securities.</w:t>
      </w:r>
    </w:p>
    <w:p>
      <w:pPr>
        <w:spacing w:after="0" w:line="72" w:lineRule="exact"/>
        <w:rPr>
          <w:sz w:val="20"/>
          <w:szCs w:val="20"/>
          <w:color w:val="auto"/>
        </w:rPr>
      </w:pPr>
    </w:p>
    <w:p>
      <w:pPr>
        <w:jc w:val="both"/>
        <w:ind w:right="100" w:firstLine="318"/>
        <w:spacing w:after="0" w:line="274" w:lineRule="auto"/>
        <w:rPr>
          <w:sz w:val="20"/>
          <w:szCs w:val="20"/>
          <w:color w:val="auto"/>
        </w:rPr>
      </w:pPr>
      <w:r>
        <w:rPr>
          <w:rFonts w:ascii="Times New Roman" w:cs="Times New Roman" w:eastAsia="Times New Roman" w:hAnsi="Times New Roman"/>
          <w:sz w:val="18"/>
          <w:szCs w:val="18"/>
          <w:color w:val="auto"/>
        </w:rPr>
        <w:t>There were no transfers between Level 1 and Level 2 during the six months ended June 30, 2024 or 2023. The Company recognizes transfers between levels at the beginning of the reporting period.</w:t>
      </w:r>
    </w:p>
    <w:p>
      <w:pPr>
        <w:spacing w:after="0" w:line="57" w:lineRule="exact"/>
        <w:rPr>
          <w:sz w:val="20"/>
          <w:szCs w:val="20"/>
          <w:color w:val="auto"/>
        </w:rPr>
      </w:pPr>
    </w:p>
    <w:p>
      <w:pPr>
        <w:jc w:val="both"/>
        <w:ind w:right="100" w:firstLine="318"/>
        <w:spacing w:after="0" w:line="251" w:lineRule="auto"/>
        <w:rPr>
          <w:sz w:val="20"/>
          <w:szCs w:val="20"/>
          <w:color w:val="auto"/>
        </w:rPr>
      </w:pPr>
      <w:r>
        <w:rPr>
          <w:rFonts w:ascii="Times New Roman" w:cs="Times New Roman" w:eastAsia="Times New Roman" w:hAnsi="Times New Roman"/>
          <w:sz w:val="18"/>
          <w:szCs w:val="18"/>
          <w:color w:val="auto"/>
        </w:rPr>
        <w:t>In the determination of the fair value for bank loan participations and certain high yield bonds, the Company’s investment manager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investment manager determines that only one external pricing source is appropriate or if only one external price is available, the relevant investment is generally recorded at fair value based on such price.</w:t>
      </w:r>
    </w:p>
    <w:p>
      <w:pPr>
        <w:spacing w:after="0" w:line="79" w:lineRule="exact"/>
        <w:rPr>
          <w:sz w:val="20"/>
          <w:szCs w:val="20"/>
          <w:color w:val="auto"/>
        </w:rPr>
      </w:pPr>
    </w:p>
    <w:p>
      <w:pPr>
        <w:jc w:val="both"/>
        <w:ind w:right="100" w:firstLine="318"/>
        <w:spacing w:after="0" w:line="251" w:lineRule="auto"/>
        <w:rPr>
          <w:sz w:val="20"/>
          <w:szCs w:val="20"/>
          <w:color w:val="auto"/>
        </w:rPr>
      </w:pPr>
      <w:r>
        <w:rPr>
          <w:rFonts w:ascii="Times New Roman" w:cs="Times New Roman" w:eastAsia="Times New Roman" w:hAnsi="Times New Roman"/>
          <w:sz w:val="18"/>
          <w:szCs w:val="18"/>
          <w:color w:val="auto"/>
        </w:rPr>
        <w:t>Investments for which external sources are not available or are determined by the investment manager not to be representative of fair value are recorded at fair value as determined by the Company, with input from its investment managers and valuation specialists as considered necessary. In determining the fair value of such investments, the Company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At June 30, 2024 and December 31, 2023, there were no investments for which external sources were unavailable to determine fair value.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carrying values and fair values of financial instruments are summarized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80" w:type="dxa"/>
            <w:vAlign w:val="bottom"/>
            <w:gridSpan w:val="3"/>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4"/>
        </w:trPr>
        <w:tc>
          <w:tcPr>
            <w:tcW w:w="5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right"/>
              <w:ind w:right="356"/>
              <w:spacing w:after="0" w:line="12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4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80" w:type="dxa"/>
            <w:vAlign w:val="bottom"/>
          </w:tcPr>
          <w:p>
            <w:pPr>
              <w:spacing w:after="0"/>
              <w:rPr>
                <w:sz w:val="11"/>
                <w:szCs w:val="11"/>
                <w:color w:val="auto"/>
              </w:rPr>
            </w:pPr>
          </w:p>
        </w:tc>
        <w:tc>
          <w:tcPr>
            <w:tcW w:w="1020" w:type="dxa"/>
            <w:vAlign w:val="bottom"/>
          </w:tcPr>
          <w:p>
            <w:pPr>
              <w:jc w:val="right"/>
              <w:ind w:right="356"/>
              <w:spacing w:after="0" w:line="12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20" w:type="dxa"/>
            <w:vAlign w:val="bottom"/>
          </w:tcPr>
          <w:p>
            <w:pPr>
              <w:spacing w:after="0"/>
              <w:rPr>
                <w:sz w:val="11"/>
                <w:szCs w:val="11"/>
                <w:color w:val="auto"/>
              </w:rPr>
            </w:pPr>
          </w:p>
        </w:tc>
        <w:tc>
          <w:tcPr>
            <w:tcW w:w="114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5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1,114,475</w:t>
            </w:r>
          </w:p>
        </w:tc>
        <w:tc>
          <w:tcPr>
            <w:tcW w:w="4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1,114,475</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1,324,476</w:t>
            </w:r>
          </w:p>
        </w:tc>
        <w:tc>
          <w:tcPr>
            <w:tcW w:w="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1,324,476</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128,564</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119,945</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119,945</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loan participations</w:t>
            </w:r>
          </w:p>
        </w:tc>
        <w:tc>
          <w:tcPr>
            <w:tcW w:w="26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165,280</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156,169</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156,169</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672,523</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274,298</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274,298</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6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27,963</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72,449</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72,449</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45,977</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72,137</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72,137</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invested assets – notes receivable</w:t>
            </w:r>
          </w:p>
        </w:tc>
        <w:tc>
          <w:tcPr>
            <w:tcW w:w="26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14,180</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12,174</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11,702</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debt</w:t>
            </w:r>
          </w:p>
        </w:tc>
        <w:tc>
          <w:tcPr>
            <w:tcW w:w="26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200,800</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222,300</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233,408</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Junior subordinated debt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104,055</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104,055</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138,264</w:t>
            </w:r>
          </w:p>
        </w:tc>
        <w:tc>
          <w:tcPr>
            <w:tcW w:w="0" w:type="dxa"/>
            <w:vAlign w:val="bottom"/>
          </w:tcPr>
          <w:p>
            <w:pPr>
              <w:spacing w:after="0"/>
              <w:rPr>
                <w:sz w:val="1"/>
                <w:szCs w:val="1"/>
                <w:color w:val="auto"/>
              </w:rPr>
            </w:pPr>
          </w:p>
        </w:tc>
      </w:tr>
    </w:tbl>
    <w:p>
      <w:pPr>
        <w:spacing w:after="0" w:line="28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fair values of fixed maturity securities, equity securities, and bank loan participations have been determined using quoted market prices for securities traded in the public market or prices using bid or closing prices for securities not traded in the public marketplace. The fair values of cash and cash equivalents and short-term investments approximate their carrying values due to their short-term maturity.</w:t>
      </w:r>
    </w:p>
    <w:p>
      <w:pPr>
        <w:spacing w:after="0" w:line="7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fair values of other invested assets-notes receivable, senior debt, and junior subordinated debt at June 30, 2024 and December 31, 2023 were determined by calculating the present value of expected future cash flows under the terms of the note agreements or debt agreements, as applicable, discounted at an estimated market rate of interest at June 30, 2024 and December 31, 2023, respectively. The Company also utilized an internally developed valuation model based on the spread of a comparable market index to determine the fair value of certain other invested assets-notes receivable at June 30, 2024 and December 31, 2023.</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fair values of senior debt, junior subordinated debt, and investments in notes receivable, classified in other invested assets, at June 30, 2024 and December 31, 2023 were determined using inputs to the valuation methodology that are unobservable (Level 3).</w:t>
      </w:r>
    </w:p>
    <w:p>
      <w:pPr>
        <w:spacing w:after="0" w:line="5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Series A Preferred Shares</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February 24, 2022, the Company entered into an Investment Agreement with GPC Partners Investments (Thames) LP (“GPC Partners”), an affiliate of Gallatin Point Capital LLC, relating to the issuance and sale of 150,000 7% Series A Perpetual Cumulative Convertible Preferred Shares, par value $0.00125 per share (the “Series A Preferred Shares”), for an aggregate purchase price of $150.0 million, or $1,000 per share, in a private placement. The transaction closed on March 1, 2022 (the “Series A Closing Date”).</w:t>
      </w:r>
    </w:p>
    <w:p>
      <w:pPr>
        <w:spacing w:after="0" w:line="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Series A Preferred Shares rank senior to our common shares with respect to dividend rights and rights on the distribution of assets on any liquidation, dissolution or winding up of the affairs of the Company, upon which the holders of Series A Preferred Shares would receive the greater of the $1,000 liquidation preference per share (the “Liquidation Preference”) plus accrued and unpaid dividends, or the amount they would have received if they had converted all of their Series A Preferred Shares to common shares immediately before such liquidation, dissolution or winding up.</w:t>
      </w:r>
    </w:p>
    <w:p>
      <w:pPr>
        <w:spacing w:after="0" w:line="7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Holders of the Series A Preferred Shares are entitled to a dividend at the initial rate of 7% of the Liquidation Preference per annum, paid in cash, in-kind in common shares or in Series A Preferred Shares, at the Company's election. On the five-year anniversary of the Series A Closing Date, and each five-year anniversary thereafter, the dividend rate will reset to a rate equal to the five-year U.S. treasury rate plus 5.2%. Dividends accrue and are payable quarterly. Cash dividends of $5.3 million were paid in the six months ended June 30, 2024 including cash dividends paid in January and April for the three month periods ended December 31, 2023 and March 31, 2024. Cash dividends of $2.6 million for the second quarter of 2024 were paid on July 1, 2024. In the six months ended June 30, 2023, cash dividends of $7.9 million were paid including cash dividends paid in January, March, and June for the three month periods ended December 31, 2022, March 31, 2023, and June 30, 2023, respectively.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Series A Preferred Shares are convertible at the option of the holders thereof at any time into common shares at an initial conversion price of $26.5950, making the Series A Preferred Shares convertible into 5,640,158 common shares. The conversion price is subject to customary anti-dilution adjustments, including cash dividends on the common shares above specified levels, as well as certain adjustments in case of net adverse reserve developments in excess of a threshold over a period of time. The measurement period for the adverse reserve development anti-dilution adjustment commenced with the quarter beginning January 1, 2022 and ends with the quarter ending December 31, 2025. As of June 30, 2024, net adverse reserve development exceeded the threshold. If net adverse reserve development exceeds the threshold at the conclusion of the measurement period (or upon a mandatory or optional conversion, if earlier), the conversion price will be adjusted pursuant to the Certificate of Designations, subject to a floor conversion price of $21.902, and the adjusted conversion price will become effective after the filing of the Company's financial statements for the period ending December 31, 2025 (or immediately after the close of business on the date of the public filing of the Company's financial statements for the most recent quarterly period preceding a mandatory or optional conversion, if earlier). None of the other triggers that would result in additional adjustments to the conversion price have been met at June 30, 2024.</w:t>
      </w:r>
    </w:p>
    <w:p>
      <w:pPr>
        <w:spacing w:after="0" w:line="8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Certificate of Designations setting forth the terms of the Series A Preferred Shares limits the Company's ability to pay dividends to its common shareholders. If the Company pays cash dividends of more than $0.05 per common share per quarter, without the consent of at least the majority of the Series A Preferred Shares then outstanding, the Company will be required to reduce the conversion price of the Series A Preferred Shares. Additionally, the payment of cash dividends in excess of $0.10 per common share per quarter is not permitted if the dividends on the Series A Preferred Shares for that quarter are not paid in cash, unless the Company’s U.S.-based insurance subsidiaries and direct Bermuda-based insurance subsidiary satisfy certain capital requirements. Share dividends payable on the common shares to the Company's shareholders also trigger a reduction of the conversion price applicable to the Series A Preferred Shares.</w:t>
      </w:r>
    </w:p>
    <w:p>
      <w:pPr>
        <w:spacing w:after="0" w:line="8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At any time on or after the two year anniversary of the Series A Closing Date, if the volume-weighted average price (“VWAP”) per common share is greater than 130% of the then-applicable conversion price for at least twenty consecutive trading days, the Company will be able to elect to convert (a “Mandatory Conversion”) all of the outstanding Series A Preferred Shares into common shares. In the case of a Mandatory Conversion, each Series A Preferred Share then outstanding will be converted into (i) the number of common shares equal to the quotient of (A) the sum of the Liquidation Preference and the accrued and unpaid dividends with respect to such Series A Preferred Share to be converted divided by (B) the conversion price of such share in effect as of the date of the Mandatory Conversion plus (ii) cash in lieu of fractional shares.</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Upon any Mandatory Conversion on or before the five-year anniversary of the Series A Closing Date, all dividends that would have accrued from the date of the Mandatory Conversion to the later of the five-year anniversary of the Series A Closing Date or the last day of the eighth quarter following the date of the Mandatory Conversion, the last eight quarters of which will be discounted to present value using a discount rate of 3.5% per annum, and will be immediately payable in common shares, valued at the average of the daily VWAP of the Company’s common shares during the five (5) trading days immediately preceding the Mandatory Conversion.</w:t>
      </w:r>
    </w:p>
    <w:p>
      <w:pPr>
        <w:spacing w:after="0" w:line="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holders of the Series A Preferred Shares may require the Company to repurchase their shares upon the occurrence of certain change of control events. Upon the occurrence of a Fundamental Change (as defined in the Certificate of Designations designating the Series A Preferred Shares), each holder of outstanding Series A Preferred Shares will be permitted to, at its election, (i) effective as of immediately prior to the Fundamental Change, convert all or a portion of its Series A Preferred Shares into common shares, or (ii) require the Company to repurchase any or all of such holder’s Series A Preferred Shares at a purchase price per Series A Preferred Share equal to the Liquidation Preference of such Series A Preferred Share plus accrued and unpaid dividends plus, if the Fundamental Change repurchase occurs prior to the five-year anniversary of the Series A Closing Date, all dividends that would have accrued up to such five-year anniversary, but that have not been paid. The repurchase price will be payable in cash.</w:t>
      </w:r>
    </w:p>
    <w:p>
      <w:pPr>
        <w:spacing w:after="0" w:line="8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Because the Company may be required to repurchase all or a portion of the Series A Preferred Shares at the option of the holder upon the occurrence of certain change of control events, the Series A Preferred Shares have been classified as mezzanine equity in the Company's condensed consolidated balance sheets and are recognized at fair value of $150.0 million (the proceeds on the date of issuance) less issuance costs of $5.1 million, resulting in a carrying value of $144.9 million.</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Under the terms of the Investment Agreement, GPC Partners has the right to designate one member of the Board (the “Series A Designee”). GPC Partners has designated Matthew Botein as the Series A Designee and, accordingly, the Board approved the appointment of Mr. Botein to serve as a Class I director with a term expiring at the 2024 annual meeting of the Company’s shareholders.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300" w:firstLine="6"/>
        <w:spacing w:after="0" w:line="362" w:lineRule="auto"/>
        <w:tabs>
          <w:tab w:leader="none" w:pos="397"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Stock and Equity Awards </w:t>
      </w:r>
      <w:r>
        <w:rPr>
          <w:rFonts w:ascii="Times New Roman" w:cs="Times New Roman" w:eastAsia="Times New Roman" w:hAnsi="Times New Roman"/>
          <w:sz w:val="18"/>
          <w:szCs w:val="18"/>
          <w:b w:val="1"/>
          <w:bCs w:val="1"/>
          <w:i w:val="1"/>
          <w:iCs w:val="1"/>
          <w:color w:val="auto"/>
        </w:rPr>
        <w:t>Common Shares</w:t>
      </w: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Total common shares outstanding increased from 37,641,563 at December 31, 2023 to 37,825,767 at June 30, 2024, reflecting 184,204 common shares issued in the six months ended June 30, 2024 related to vesting of RSUs.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declared the following dividends on common shares during the first six months of 2024 and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Date of Declaration</w:t>
            </w:r>
          </w:p>
        </w:tc>
        <w:tc>
          <w:tcPr>
            <w:tcW w:w="160" w:type="dxa"/>
            <w:vAlign w:val="bottom"/>
          </w:tcPr>
          <w:p>
            <w:pPr>
              <w:spacing w:after="0"/>
              <w:rPr>
                <w:sz w:val="16"/>
                <w:szCs w:val="16"/>
                <w:color w:val="auto"/>
              </w:rPr>
            </w:pPr>
          </w:p>
        </w:tc>
        <w:tc>
          <w:tcPr>
            <w:tcW w:w="136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Dividend per</w:t>
            </w:r>
          </w:p>
        </w:tc>
        <w:tc>
          <w:tcPr>
            <w:tcW w:w="180" w:type="dxa"/>
            <w:vAlign w:val="bottom"/>
          </w:tcPr>
          <w:p>
            <w:pPr>
              <w:spacing w:after="0"/>
              <w:rPr>
                <w:sz w:val="16"/>
                <w:szCs w:val="16"/>
                <w:color w:val="auto"/>
              </w:rPr>
            </w:pPr>
          </w:p>
        </w:tc>
        <w:tc>
          <w:tcPr>
            <w:tcW w:w="2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Payable to Shareholders of</w:t>
            </w:r>
          </w:p>
        </w:tc>
        <w:tc>
          <w:tcPr>
            <w:tcW w:w="21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Payment Date</w:t>
            </w:r>
          </w:p>
        </w:tc>
        <w:tc>
          <w:tcPr>
            <w:tcW w:w="200" w:type="dxa"/>
            <w:vAlign w:val="bottom"/>
          </w:tcPr>
          <w:p>
            <w:pPr>
              <w:spacing w:after="0"/>
              <w:rPr>
                <w:sz w:val="16"/>
                <w:szCs w:val="16"/>
                <w:color w:val="auto"/>
              </w:rPr>
            </w:pPr>
          </w:p>
        </w:tc>
        <w:tc>
          <w:tcPr>
            <w:tcW w:w="1340" w:type="dxa"/>
            <w:vAlign w:val="bottom"/>
            <w:vMerge w:val="restart"/>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Total Amount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Common Share</w:t>
            </w:r>
          </w:p>
        </w:tc>
        <w:tc>
          <w:tcPr>
            <w:tcW w:w="180" w:type="dxa"/>
            <w:vAlign w:val="bottom"/>
          </w:tcPr>
          <w:p>
            <w:pPr>
              <w:spacing w:after="0"/>
              <w:rPr>
                <w:sz w:val="18"/>
                <w:szCs w:val="18"/>
                <w:color w:val="auto"/>
              </w:rPr>
            </w:pPr>
          </w:p>
        </w:tc>
        <w:tc>
          <w:tcPr>
            <w:tcW w:w="2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Record on</w:t>
            </w:r>
          </w:p>
        </w:tc>
        <w:tc>
          <w:tcPr>
            <w:tcW w:w="2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w w:val="94"/>
              </w:rPr>
              <w:t>2024</w:t>
            </w:r>
          </w:p>
        </w:tc>
        <w:tc>
          <w:tcPr>
            <w:tcW w:w="218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96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96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February 15,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80" w:type="dxa"/>
            <w:vAlign w:val="bottom"/>
          </w:tcPr>
          <w:p>
            <w:pPr>
              <w:spacing w:after="0"/>
              <w:rPr>
                <w:sz w:val="19"/>
                <w:szCs w:val="19"/>
                <w:color w:val="auto"/>
              </w:rPr>
            </w:pP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March 11, 2024</w:t>
            </w: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March 29, 2024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1,940,410</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2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25,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7"/>
              </w:rPr>
              <w:t>June 10, 2024</w:t>
            </w:r>
          </w:p>
        </w:tc>
        <w:tc>
          <w:tcPr>
            <w:tcW w:w="21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7"/>
              </w:rPr>
              <w:t>June 28,2024</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1,938,439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3,878,849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line="186" w:lineRule="exact"/>
              <w:rPr>
                <w:sz w:val="20"/>
                <w:szCs w:val="20"/>
                <w:color w:val="auto"/>
              </w:rPr>
            </w:pPr>
            <w:r>
              <w:rPr>
                <w:rFonts w:ascii="Times New Roman" w:cs="Times New Roman" w:eastAsia="Times New Roman" w:hAnsi="Times New Roman"/>
                <w:sz w:val="18"/>
                <w:szCs w:val="18"/>
                <w:b w:val="1"/>
                <w:bCs w:val="1"/>
                <w:color w:val="auto"/>
                <w:w w:val="94"/>
              </w:rPr>
              <w:t>2023</w:t>
            </w:r>
          </w:p>
        </w:tc>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2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16,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8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7"/>
              </w:rPr>
              <w:t>March 13, 2023</w:t>
            </w:r>
          </w:p>
        </w:tc>
        <w:tc>
          <w:tcPr>
            <w:tcW w:w="21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7"/>
              </w:rPr>
              <w:t>March 31, 2023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1,921,802</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April 27, 2023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8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June 12, 2023</w:t>
            </w:r>
          </w:p>
        </w:tc>
        <w:tc>
          <w:tcPr>
            <w:tcW w:w="2120" w:type="dxa"/>
            <w:vAlign w:val="bottom"/>
            <w:tcBorders>
              <w:bottom w:val="single" w:sz="8" w:color="CCEEFF"/>
            </w:tcBorders>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June 30, 2023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1,921,040</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3,842,842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Included in the total dividends for the six months ended June 30, 2024 and 2023 are $96,000 and $81,000, respectively, of dividend equivalents on unvested RSUs. The balance of dividends payable on unvested RSUs was $221,000 at June 30, 2024 and $255,000 at December 31, 2023.</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Company’s shareholders have approved various equity incentive plans, including the 2014 Long Term Incentive Plan (“2014 LTIP”) and the 2014 Non-Employee Director Incentive Plan (“2014 Director Plan”) (collectively, the “Plans”). All awards issued under the Plans are issued at the discretion of the Board of Directors.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Employees are eligible to receive non-qualified stock options, incentive stock options, share appreciation rights, performance shares, restricted shares, RSUs, and other awards under the 2014 LTIP. The maximum number of shares available for issuance under the 2014 LTIP is 4,982,650, and at June 30, 2024, 1,166,127 shares are available for grant.</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July 26, 2022, the Board of Directors of the Company approved a new long-term incentive plan (the “LTI Plan”) under the 2014 LTIP. The LTI Plan is designed to align compensation of designated senior officers of the Company with Company performance and shareholder interests over the long-term. Awards under the LTI Plan are made in the form of performance restricted share units (a “PRSU”) and service based restricted share units (RSUs).</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Each PRSU represents a contingent right to receive one Company common share based upon the level of achievement of certain performance metrics during the performance period, with payout for achievement of threshold, target and maximum performance levels to be set at 50%, 100% and 200% of the target number of PRSUs, respectively. The PRSUs awarded in the first quarter of 2023 have a performance period of January 1, 2023 through December 31, 2025. The PRSUs awarded in the first quarter of 2024 have a performance period of January 1, 2024 through December 31, 2026.</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Non-employee directors of the Company are eligible to receive non-qualified stock options, share appreciation rights, performance shares, restricted shares, RSUs, and other awards under the 2014 Director Plan. The maximum number of shares available for issuance under the 2014 Director Plan is 150,000, and at June 30, 2024, 36,387 shares are available for grant.</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Generally, awards issued under the 2014 LTIP and 2014 Director Plan vest immediately in the event that an award recipient is terminated without Cause (as defined in the applicable plans), and in the case of the 2014 LTIP for Good Reason (as defined in the applicable plans), at any time following a Change in Control (as defined in the applicable plans).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option activity: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3"/>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59"/>
              <w:spacing w:after="0" w:line="134"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58"/>
              <w:spacing w:after="0" w:line="134"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4"/>
        </w:trPr>
        <w:tc>
          <w:tcPr>
            <w:tcW w:w="5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4"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158"/>
              <w:spacing w:after="0" w:line="14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4"/>
        </w:trPr>
        <w:tc>
          <w:tcPr>
            <w:tcW w:w="5560" w:type="dxa"/>
            <w:vAlign w:val="bottom"/>
          </w:tcPr>
          <w:p>
            <w:pPr>
              <w:spacing w:after="0"/>
              <w:rPr>
                <w:sz w:val="11"/>
                <w:szCs w:val="11"/>
                <w:color w:val="auto"/>
              </w:rPr>
            </w:pPr>
          </w:p>
        </w:tc>
        <w:tc>
          <w:tcPr>
            <w:tcW w:w="134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4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58"/>
              <w:spacing w:after="0" w:line="135"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4"/>
        </w:trPr>
        <w:tc>
          <w:tcPr>
            <w:tcW w:w="55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74,390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287,974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(45,106)</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0" w:type="dxa"/>
            <w:vAlign w:val="bottom"/>
          </w:tcPr>
          <w:p>
            <w:pPr>
              <w:spacing w:after="0"/>
              <w:rPr>
                <w:sz w:val="1"/>
                <w:szCs w:val="1"/>
                <w:color w:val="auto"/>
              </w:rPr>
            </w:pPr>
          </w:p>
        </w:tc>
      </w:tr>
      <w:tr>
        <w:trPr>
          <w:trHeight w:val="225"/>
        </w:trPr>
        <w:tc>
          <w:tcPr>
            <w:tcW w:w="5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Lapsed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(74,390)</w:t>
            </w:r>
          </w:p>
        </w:tc>
        <w:tc>
          <w:tcPr>
            <w:tcW w:w="32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(164,548)</w:t>
            </w:r>
          </w:p>
        </w:tc>
        <w:tc>
          <w:tcPr>
            <w:tcW w:w="34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78,320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5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Exercisable, end of period</w:t>
            </w:r>
          </w:p>
        </w:tc>
        <w:tc>
          <w:tcPr>
            <w:tcW w:w="13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78,320</w:t>
            </w:r>
          </w:p>
        </w:tc>
        <w:tc>
          <w:tcPr>
            <w:tcW w:w="34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42.17</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options outstanding at December 31, 2023 lapsed in the six months ended June 30, 2024. At June 30, 2024, no options remain outstanding.</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RSU activity: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3"/>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61"/>
              <w:spacing w:after="0" w:line="133"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40"/>
              <w:spacing w:after="0" w:line="133"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34"/>
        </w:trPr>
        <w:tc>
          <w:tcPr>
            <w:tcW w:w="5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5560" w:type="dxa"/>
            <w:vAlign w:val="bottom"/>
          </w:tcPr>
          <w:p>
            <w:pPr>
              <w:spacing w:after="0"/>
              <w:rPr>
                <w:sz w:val="12"/>
                <w:szCs w:val="12"/>
                <w:color w:val="auto"/>
              </w:rPr>
            </w:pPr>
          </w:p>
        </w:tc>
        <w:tc>
          <w:tcPr>
            <w:tcW w:w="134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1340" w:type="dxa"/>
            <w:vAlign w:val="bottom"/>
            <w:vMerge w:val="restart"/>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4"/>
        </w:trPr>
        <w:tc>
          <w:tcPr>
            <w:tcW w:w="55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5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beginning of period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751,254</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23.48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665,458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537,060</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363,484</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(268,993)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25.11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(212,128)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(76,305)</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(15,233)</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0" w:type="dxa"/>
            <w:vAlign w:val="bottom"/>
          </w:tcPr>
          <w:p>
            <w:pPr>
              <w:spacing w:after="0"/>
              <w:rPr>
                <w:sz w:val="1"/>
                <w:szCs w:val="1"/>
                <w:color w:val="auto"/>
              </w:rPr>
            </w:pPr>
          </w:p>
        </w:tc>
      </w:tr>
      <w:tr>
        <w:trPr>
          <w:trHeight w:val="21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end of period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943,016</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801,581</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Outstanding RSUs granted to employees generally vest ratably over a three year vesting period in the case of time-vest RSUs and cliff vest at the end of a three-year performance period in the case of PRSUs. RSUs granted to non-employee directors generally have a one year vesting period. The holders of RSUs are entitled to dividend equivalents. The dividend equivalents are settled in cash at the same time that the underlying RSUs vest and are subject to the same risk of forfeiture as the underlying shares. The fair value of the RSUs granted is generally based on the market price of the underlying shares at the date of grant. The RSUs granted in 2024 and 2023 include 231,492 and 91,818 PRSU awards, respectively. The number of PRSUs is based upon the probable outcome of performance conditions.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Share based compensation expense is recognized on a straight-line basis over the vesting period. The amount of expense and related tax benefit is summarized below:</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2340" w:type="dxa"/>
            <w:vAlign w:val="bottom"/>
            <w:gridSpan w:val="3"/>
          </w:tcPr>
          <w:p>
            <w:pPr>
              <w:jc w:val="center"/>
              <w:ind w:left="42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60" w:type="dxa"/>
            <w:vAlign w:val="bottom"/>
            <w:gridSpan w:val="2"/>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840" w:type="dxa"/>
            <w:vAlign w:val="bottom"/>
          </w:tcPr>
          <w:p>
            <w:pPr>
              <w:spacing w:after="0"/>
              <w:rPr>
                <w:sz w:val="13"/>
                <w:szCs w:val="13"/>
                <w:color w:val="auto"/>
              </w:rPr>
            </w:pPr>
          </w:p>
        </w:tc>
      </w:tr>
      <w:tr>
        <w:trPr>
          <w:trHeight w:val="191"/>
        </w:trPr>
        <w:tc>
          <w:tcPr>
            <w:tcW w:w="54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91"/>
        </w:trPr>
        <w:tc>
          <w:tcPr>
            <w:tcW w:w="54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2"/>
        </w:trPr>
        <w:tc>
          <w:tcPr>
            <w:tcW w:w="5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based compensation expense</w:t>
            </w: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1,553</w:t>
            </w:r>
          </w:p>
        </w:tc>
        <w:tc>
          <w:tcPr>
            <w:tcW w:w="940" w:type="dxa"/>
            <w:vAlign w:val="bottom"/>
            <w:shd w:val="clear" w:color="auto" w:fill="CCEEFF"/>
          </w:tcPr>
          <w:p>
            <w:pPr>
              <w:jc w:val="right"/>
              <w:ind w:right="68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2,316</w:t>
            </w:r>
          </w:p>
        </w:tc>
        <w:tc>
          <w:tcPr>
            <w:tcW w:w="5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4,228</w:t>
            </w:r>
          </w:p>
        </w:tc>
        <w:tc>
          <w:tcPr>
            <w:tcW w:w="6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w:t>
            </w:r>
          </w:p>
        </w:tc>
      </w:tr>
      <w:tr>
        <w:trPr>
          <w:trHeight w:val="231"/>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tax benefit on share based compensation expense</w:t>
            </w:r>
          </w:p>
        </w:tc>
        <w:tc>
          <w:tcPr>
            <w:tcW w:w="860" w:type="dxa"/>
            <w:vAlign w:val="bottom"/>
          </w:tcPr>
          <w:p>
            <w:pPr>
              <w:spacing w:after="0"/>
              <w:rPr>
                <w:sz w:val="20"/>
                <w:szCs w:val="20"/>
                <w:color w:val="auto"/>
              </w:rPr>
            </w:pP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293</w:t>
            </w:r>
          </w:p>
        </w:tc>
        <w:tc>
          <w:tcPr>
            <w:tcW w:w="940" w:type="dxa"/>
            <w:vAlign w:val="bottom"/>
          </w:tcPr>
          <w:p>
            <w:pPr>
              <w:spacing w:after="0"/>
              <w:rPr>
                <w:sz w:val="20"/>
                <w:szCs w:val="20"/>
                <w:color w:val="auto"/>
              </w:rPr>
            </w:pP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427</w:t>
            </w:r>
          </w:p>
        </w:tc>
        <w:tc>
          <w:tcPr>
            <w:tcW w:w="54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790</w:t>
            </w:r>
          </w:p>
        </w:tc>
        <w:tc>
          <w:tcPr>
            <w:tcW w:w="6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34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At June 30, 2024, the Company had $10.0 million of unrecognized share based compensation expense expected to be charged to earnings over a weighted-average period of 1.9 years.</w:t>
      </w:r>
    </w:p>
    <w:p>
      <w:pPr>
        <w:spacing w:after="0" w:line="5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July 25, 2024, the Board of Directors declared a cash dividend of $0.05 per common share. The dividend is payable on September 30, 2024 to shareholders of record on September 16, 2024.</w:t>
      </w:r>
    </w:p>
    <w:p>
      <w:pPr>
        <w:spacing w:after="0" w:line="5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July 25, 2024, the Board of Directors declared a dividend in the aggregate amount of $2.6 million on the Series A Preferred Shares. The dividend will be payable in cash on September 30, 2024 to shareholders of record on September 15, 2024.</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July 2, 2024, James River Insurance Company (“JRIC”) and James River Casualty Company (together with JRIC, the “Ceding Companies”), two of the Company’s principal operating subsidiaries, entered into a Combined Loss Portfolio Transfer and Adverse Development Cover Reinsurance Contract (the “LPT-ADC Agreement”) with State National Insurance Company, Inc. (“State National”). The transaction closed upon signing.</w:t>
      </w:r>
    </w:p>
    <w:p>
      <w:pPr>
        <w:spacing w:after="0" w:line="72"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The LPT-ADC Agreement is effective January 1, 2024 (the “Effective Date”) and applies to the Ceding Companies’ Excess &amp; Surplus Lines segment portfolio losses attaching to premium earned during 2010-2023 (both years inclusive), excluding, among others, losses related to commercial auto policies issued to a former large insured or its affiliates (the “Subject Business”). Pursuant to the LPT-ADC Agreement, (a) State National will reinsure 85% of losses paid on and after the Effective Date in respect of the Subject Business in excess of $716.6 million up to an aggregate limit of $467.1 million (with State National’s share of the aggregate limit being $397.0 million) in exchange for a reinsurance premium paid by the Ceding Companies equal to $313.2 million,</w:t>
      </w:r>
    </w:p>
    <w:p>
      <w:pPr>
        <w:jc w:val="both"/>
        <w:ind w:firstLine="6"/>
        <w:spacing w:after="0" w:line="247" w:lineRule="auto"/>
        <w:tabs>
          <w:tab w:leader="none" w:pos="27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Ceding Companies will continue to manage claims and to manage and collect the benefit of other existing third-party reinsurance on the Subject Business, which third-party reinsurance shall inure to the benefit of the LPT-ADC Agreement, and (c) the Ceding Companies will be entitled to a profit commission of 50% of any favorable development on the business ceded to State National below 104.5% of carried reserves, which profit commission shall not exceed $87.0 million in total.</w:t>
      </w:r>
    </w:p>
    <w:p>
      <w:pPr>
        <w:spacing w:after="0" w:line="83"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7"/>
          <w:szCs w:val="17"/>
          <w:color w:val="auto"/>
        </w:rPr>
        <w:t>On July 15, 2024, Fleming filed a lawsuit in the U.S. District Court, Southern District of New York against James River Group Holdings, Ltd. and certain of its officers, asserting claims under Sections 10(b) and 20(a) of the Securities Exchange Act of 1934, common law fraud, and breaches of contract, and seeks unspecified monetary damages, including compensatory, consequential and punitive damages, all associated with Fleming’s purchase of JRG Re pursuant to</w:t>
      </w:r>
    </w:p>
    <w:p>
      <w:pPr>
        <w:spacing w:after="0" w:line="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Stock Purchase Agreement. The Company expects to file a motion to dismiss the complaint in September 2024. On July 29, 2024, Fleming filed a motion for a preliminary injunction and to amend its complaint to raise a dispute regarding Fleming’s claim that it is entitled to additional documents in connection</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with the purchase price adjustment process set forth under the Stock Purchase Agreement. The Company expects to oppose that motion, and the court has set a briefing schedule to be completed by August 19, 2024, with a hearing currently set for August 29, 2024. The Company believes Fleming's claims are without merit and intends to vigorously defend this lawsuit.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following discussion and analysis contains forward-looking statements that involve risks and uncertainties. Our actual results could differ materially from</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those anticipated in these forward-looking statements as a result of many factors. Factors that could cause such differences are discussed in the sections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entitled “Special Note Regarding Forward-Looking Statements”, Part II, Item 1A “Risk Factors” in this Quarterly Report on Form 10-Q, and Part I, Item 1A</w:t>
      </w:r>
    </w:p>
    <w:p>
      <w:pPr>
        <w:spacing w:after="0" w:line="234" w:lineRule="auto"/>
        <w:rPr>
          <w:sz w:val="20"/>
          <w:szCs w:val="20"/>
          <w:color w:val="auto"/>
        </w:rPr>
      </w:pPr>
      <w:r>
        <w:rPr>
          <w:rFonts w:ascii="Times New Roman" w:cs="Times New Roman" w:eastAsia="Times New Roman" w:hAnsi="Times New Roman"/>
          <w:sz w:val="18"/>
          <w:szCs w:val="18"/>
          <w:i w:val="1"/>
          <w:iCs w:val="1"/>
          <w:color w:val="auto"/>
        </w:rPr>
        <w:t>“Risk Factors” in our Annual Report on Form 10-K for the year ended December 31, 2023. The results of operations for the three and six months ended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June 30, 2024 are not necessarily indicative of the results that may be expected for the full year ending December 31, 2024, or for any other future period.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following discussion should be read in conjunction with the unaudited condensed consolidated financial statements and the notes thereto included in Part 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1 of this Quarterly Report on Form 10-Q, and in conjunction with our Annual Report on Form 10-K for the year ended December 31, 2023.</w:t>
      </w:r>
    </w:p>
    <w:p>
      <w:pPr>
        <w:spacing w:after="0" w:line="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and related notes have been prepared in accordance with United States (“U.S.”) generally accepted accounting principles (“GAAP”) and include the accounts of James River Group Holdings, Ltd. and its subsidiaries. Unless the context indicates or suggests otherwise, references to “the Company”, “we”, “us” and “our” refer to James River Group Holdings, Ltd. and its subsidiaries.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James River Group Holdings, Ltd. is a Bermuda-based holding company. We own and operate a group of specialty insurance companies with the objective of generating compelling returns on tangible equity while limiting underwriting and investment volatility. We seek to accomplish this by earning profits from insurance underwriting and generating meaningful risk-adjusted investment returns while managing our capital.</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report our continuing operations in three reportable segments:</w:t>
      </w:r>
    </w:p>
    <w:p>
      <w:pPr>
        <w:spacing w:after="0" w:line="111" w:lineRule="exact"/>
        <w:rPr>
          <w:sz w:val="20"/>
          <w:szCs w:val="20"/>
          <w:color w:val="auto"/>
        </w:rPr>
      </w:pPr>
    </w:p>
    <w:p>
      <w:pPr>
        <w:jc w:val="both"/>
        <w:ind w:left="640" w:hanging="316"/>
        <w:spacing w:after="0" w:line="259"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and Surplus Lines segment offers commercial excess and surplus lines liability and property insurance in every U.S. state, the District of Columbia, Puerto Rico and the U.S. Virgin Islands through James River Insurance Company and its wholly-owned subsidiary, James River Casualty Company;</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Specialty Admitted Insurance segment focuses on niche classes within the standard insurance markets with a primary focus on fronting business, where we retain a minority share of the risk and seek to earn fee income by allowing other carriers and producers to use our licensure, ratings, expertise and infrastructure. Through Falls Lake National and its subsidiaries, this segment has admitted licenses and the authority to write excess and surplus lines insurance in 50 states and the District of Columbia and distributes through a variety of sources, including program administrators and managing general agents;</w:t>
      </w:r>
    </w:p>
    <w:p>
      <w:pPr>
        <w:spacing w:after="0" w:line="79"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and Other segment consists of the management and treasury activities of our holding companies, interest expense associated with our debt, and expenses of our holding companies, including public company expenses and equity compensation for the group, that are not reimbursed by our insurance segments.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discontinued operations include JRG Re, which comprised the remaining operations of the former Casualty Reinsurance segment, and which, prior to the suspension of its underwriting activities in 2023, provided proportional and working layer casualty reinsurance to third parties. On November 8, 2023, the Company entered into a definitive agreement to sell JRG Re. The sale transaction closed on April 16, 2024.</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All of the Company’s U.S.-domiciled insurance subsidiaries are party to an intercompany pooling agreement that distributes the net underwriting results among the group companies based on their approximate pro-rata level of statutory capital and surplus to the total Company statutory capital and surplus. We report all segment information in this ‘‘Management’s Discussion and Analysis of Financial Condition and Results of Operations’’ prior to the effects of intercompany reinsurance, consistent with the manner in which we evaluate the operating performance of our reportable segments.</w:t>
      </w:r>
    </w:p>
    <w:p>
      <w:pPr>
        <w:spacing w:after="0" w:line="74" w:lineRule="exact"/>
        <w:rPr>
          <w:sz w:val="20"/>
          <w:szCs w:val="20"/>
          <w:color w:val="auto"/>
        </w:rPr>
      </w:pPr>
    </w:p>
    <w:p>
      <w:pPr>
        <w:ind w:right="1840" w:firstLine="318"/>
        <w:spacing w:after="0" w:line="368" w:lineRule="auto"/>
        <w:rPr>
          <w:sz w:val="20"/>
          <w:szCs w:val="20"/>
          <w:color w:val="auto"/>
        </w:rPr>
      </w:pPr>
      <w:r>
        <w:rPr>
          <w:rFonts w:ascii="Times New Roman" w:cs="Times New Roman" w:eastAsia="Times New Roman" w:hAnsi="Times New Roman"/>
          <w:sz w:val="18"/>
          <w:szCs w:val="18"/>
          <w:color w:val="auto"/>
        </w:rPr>
        <w:t xml:space="preserve">Our group’s regulated U.S. insurance subsidiaries have a financial strength rating of “A-” (Excellent) from A.M. Best Company. </w:t>
      </w:r>
      <w:r>
        <w:rPr>
          <w:rFonts w:ascii="Times New Roman" w:cs="Times New Roman" w:eastAsia="Times New Roman" w:hAnsi="Times New Roman"/>
          <w:sz w:val="18"/>
          <w:szCs w:val="18"/>
          <w:b w:val="1"/>
          <w:bCs w:val="1"/>
          <w:color w:val="auto"/>
        </w:rPr>
        <w:t>Key Metrics</w:t>
      </w:r>
    </w:p>
    <w:p>
      <w:pPr>
        <w:spacing w:after="0" w:line="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discuss certain key metrics, described below, which we believe provide useful information about our business and the operational factors underlying our financial performance.</w:t>
      </w:r>
    </w:p>
    <w:p>
      <w:pPr>
        <w:spacing w:after="0" w:line="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Underwriting profit </w:t>
      </w:r>
      <w:r>
        <w:rPr>
          <w:rFonts w:ascii="Times New Roman" w:cs="Times New Roman" w:eastAsia="Times New Roman" w:hAnsi="Times New Roman"/>
          <w:sz w:val="18"/>
          <w:szCs w:val="18"/>
          <w:color w:val="auto"/>
        </w:rPr>
        <w:t>is a non-GAAP measure commonly used in the property and casualty insurance industry to evaluate underwriting performance.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that the disclosure of underwriting profit by individual segment and of the Company as a whole is useful to investors, analysts, rating agencies and other users of our financial information in evaluating our performance because our objective is to consistently earn underwriting profits. We evaluate the performance of our segments and allocate resources based primarily on underwriting profit. We define underwriting profit as net earned premiums and gross fee income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 xml:space="preserve">(in specific instances when the Company is not retaining insurance risk) less losses and loss adjustment expenses on business from continuing operations not subject to retroactive reinsurance accounting for a loss portfolio transfer (see </w:t>
      </w:r>
      <w:r>
        <w:rPr>
          <w:rFonts w:ascii="Times New Roman" w:cs="Times New Roman" w:eastAsia="Times New Roman" w:hAnsi="Times New Roman"/>
          <w:sz w:val="17"/>
          <w:szCs w:val="17"/>
          <w:i w:val="1"/>
          <w:iCs w:val="1"/>
          <w:color w:val="auto"/>
        </w:rPr>
        <w:t>Loss Portfolio Transfer</w:t>
      </w:r>
      <w:r>
        <w:rPr>
          <w:rFonts w:ascii="Times New Roman" w:cs="Times New Roman" w:eastAsia="Times New Roman" w:hAnsi="Times New Roman"/>
          <w:sz w:val="17"/>
          <w:szCs w:val="17"/>
          <w:color w:val="auto"/>
        </w:rPr>
        <w:t xml:space="preserve"> in </w:t>
      </w:r>
      <w:r>
        <w:rPr>
          <w:rFonts w:ascii="Times New Roman" w:cs="Times New Roman" w:eastAsia="Times New Roman" w:hAnsi="Times New Roman"/>
          <w:sz w:val="17"/>
          <w:szCs w:val="17"/>
          <w:i w:val="1"/>
          <w:iCs w:val="1"/>
          <w:color w:val="auto"/>
        </w:rPr>
        <w:t>Strategic Actions</w:t>
      </w:r>
      <w:r>
        <w:rPr>
          <w:rFonts w:ascii="Times New Roman" w:cs="Times New Roman" w:eastAsia="Times New Roman" w:hAnsi="Times New Roman"/>
          <w:sz w:val="17"/>
          <w:szCs w:val="17"/>
          <w:color w:val="auto"/>
        </w:rPr>
        <w:t xml:space="preserve"> below) and other operating expenses. Other operating expenses include the underwriting, acquisition, and insurance expenses of the operating segments and, for consolidated underwriting profit, the expenses of the Corporate and Other segment. Our definition of underwriting profit may not be comparable to that of other companies. See “Reconciliation of Non-GAAP Measures” for a reconciliation of underwriting profit to income from continuing operations before taxes and for additional information.</w:t>
      </w:r>
    </w:p>
    <w:p>
      <w:pPr>
        <w:spacing w:after="0" w:line="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Loss ratio</w:t>
      </w:r>
      <w:r>
        <w:rPr>
          <w:rFonts w:ascii="Times New Roman" w:cs="Times New Roman" w:eastAsia="Times New Roman" w:hAnsi="Times New Roman"/>
          <w:sz w:val="18"/>
          <w:szCs w:val="18"/>
          <w:color w:val="auto"/>
        </w:rPr>
        <w:t>, expressed as a percentage, is the ratio of losses and loss adjustment expenses on business from continuing operations not subject to retroactive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reinsurance accounting for a loss portfolio transfer to net earned premiums. Our definition of loss ratio may not be comparable to that of other companies. See “Underwriting Performance Ratios” for a reconciliation of underwriting ratios.</w:t>
      </w:r>
    </w:p>
    <w:p>
      <w:pPr>
        <w:spacing w:after="0" w:line="6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Accident year loss ratio</w:t>
      </w:r>
      <w:r>
        <w:rPr>
          <w:rFonts w:ascii="Times New Roman" w:cs="Times New Roman" w:eastAsia="Times New Roman" w:hAnsi="Times New Roman"/>
          <w:sz w:val="18"/>
          <w:szCs w:val="18"/>
          <w:color w:val="auto"/>
        </w:rPr>
        <w:t>, expressed as a percentage, is the ratio of losses and loss adjustment expenses for the current accident year (excluding development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accident year reserves) to net earned premiums for the current year (excluding net earned premium adjustments on certain reinsurance treaties with reinstatement premiums associated with prior years).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ratio</w:t>
      </w:r>
      <w:r>
        <w:rPr>
          <w:rFonts w:ascii="Times New Roman" w:cs="Times New Roman" w:eastAsia="Times New Roman" w:hAnsi="Times New Roman"/>
          <w:sz w:val="18"/>
          <w:szCs w:val="18"/>
          <w:color w:val="auto"/>
        </w:rPr>
        <w:t>, expressed as a percentage, is the ratio of other operating expenses net of gross fee income included in other income to net earned premiums.</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Combined ratio </w:t>
      </w:r>
      <w:r>
        <w:rPr>
          <w:rFonts w:ascii="Times New Roman" w:cs="Times New Roman" w:eastAsia="Times New Roman" w:hAnsi="Times New Roman"/>
          <w:sz w:val="18"/>
          <w:szCs w:val="18"/>
          <w:color w:val="auto"/>
        </w:rPr>
        <w:t>is a measure of underwriting performance calculated as the sum of the loss ratio and the expense ratio. A combined ratio of less than 100%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indicates an underwriting profit, while a combined ratio greater than 100% reflects an underwriting loss. Our definition of combined ratio may not be comparable to that of other companies. See “Underwriting Performance Ratios” for a reconciliation of underwriting ratios.</w:t>
      </w:r>
    </w:p>
    <w:p>
      <w:pPr>
        <w:spacing w:after="0" w:line="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Adjusted net operating income </w:t>
      </w:r>
      <w:r>
        <w:rPr>
          <w:rFonts w:ascii="Times New Roman" w:cs="Times New Roman" w:eastAsia="Times New Roman" w:hAnsi="Times New Roman"/>
          <w:sz w:val="18"/>
          <w:szCs w:val="18"/>
          <w:color w:val="auto"/>
        </w:rPr>
        <w:t>is an internal performance measure used in the management of our operations. We believe it gives our management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users of our financial information useful insight into our results of operations and our underlying business performance. Adjusted net operating income is defined as income available to common shareholders excluding a) income (loss) from discontinued operations b) the impact of retroactive reinsurance accounting for a loss portfolio transfer, c) net realized and unrealized gains (losses) on investments, d) certain non-operating expenses such as professional service fees related to certain lawsuits, various strategic initiatives, and the filing of registration statements for the offering of securities, and e) severance costs associated with terminated employees. Adjusted net operating income is a non-GAAP measure and should not be viewed as a substitute for net income calculated in accordance with GAAP. Our definition of adjusted net operating income may not be comparable to that of other companies. See “Reconciliation of Non-GAAP Measures” for a reconciliation of income available to common shareholders to adjusted net operating income.</w:t>
      </w:r>
    </w:p>
    <w:p>
      <w:pPr>
        <w:spacing w:after="0" w:line="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Tangible equity </w:t>
      </w:r>
      <w:r>
        <w:rPr>
          <w:rFonts w:ascii="Times New Roman" w:cs="Times New Roman" w:eastAsia="Times New Roman" w:hAnsi="Times New Roman"/>
          <w:sz w:val="18"/>
          <w:szCs w:val="18"/>
          <w:color w:val="auto"/>
        </w:rPr>
        <w:t>is defined as shareholders' equity plus mezzanine Series A Preferred Shares (as defined below) and the unrecognized deferred retroactive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reinsurance gain on loss portfolio transfers less goodwill and intangible assets, net of amortization. We believe tangible equity is a good measure to evaluate the strength of our balance sheet and to compare returns relative to this measure. Key financial measures that we use to assess our longer term financial performance include the percentage growth in our tangible equity per share and our return on tangible equity. Tangible equity is a non-GAAP measure and should not be viewed as a substitute for shareholders’ equity calculated in accordance with GAAP. Our definition of tangible equity may not be comparable to that of other companies. See “Reconciliation of Non-GAAP Measures” for a reconciliation of shareholders' equity to tangible equity.</w:t>
      </w:r>
    </w:p>
    <w:p>
      <w:pPr>
        <w:spacing w:after="0" w:line="7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Adjusted net operating return on tangible equity </w:t>
      </w:r>
      <w:r>
        <w:rPr>
          <w:rFonts w:ascii="Times New Roman" w:cs="Times New Roman" w:eastAsia="Times New Roman" w:hAnsi="Times New Roman"/>
          <w:sz w:val="18"/>
          <w:szCs w:val="18"/>
          <w:color w:val="auto"/>
        </w:rPr>
        <w:t>is defined as annualized adjusted net operating income expressed as a percentage of the average quarterly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tangible equity balances in the respective period.</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Tangible equity per share </w:t>
      </w:r>
      <w:r>
        <w:rPr>
          <w:rFonts w:ascii="Times New Roman" w:cs="Times New Roman" w:eastAsia="Times New Roman" w:hAnsi="Times New Roman"/>
          <w:sz w:val="18"/>
          <w:szCs w:val="18"/>
          <w:color w:val="auto"/>
        </w:rPr>
        <w:t>represents tangible equity divided by the sum of total common shares outstanding plus the common shares resulting from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assumed conversion of the outstanding Series A Preferred Shares into common shares (at the conversion price effective as of the last day of the applicable period).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Net retention </w:t>
      </w:r>
      <w:r>
        <w:rPr>
          <w:rFonts w:ascii="Times New Roman" w:cs="Times New Roman" w:eastAsia="Times New Roman" w:hAnsi="Times New Roman"/>
          <w:sz w:val="18"/>
          <w:szCs w:val="18"/>
          <w:color w:val="auto"/>
        </w:rPr>
        <w:t>is defined as the ratio of net written premiums to gross written premiums.</w:t>
      </w:r>
    </w:p>
    <w:p>
      <w:pPr>
        <w:spacing w:after="0" w:line="11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Gross investment yield </w:t>
      </w:r>
      <w:r>
        <w:rPr>
          <w:rFonts w:ascii="Times New Roman" w:cs="Times New Roman" w:eastAsia="Times New Roman" w:hAnsi="Times New Roman"/>
          <w:sz w:val="18"/>
          <w:szCs w:val="18"/>
          <w:color w:val="auto"/>
        </w:rPr>
        <w:t>is annualized investment income before any deductions for fees and expenses, expressed as a percentage of the average beginning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ending carrying values of those investments during the period.</w:t>
      </w:r>
    </w:p>
    <w:p>
      <w:pPr>
        <w:spacing w:after="0" w:line="54"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Unless specified otherwise, all references to our defined metrics above in this </w:t>
      </w:r>
      <w:r>
        <w:rPr>
          <w:rFonts w:ascii="Times New Roman" w:cs="Times New Roman" w:eastAsia="Times New Roman" w:hAnsi="Times New Roman"/>
          <w:sz w:val="18"/>
          <w:szCs w:val="18"/>
          <w:i w:val="1"/>
          <w:iCs w:val="1"/>
          <w:color w:val="auto"/>
        </w:rPr>
        <w:t>Management’s Discussion and Analysis of Financial Condition and Results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Operations </w:t>
      </w:r>
      <w:r>
        <w:rPr>
          <w:rFonts w:ascii="Times New Roman" w:cs="Times New Roman" w:eastAsia="Times New Roman" w:hAnsi="Times New Roman"/>
          <w:sz w:val="18"/>
          <w:szCs w:val="18"/>
          <w:color w:val="auto"/>
        </w:rPr>
        <w:t>are for our business from continuing operations that is not subject to retroactive reinsurance accounting for a loss portfolio transfer.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believes that the lack of economic impact of retroactive reinsurance accounting makes the presentation of our key metrics on business not subject to retroactive reinsurance accounting helpful to the users of our financial information. See “Underwriting Performance Ratios” and “Reconciliation of Non-GAAP Measures.”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preparing the unaudited condensed consolidated financial statements, we are required to make estimates and assumptions that affect the reported amounts of assets and liabilities and the disclosures of contingent assets and liabilities as of the date of the condensed consolidated financial statements and the reported amounts of revenues and expenses for the reporting period. Actual results could differ significantly from those estimates.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most critical accounting policies involve significant estimates and include those used in determining the reserve for losses and loss adjustment expenses and investment valuation and impairment. For a detailed discussion of each of these policies, refer to our Annual Report on Form 10-K for the year ended December 31, 2023. There have been no significant changes to any of these policies during the current year.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Strategic Actions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Combined Loss Portfolio Transfer and Adverse Development Cover</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July 2, 2024, James River Insurance Company and James River Casualty Company (together, the “Ceding Companies”), two of the Company's principal operating subsidiaries, entered into a Combined Loss Portfolio Transfer and Adverse Development Cover Reinsurance Contract (the “LPT-ADC Agreement”) with State National Insurance Company, Inc. (“State National”). The transaction closed upon signing.</w:t>
      </w:r>
    </w:p>
    <w:p>
      <w:pPr>
        <w:spacing w:after="0" w:line="72"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The LPT-ADC Agreement is effective January 1, 2024 (the “Effective Date”) and applies to the Ceding Companies’ Excess &amp; Surplus Lines segment portfolio losses attaching to premium earned during 2010-2023 (both years inclusive), excluding, among others, losses related to commercial auto policies issued to a former large insured or its affiliates (the “Subject Business”). Pursuant to the LPT-ADC Agreement, (a) State National will reinsure 85% of losses paid on and after the Effective Date in respect of the Subject Business in excess of $716.6 million up to an aggregate limit of $467.1 million (with State National’s share of the aggregate limit being $397.0 million) in exchange for a reinsurance premium paid by the Ceding Companies equal to $313.2 million,</w:t>
      </w:r>
    </w:p>
    <w:p>
      <w:pPr>
        <w:jc w:val="both"/>
        <w:ind w:firstLine="6"/>
        <w:spacing w:after="0" w:line="247" w:lineRule="auto"/>
        <w:tabs>
          <w:tab w:leader="none" w:pos="27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Ceding Companies will continue to manage claims and to manage and collect the benefit of other existing third-party reinsurance on the Subject Business, which third-party reinsurance shall inure to the benefit of the LPT-ADC Agreement, and (c) the Ceding Companies will be entitled to a profit commission of 50% of any favorable development on the business ceded to State National below 104.5% of carried reserves, which profit commission shall not exceed $87.0 million in total. As a result of the E&amp;S LPT and ADC, the Company expects to recognize a reduction in pre-tax income of approximately $44.0 million in the third quarter of 2024.</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of Strategic Alternatives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November 10, 2023, the Company announced that its board of directors initiated an exploration of strategic alternatives.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JRG Re</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November 8, 2023, the Company entered into a Stock Purchase Agreement (the “Stock Purchase Agreement”) with Fleming Intermediate Holdings LLC, a Cayman Islands limited liability company (the “Buyer”). Pursuant to the Stock Purchase Agreement, and on the terms and subject to the conditions therein, the Buyer agreed to purchase from the Company all of the common shares of JRG Re. JRG Re comprised the remaining operations of the former Casualty Reinsurance segment, and the sale of JRG Re, which closed on April 16, 2024, resulted in the Company’s disposition of its casualty reinsurance business and related assets.</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Pursuant to the terms of the Stock Purchase Agreement, the aggregate purchase price received by the Company, after giving effect to estimated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based on changes in JRG Re’s adjusted net worth between March 31, 2023 and the closing, totaled approximately $291.4 million (the “Closing</w:t>
      </w:r>
    </w:p>
    <w:p>
      <w:pPr>
        <w:spacing w:after="0" w:line="230" w:lineRule="auto"/>
        <w:rPr>
          <w:sz w:val="20"/>
          <w:szCs w:val="20"/>
          <w:color w:val="auto"/>
        </w:rPr>
      </w:pPr>
      <w:r>
        <w:rPr>
          <w:rFonts w:ascii="Times New Roman" w:cs="Times New Roman" w:eastAsia="Times New Roman" w:hAnsi="Times New Roman"/>
          <w:sz w:val="18"/>
          <w:szCs w:val="18"/>
          <w:color w:val="auto"/>
        </w:rPr>
        <w:t>Date Purchase Price”). The aggregate Closing Date Purchase Price was comprised of (i) $152.4 million paid in cash by the Buyer and (ii) an aggregate</w:t>
      </w:r>
    </w:p>
    <w:p>
      <w:pPr>
        <w:spacing w:after="0" w:line="230" w:lineRule="auto"/>
        <w:rPr>
          <w:sz w:val="20"/>
          <w:szCs w:val="20"/>
          <w:color w:val="auto"/>
        </w:rPr>
      </w:pPr>
      <w:r>
        <w:rPr>
          <w:rFonts w:ascii="Times New Roman" w:cs="Times New Roman" w:eastAsia="Times New Roman" w:hAnsi="Times New Roman"/>
          <w:sz w:val="18"/>
          <w:szCs w:val="18"/>
          <w:color w:val="auto"/>
        </w:rPr>
        <w:t>$139.0 million dividend and distribution from contributed surplus by JRG Re to the Company. In accordance with the Stock Purchase Agreement, the cash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portion of the purchase price was calculated based on an estimated balance sheet of JRG Re as of the date of closing. The estimated balance sheet is subject to</w:t>
      </w:r>
    </w:p>
    <w:p>
      <w:pPr>
        <w:spacing w:after="0" w:line="234" w:lineRule="auto"/>
        <w:rPr>
          <w:sz w:val="20"/>
          <w:szCs w:val="20"/>
          <w:color w:val="auto"/>
        </w:rPr>
      </w:pPr>
      <w:r>
        <w:rPr>
          <w:rFonts w:ascii="Times New Roman" w:cs="Times New Roman" w:eastAsia="Times New Roman" w:hAnsi="Times New Roman"/>
          <w:sz w:val="18"/>
          <w:szCs w:val="18"/>
          <w:color w:val="auto"/>
        </w:rPr>
        <w:t>final post-closing adjustments, which could result in adjustments to the purchase price. Additionally, the Buyer may pay an additional $2.5 million to the</w:t>
      </w:r>
    </w:p>
    <w:p>
      <w:pPr>
        <w:spacing w:after="0"/>
        <w:rPr>
          <w:sz w:val="20"/>
          <w:szCs w:val="20"/>
          <w:color w:val="auto"/>
        </w:rPr>
      </w:pPr>
      <w:r>
        <w:rPr>
          <w:rFonts w:ascii="Times New Roman" w:cs="Times New Roman" w:eastAsia="Times New Roman" w:hAnsi="Times New Roman"/>
          <w:sz w:val="17"/>
          <w:szCs w:val="17"/>
          <w:color w:val="auto"/>
        </w:rPr>
        <w:t>Company in the event that certain conditions outlined in the Stock Purchase Agreement are met on the date that is nine months following the date of closing.</w:t>
      </w:r>
    </w:p>
    <w:p>
      <w:pPr>
        <w:spacing w:after="0" w:line="8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Buyer delivered a closing statement to the Company, and pursuant to the procedures in the Stock Purchase Agreement, the Company has given its notice of disagreement with the Buyer’s closing statement. In its notice of disagreement, the Company (i) agreed with an $11.4 million downward adjustment to the Closing Date Purchase Price due to losses from JRG Re’s operations between the date of the balance sheet used to produce the estimated closing statement and the Closing Date, which downward adjustment is included in “Other Liabilities” on the Company’s Balance Sheet at June 30, 2024, and (ii) disputed $54.1 million in aggregate downward adjustments to the Closing Date Purchase Price claimed by the Buyer, which the Company believes are unsupported by the facts known to the Company and the terms of the Stock Purchase Agreement. The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Stock Purchase Agreement provides procedures for resolving disputes between the parties regarding the closing statement and it is possible that the resolution of these disputes could result in a significant reduction to the amount of the purchase price.</w:t>
      </w:r>
    </w:p>
    <w:p>
      <w:pPr>
        <w:spacing w:after="0" w:line="5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have determined that the sale of JRG Re met the criteria to be classified as held for sale at December 31, 2023 and that the sale represents a strategic shift that will have a major effect on the Company's operations. Accordingly, the results of JRG Re's operations have been presented as discontinued operations, and the assets and liabilities of JRG Re at December 31, 2023 have been classified as held for sale and segregated for all periods presented in this interim report on Form 10-Q.</w:t>
      </w:r>
    </w:p>
    <w:p>
      <w:pPr>
        <w:spacing w:after="0" w:line="7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$139.0 million pre-closing dividend was completed in the first quarter of 2024. It included the forgiveness of $133.2 million owed from JRG Holdings to JRG Re and $5.8 million paid in cash to JRG Holdings. In the fourth quarter of 2023, after giving effect to the pre-closing dividend, we recorded an estimated loss on sale of $80.4 million to write down the carrying value of JRG Re to its estimated fair value based upon the estimated sales price of the transaction less costs to sell and other adjustments in accordance with the Stock Purchase Agreement. In the six months ended June 30, 2024, the estimated loss on the sale was revised to $78.0 million. The year to date loss on disposal of $1.4 million includes the $2.4 million gain for the change in the estimated loss on sale and selling costs incurred of $3.8 million.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Reduction of Workers' Compensation Book</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June 2023, the Company non-renewed its large California workers' compensation program in the Specialty Admitted Insurance segment. This action was taken due to persistent rate pressure and tighter reinsurance capacity. Gross written premiums for the program were $5.9 million and $17.8 million for the three and six months ended June 30, 2024 compared to $25.6 million and $53.3 million in the respective prior year periods.</w:t>
      </w:r>
    </w:p>
    <w:p>
      <w:pPr>
        <w:spacing w:after="0" w:line="7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September 25, 2023, the Company announced that certain of its subsidiaries entered into an agreement to sell the renewal rights to the Individual Risk Workers’ Compensation (“IRWC”) business in the Specialty Admitted Insurance segment. The transaction included the full operations of the business, including underwriting, loss control and claims, and transfer of the employees supporting the business. The transaction closed on September 29, 2023. Gross written premiums for IRWC were $1.3 million and $3.3 million for the three and six months ended June 30, 2024 compared to $11.4 million and $24.4 million in the respective prior year periods.</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sales of JRG Re and the renewal rights to the IRWC business are aligned with our strategy to focus our resources on core businesses where we have meaningful scale.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results: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2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320" w:type="dxa"/>
            <w:vAlign w:val="bottom"/>
          </w:tcPr>
          <w:p>
            <w:pPr>
              <w:spacing w:after="0"/>
              <w:rPr>
                <w:sz w:val="13"/>
                <w:szCs w:val="13"/>
                <w:color w:val="auto"/>
              </w:rPr>
            </w:pPr>
          </w:p>
        </w:tc>
        <w:tc>
          <w:tcPr>
            <w:tcW w:w="2520" w:type="dxa"/>
            <w:vAlign w:val="bottom"/>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26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412,247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423,050</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i w:val="1"/>
                <w:iCs w:val="1"/>
                <w:color w:val="auto"/>
              </w:rPr>
              <w:t>(2.6)%</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743,057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776,504</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(4.3)%</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retention</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44.0 %</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48.3 %</w:t>
            </w:r>
          </w:p>
        </w:tc>
        <w:tc>
          <w:tcPr>
            <w:tcW w:w="1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43.0 %</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48.4 %</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written premiums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181,353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204,493</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i w:val="1"/>
                <w:iCs w:val="1"/>
                <w:color w:val="auto"/>
              </w:rPr>
              <w:t>(11.3)%</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319,525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375,718</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(15.0)%</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ind w:right="34"/>
              <w:spacing w:after="0"/>
              <w:rPr>
                <w:sz w:val="20"/>
                <w:szCs w:val="20"/>
                <w:color w:val="auto"/>
              </w:rPr>
            </w:pPr>
            <w:r>
              <w:rPr>
                <w:rFonts w:ascii="Times New Roman" w:cs="Times New Roman" w:eastAsia="Times New Roman" w:hAnsi="Times New Roman"/>
                <w:sz w:val="18"/>
                <w:szCs w:val="18"/>
                <w:i w:val="1"/>
                <w:iCs w:val="1"/>
                <w:color w:val="auto"/>
              </w:rPr>
              <w:t>(5.9)%</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(2.2)%</w:t>
            </w:r>
          </w:p>
        </w:tc>
        <w:tc>
          <w:tcPr>
            <w:tcW w:w="0" w:type="dxa"/>
            <w:vAlign w:val="bottom"/>
          </w:tcPr>
          <w:p>
            <w:pPr>
              <w:spacing w:after="0" w:line="20" w:lineRule="exact"/>
              <w:rPr>
                <w:sz w:val="1"/>
                <w:szCs w:val="1"/>
                <w:color w:val="auto"/>
              </w:rPr>
            </w:pPr>
          </w:p>
        </w:tc>
      </w:tr>
      <w:tr>
        <w:trPr>
          <w:trHeight w:val="198"/>
        </w:trPr>
        <w:tc>
          <w:tcPr>
            <w:tcW w:w="3140" w:type="dxa"/>
            <w:vAlign w:val="bottom"/>
            <w:vMerge w:val="continue"/>
          </w:tcPr>
          <w:p>
            <w:pPr>
              <w:spacing w:after="0"/>
              <w:rPr>
                <w:sz w:val="17"/>
                <w:szCs w:val="17"/>
                <w:color w:val="auto"/>
              </w:rPr>
            </w:pPr>
          </w:p>
        </w:tc>
        <w:tc>
          <w:tcPr>
            <w:tcW w:w="300" w:type="dxa"/>
            <w:vAlign w:val="bottom"/>
          </w:tcPr>
          <w:p>
            <w:pPr>
              <w:jc w:val="right"/>
              <w:ind w:right="11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4"/>
              <w:spacing w:after="0" w:line="198" w:lineRule="exact"/>
              <w:rPr>
                <w:sz w:val="20"/>
                <w:szCs w:val="20"/>
                <w:color w:val="auto"/>
              </w:rPr>
            </w:pPr>
            <w:r>
              <w:rPr>
                <w:rFonts w:ascii="Times New Roman" w:cs="Times New Roman" w:eastAsia="Times New Roman" w:hAnsi="Times New Roman"/>
                <w:sz w:val="18"/>
                <w:szCs w:val="18"/>
                <w:color w:val="auto"/>
              </w:rPr>
              <w:t>163,193</w:t>
            </w:r>
          </w:p>
        </w:tc>
        <w:tc>
          <w:tcPr>
            <w:tcW w:w="100" w:type="dxa"/>
            <w:vAlign w:val="bottom"/>
          </w:tcPr>
          <w:p>
            <w:pPr>
              <w:spacing w:after="0"/>
              <w:rPr>
                <w:sz w:val="17"/>
                <w:szCs w:val="17"/>
                <w:color w:val="auto"/>
              </w:rPr>
            </w:pPr>
          </w:p>
        </w:tc>
        <w:tc>
          <w:tcPr>
            <w:tcW w:w="360" w:type="dxa"/>
            <w:vAlign w:val="bottom"/>
          </w:tcPr>
          <w:p>
            <w:pPr>
              <w:jc w:val="right"/>
              <w:ind w:right="17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12"/>
              <w:spacing w:after="0" w:line="198" w:lineRule="exact"/>
              <w:rPr>
                <w:sz w:val="20"/>
                <w:szCs w:val="20"/>
                <w:color w:val="auto"/>
              </w:rPr>
            </w:pPr>
            <w:r>
              <w:rPr>
                <w:rFonts w:ascii="Times New Roman" w:cs="Times New Roman" w:eastAsia="Times New Roman" w:hAnsi="Times New Roman"/>
                <w:sz w:val="18"/>
                <w:szCs w:val="18"/>
                <w:color w:val="auto"/>
              </w:rPr>
              <w:t>173,469</w:t>
            </w:r>
          </w:p>
        </w:tc>
        <w:tc>
          <w:tcPr>
            <w:tcW w:w="1260" w:type="dxa"/>
            <w:vAlign w:val="bottom"/>
            <w:vMerge w:val="continue"/>
          </w:tcPr>
          <w:p>
            <w:pPr>
              <w:spacing w:after="0"/>
              <w:rPr>
                <w:sz w:val="17"/>
                <w:szCs w:val="17"/>
                <w:color w:val="auto"/>
              </w:rPr>
            </w:pPr>
          </w:p>
        </w:tc>
        <w:tc>
          <w:tcPr>
            <w:tcW w:w="320" w:type="dxa"/>
            <w:vAlign w:val="bottom"/>
          </w:tcPr>
          <w:p>
            <w:pPr>
              <w:jc w:val="right"/>
              <w:ind w:right="11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4"/>
              <w:spacing w:after="0" w:line="198" w:lineRule="exact"/>
              <w:rPr>
                <w:sz w:val="20"/>
                <w:szCs w:val="20"/>
                <w:color w:val="auto"/>
              </w:rPr>
            </w:pPr>
            <w:r>
              <w:rPr>
                <w:rFonts w:ascii="Times New Roman" w:cs="Times New Roman" w:eastAsia="Times New Roman" w:hAnsi="Times New Roman"/>
                <w:sz w:val="18"/>
                <w:szCs w:val="18"/>
                <w:color w:val="auto"/>
              </w:rPr>
              <w:t>334,884</w:t>
            </w:r>
          </w:p>
        </w:tc>
        <w:tc>
          <w:tcPr>
            <w:tcW w:w="100" w:type="dxa"/>
            <w:vAlign w:val="bottom"/>
          </w:tcPr>
          <w:p>
            <w:pPr>
              <w:spacing w:after="0"/>
              <w:rPr>
                <w:sz w:val="17"/>
                <w:szCs w:val="17"/>
                <w:color w:val="auto"/>
              </w:rPr>
            </w:pPr>
          </w:p>
        </w:tc>
        <w:tc>
          <w:tcPr>
            <w:tcW w:w="340" w:type="dxa"/>
            <w:vAlign w:val="bottom"/>
          </w:tcPr>
          <w:p>
            <w:pPr>
              <w:jc w:val="right"/>
              <w:ind w:right="15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2"/>
              <w:spacing w:after="0" w:line="198" w:lineRule="exact"/>
              <w:rPr>
                <w:sz w:val="20"/>
                <w:szCs w:val="20"/>
                <w:color w:val="auto"/>
              </w:rPr>
            </w:pPr>
            <w:r>
              <w:rPr>
                <w:rFonts w:ascii="Times New Roman" w:cs="Times New Roman" w:eastAsia="Times New Roman" w:hAnsi="Times New Roman"/>
                <w:sz w:val="18"/>
                <w:szCs w:val="18"/>
                <w:color w:val="auto"/>
              </w:rPr>
              <w:t>342,379</w:t>
            </w: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1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Losses and loss adjustment expenses</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i w:val="1"/>
                <w:iCs w:val="1"/>
                <w:color w:val="auto"/>
              </w:rPr>
              <w:t>(2.9)%</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w:t>
            </w:r>
          </w:p>
        </w:tc>
        <w:tc>
          <w:tcPr>
            <w:tcW w:w="0" w:type="dxa"/>
            <w:vAlign w:val="bottom"/>
          </w:tcPr>
          <w:p>
            <w:pPr>
              <w:spacing w:after="0"/>
              <w:rPr>
                <w:sz w:val="1"/>
                <w:szCs w:val="1"/>
                <w:color w:val="auto"/>
              </w:rPr>
            </w:pPr>
          </w:p>
        </w:tc>
      </w:tr>
      <w:tr>
        <w:trPr>
          <w:trHeight w:val="238"/>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excluding retroactive reinsurance</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(119,155)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(122,692)</w:t>
            </w:r>
          </w:p>
        </w:tc>
        <w:tc>
          <w:tcPr>
            <w:tcW w:w="1260" w:type="dxa"/>
            <w:vAlign w:val="bottom"/>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(233,206)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(237,373)</w:t>
            </w:r>
          </w:p>
        </w:tc>
        <w:tc>
          <w:tcPr>
            <w:tcW w:w="11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(42,819)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(48,899)</w:t>
            </w:r>
          </w:p>
        </w:tc>
        <w:tc>
          <w:tcPr>
            <w:tcW w:w="1260" w:type="dxa"/>
            <w:vAlign w:val="bottom"/>
            <w:tcBorders>
              <w:bottom w:val="single" w:sz="8" w:color="CCEEFF"/>
            </w:tcBorders>
          </w:tcPr>
          <w:p>
            <w:pPr>
              <w:jc w:val="right"/>
              <w:ind w:right="34"/>
              <w:spacing w:after="0"/>
              <w:rPr>
                <w:sz w:val="20"/>
                <w:szCs w:val="20"/>
                <w:color w:val="auto"/>
              </w:rPr>
            </w:pPr>
            <w:r>
              <w:rPr>
                <w:rFonts w:ascii="Times New Roman" w:cs="Times New Roman" w:eastAsia="Times New Roman" w:hAnsi="Times New Roman"/>
                <w:sz w:val="18"/>
                <w:szCs w:val="18"/>
                <w:i w:val="1"/>
                <w:iCs w:val="1"/>
                <w:color w:val="auto"/>
              </w:rPr>
              <w:t>(12.4)%</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(92,319)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(95,814)</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(3.6)%</w:t>
            </w:r>
          </w:p>
        </w:tc>
        <w:tc>
          <w:tcPr>
            <w:tcW w:w="0" w:type="dxa"/>
            <w:vAlign w:val="bottom"/>
          </w:tcPr>
          <w:p>
            <w:pPr>
              <w:spacing w:after="0"/>
              <w:rPr>
                <w:sz w:val="1"/>
                <w:szCs w:val="1"/>
                <w:color w:val="auto"/>
              </w:rPr>
            </w:pPr>
          </w:p>
        </w:tc>
      </w:tr>
      <w:tr>
        <w:trPr>
          <w:trHeight w:val="218"/>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Underwriting profit </w:t>
            </w:r>
            <w:r>
              <w:rPr>
                <w:rFonts w:ascii="Times New Roman" w:cs="Times New Roman" w:eastAsia="Times New Roman" w:hAnsi="Times New Roman"/>
                <w:sz w:val="14"/>
                <w:szCs w:val="14"/>
                <w:color w:val="auto"/>
              </w:rPr>
              <w:t>(1), (2)</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1,878</w:t>
            </w: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i w:val="1"/>
                <w:iCs w:val="1"/>
                <w:color w:val="auto"/>
              </w:rPr>
              <w:t>(35.1)%</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9,359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9,192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1.8 %</w:t>
            </w:r>
          </w:p>
        </w:tc>
        <w:tc>
          <w:tcPr>
            <w:tcW w:w="0" w:type="dxa"/>
            <w:vAlign w:val="bottom"/>
          </w:tcPr>
          <w:p>
            <w:pPr>
              <w:spacing w:after="0"/>
              <w:rPr>
                <w:sz w:val="1"/>
                <w:szCs w:val="1"/>
                <w:color w:val="auto"/>
              </w:rPr>
            </w:pPr>
          </w:p>
        </w:tc>
      </w:tr>
      <w:tr>
        <w:trPr>
          <w:trHeight w:val="172"/>
        </w:trPr>
        <w:tc>
          <w:tcPr>
            <w:tcW w:w="31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Losses and loss adjustment expenses -</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i w:val="1"/>
                <w:iCs w:val="1"/>
                <w:color w:val="auto"/>
              </w:rPr>
              <w:t>63.6 %</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right"/>
              <w:ind w:right="135"/>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38"/>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retroactive reinsurance</w:t>
            </w:r>
          </w:p>
        </w:tc>
        <w:tc>
          <w:tcPr>
            <w:tcW w:w="300" w:type="dxa"/>
            <w:vAlign w:val="bottom"/>
          </w:tcPr>
          <w:p>
            <w:pPr>
              <w:spacing w:after="0"/>
              <w:rPr>
                <w:sz w:val="20"/>
                <w:szCs w:val="20"/>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3,684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2,252</w:t>
            </w:r>
          </w:p>
        </w:tc>
        <w:tc>
          <w:tcPr>
            <w:tcW w:w="12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7,686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(9,448)</w:t>
            </w:r>
          </w:p>
        </w:tc>
        <w:tc>
          <w:tcPr>
            <w:tcW w:w="1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24,931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18,234</w:t>
            </w: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i w:val="1"/>
                <w:iCs w:val="1"/>
                <w:color w:val="auto"/>
              </w:rPr>
              <w:t>36.7 %</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47,563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36,659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29.7 %</w:t>
            </w:r>
          </w:p>
        </w:tc>
        <w:tc>
          <w:tcPr>
            <w:tcW w:w="0" w:type="dxa"/>
            <w:vAlign w:val="bottom"/>
          </w:tcPr>
          <w:p>
            <w:pPr>
              <w:spacing w:after="0"/>
              <w:rPr>
                <w:sz w:val="1"/>
                <w:szCs w:val="1"/>
                <w:color w:val="auto"/>
              </w:rPr>
            </w:pPr>
          </w:p>
        </w:tc>
      </w:tr>
      <w:tr>
        <w:trPr>
          <w:trHeight w:val="172"/>
        </w:trPr>
        <w:tc>
          <w:tcPr>
            <w:tcW w:w="31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Net realized and unrealized (losses) gains</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vMerge w:val="restart"/>
          </w:tcPr>
          <w:p>
            <w:pPr>
              <w:jc w:val="right"/>
              <w:ind w:right="234"/>
              <w:spacing w:after="0"/>
              <w:rPr>
                <w:sz w:val="20"/>
                <w:szCs w:val="20"/>
                <w:color w:val="auto"/>
              </w:rPr>
            </w:pPr>
            <w:r>
              <w:rPr>
                <w:rFonts w:ascii="Times New Roman" w:cs="Times New Roman" w:eastAsia="Times New Roman" w:hAnsi="Times New Roman"/>
                <w:sz w:val="18"/>
                <w:szCs w:val="18"/>
                <w:i w:val="1"/>
                <w:iCs w:val="1"/>
                <w:color w:val="auto"/>
              </w:rPr>
              <w:t>—</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28.3 %</w:t>
            </w:r>
          </w:p>
        </w:tc>
        <w:tc>
          <w:tcPr>
            <w:tcW w:w="0" w:type="dxa"/>
            <w:vAlign w:val="bottom"/>
          </w:tcPr>
          <w:p>
            <w:pPr>
              <w:spacing w:after="0"/>
              <w:rPr>
                <w:sz w:val="1"/>
                <w:szCs w:val="1"/>
                <w:color w:val="auto"/>
              </w:rPr>
            </w:pPr>
          </w:p>
        </w:tc>
      </w:tr>
      <w:tr>
        <w:trPr>
          <w:trHeight w:val="239"/>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 investments</w:t>
            </w:r>
          </w:p>
        </w:tc>
        <w:tc>
          <w:tcPr>
            <w:tcW w:w="300" w:type="dxa"/>
            <w:vAlign w:val="bottom"/>
          </w:tcPr>
          <w:p>
            <w:pPr>
              <w:spacing w:after="0"/>
              <w:rPr>
                <w:sz w:val="20"/>
                <w:szCs w:val="20"/>
                <w:color w:val="auto"/>
              </w:rPr>
            </w:pP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(2,305)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1,615</w:t>
            </w:r>
          </w:p>
        </w:tc>
        <w:tc>
          <w:tcPr>
            <w:tcW w:w="12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1,775</w:t>
            </w:r>
          </w:p>
        </w:tc>
        <w:tc>
          <w:tcPr>
            <w:tcW w:w="1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and expense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(53)</w:t>
            </w:r>
          </w:p>
        </w:tc>
        <w:tc>
          <w:tcPr>
            <w:tcW w:w="12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i w:val="1"/>
                <w:iCs w:val="1"/>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(468)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55.1 %</w:t>
            </w:r>
          </w:p>
        </w:tc>
        <w:tc>
          <w:tcPr>
            <w:tcW w:w="0" w:type="dxa"/>
            <w:vAlign w:val="bottom"/>
          </w:tcPr>
          <w:p>
            <w:pPr>
              <w:spacing w:after="0"/>
              <w:rPr>
                <w:sz w:val="1"/>
                <w:szCs w:val="1"/>
                <w:color w:val="auto"/>
              </w:rPr>
            </w:pPr>
          </w:p>
        </w:tc>
      </w:tr>
      <w:tr>
        <w:trPr>
          <w:trHeight w:val="225"/>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(6,344)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(5,997)</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i w:val="1"/>
                <w:iCs w:val="1"/>
                <w:color w:val="auto"/>
              </w:rPr>
              <w:t>5.8 %</w:t>
            </w:r>
          </w:p>
        </w:tc>
        <w:tc>
          <w:tcPr>
            <w:tcW w:w="320" w:type="dxa"/>
            <w:vAlign w:val="bottom"/>
          </w:tcPr>
          <w:p>
            <w:pPr>
              <w:spacing w:after="0"/>
              <w:rPr>
                <w:sz w:val="19"/>
                <w:szCs w:val="19"/>
                <w:color w:val="auto"/>
              </w:rPr>
            </w:pP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(12,829)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(11,580)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10.8 %</w:t>
            </w:r>
          </w:p>
        </w:tc>
        <w:tc>
          <w:tcPr>
            <w:tcW w:w="0" w:type="dxa"/>
            <w:vAlign w:val="bottom"/>
          </w:tcPr>
          <w:p>
            <w:pPr>
              <w:spacing w:after="0"/>
              <w:rPr>
                <w:sz w:val="1"/>
                <w:szCs w:val="1"/>
                <w:color w:val="auto"/>
              </w:rPr>
            </w:pPr>
          </w:p>
        </w:tc>
      </w:tr>
      <w:tr>
        <w:trPr>
          <w:trHeight w:val="225"/>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(91)</w:t>
            </w:r>
          </w:p>
        </w:tc>
        <w:tc>
          <w:tcPr>
            <w:tcW w:w="12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i w:val="1"/>
                <w:i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152"/>
        </w:trPr>
        <w:tc>
          <w:tcPr>
            <w:tcW w:w="3140" w:type="dxa"/>
            <w:vAlign w:val="bottom"/>
          </w:tcPr>
          <w:p>
            <w:pPr>
              <w:ind w:left="20"/>
              <w:spacing w:after="0" w:line="152" w:lineRule="exact"/>
              <w:rPr>
                <w:sz w:val="20"/>
                <w:szCs w:val="20"/>
                <w:color w:val="auto"/>
              </w:rPr>
            </w:pPr>
            <w:r>
              <w:rPr>
                <w:rFonts w:ascii="Times New Roman" w:cs="Times New Roman" w:eastAsia="Times New Roman" w:hAnsi="Times New Roman"/>
                <w:sz w:val="17"/>
                <w:szCs w:val="17"/>
                <w:color w:val="auto"/>
              </w:rPr>
              <w:t>Income from continuing operations before</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i w:val="1"/>
                <w:iCs w:val="1"/>
                <w:color w:val="auto"/>
              </w:rPr>
              <w:t>13.2 %</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104.8 %</w:t>
            </w:r>
          </w:p>
        </w:tc>
        <w:tc>
          <w:tcPr>
            <w:tcW w:w="0" w:type="dxa"/>
            <w:vAlign w:val="bottom"/>
          </w:tcPr>
          <w:p>
            <w:pPr>
              <w:spacing w:after="0"/>
              <w:rPr>
                <w:sz w:val="1"/>
                <w:szCs w:val="1"/>
                <w:color w:val="auto"/>
              </w:rPr>
            </w:pPr>
          </w:p>
        </w:tc>
      </w:tr>
      <w:tr>
        <w:trPr>
          <w:trHeight w:val="238"/>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300" w:type="dxa"/>
            <w:vAlign w:val="bottom"/>
          </w:tcPr>
          <w:p>
            <w:pPr>
              <w:spacing w:after="0"/>
              <w:rPr>
                <w:sz w:val="20"/>
                <w:szCs w:val="20"/>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20,189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17,838</w:t>
            </w:r>
          </w:p>
        </w:tc>
        <w:tc>
          <w:tcPr>
            <w:tcW w:w="12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53,149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25,948</w:t>
            </w:r>
          </w:p>
        </w:tc>
        <w:tc>
          <w:tcPr>
            <w:tcW w:w="1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31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Income tax expense on continuing</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i w:val="1"/>
                <w:iCs w:val="1"/>
                <w:color w:val="auto"/>
              </w:rPr>
              <w:t>— %</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78.0 %</w:t>
            </w:r>
          </w:p>
        </w:tc>
        <w:tc>
          <w:tcPr>
            <w:tcW w:w="0" w:type="dxa"/>
            <w:vAlign w:val="bottom"/>
          </w:tcPr>
          <w:p>
            <w:pPr>
              <w:spacing w:after="0"/>
              <w:rPr>
                <w:sz w:val="1"/>
                <w:szCs w:val="1"/>
                <w:color w:val="auto"/>
              </w:rPr>
            </w:pPr>
          </w:p>
        </w:tc>
      </w:tr>
      <w:tr>
        <w:trPr>
          <w:trHeight w:val="23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5,711</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5,709</w:t>
            </w:r>
          </w:p>
        </w:tc>
        <w:tc>
          <w:tcPr>
            <w:tcW w:w="1260" w:type="dxa"/>
            <w:vAlign w:val="bottom"/>
            <w:vMerge w:val="continue"/>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15,163</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8,517</w:t>
            </w:r>
          </w:p>
        </w:tc>
        <w:tc>
          <w:tcPr>
            <w:tcW w:w="11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00" w:type="dxa"/>
            <w:vAlign w:val="bottom"/>
          </w:tcPr>
          <w:p>
            <w:pPr>
              <w:spacing w:after="0"/>
              <w:rPr>
                <w:sz w:val="19"/>
                <w:szCs w:val="19"/>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14,478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12,129</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i w:val="1"/>
                <w:iCs w:val="1"/>
                <w:color w:val="auto"/>
              </w:rPr>
              <w:t>19.4 %</w:t>
            </w:r>
          </w:p>
        </w:tc>
        <w:tc>
          <w:tcPr>
            <w:tcW w:w="320" w:type="dxa"/>
            <w:vAlign w:val="bottom"/>
          </w:tcPr>
          <w:p>
            <w:pPr>
              <w:spacing w:after="0"/>
              <w:rPr>
                <w:sz w:val="19"/>
                <w:szCs w:val="19"/>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37,986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17,431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117.9 %</w:t>
            </w:r>
          </w:p>
        </w:tc>
        <w:tc>
          <w:tcPr>
            <w:tcW w:w="0" w:type="dxa"/>
            <w:vAlign w:val="bottom"/>
          </w:tcPr>
          <w:p>
            <w:pPr>
              <w:spacing w:after="0"/>
              <w:rPr>
                <w:sz w:val="1"/>
                <w:szCs w:val="1"/>
                <w:color w:val="auto"/>
              </w:rPr>
            </w:pPr>
          </w:p>
        </w:tc>
      </w:tr>
      <w:tr>
        <w:trPr>
          <w:trHeight w:val="172"/>
        </w:trPr>
        <w:tc>
          <w:tcPr>
            <w:tcW w:w="31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Net (loss) income from discontinued</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i w:val="1"/>
                <w:iCs w:val="1"/>
                <w:color w:val="auto"/>
              </w:rPr>
              <w:t>—</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38"/>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(6,853)</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3,785</w:t>
            </w:r>
          </w:p>
        </w:tc>
        <w:tc>
          <w:tcPr>
            <w:tcW w:w="1260" w:type="dxa"/>
            <w:vAlign w:val="bottom"/>
            <w:vMerge w:val="continue"/>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(14,958)</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5,489</w:t>
            </w:r>
          </w:p>
        </w:tc>
        <w:tc>
          <w:tcPr>
            <w:tcW w:w="10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19"/>
                <w:szCs w:val="19"/>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7,625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15,914</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i w:val="1"/>
                <w:iCs w:val="1"/>
                <w:color w:val="auto"/>
              </w:rPr>
              <w:t>(52.1)%</w:t>
            </w:r>
          </w:p>
        </w:tc>
        <w:tc>
          <w:tcPr>
            <w:tcW w:w="320" w:type="dxa"/>
            <w:vAlign w:val="bottom"/>
          </w:tcPr>
          <w:p>
            <w:pPr>
              <w:spacing w:after="0"/>
              <w:rPr>
                <w:sz w:val="19"/>
                <w:szCs w:val="19"/>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23,028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22,920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0.5 %</w:t>
            </w:r>
          </w:p>
        </w:tc>
        <w:tc>
          <w:tcPr>
            <w:tcW w:w="0" w:type="dxa"/>
            <w:vAlign w:val="bottom"/>
          </w:tcPr>
          <w:p>
            <w:pPr>
              <w:spacing w:after="0"/>
              <w:rPr>
                <w:sz w:val="1"/>
                <w:szCs w:val="1"/>
                <w:color w:val="auto"/>
              </w:rPr>
            </w:pPr>
          </w:p>
        </w:tc>
      </w:tr>
      <w:tr>
        <w:trPr>
          <w:trHeight w:val="225"/>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on Series A Preferred Shares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(2,625)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(2,625)</w:t>
            </w:r>
          </w:p>
        </w:tc>
        <w:tc>
          <w:tcPr>
            <w:tcW w:w="12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i w:val="1"/>
                <w:i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(5,250)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(5,250)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152"/>
        </w:trPr>
        <w:tc>
          <w:tcPr>
            <w:tcW w:w="3140" w:type="dxa"/>
            <w:vAlign w:val="bottom"/>
          </w:tcPr>
          <w:p>
            <w:pPr>
              <w:ind w:left="20"/>
              <w:spacing w:after="0" w:line="152" w:lineRule="exact"/>
              <w:rPr>
                <w:sz w:val="20"/>
                <w:szCs w:val="20"/>
                <w:color w:val="auto"/>
              </w:rPr>
            </w:pPr>
            <w:r>
              <w:rPr>
                <w:rFonts w:ascii="Times New Roman" w:cs="Times New Roman" w:eastAsia="Times New Roman" w:hAnsi="Times New Roman"/>
                <w:sz w:val="17"/>
                <w:szCs w:val="17"/>
                <w:color w:val="auto"/>
              </w:rPr>
              <w:t>Net income available to common</w:t>
            </w:r>
          </w:p>
        </w:tc>
        <w:tc>
          <w:tcPr>
            <w:tcW w:w="30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ind w:right="134"/>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3"/>
                <w:szCs w:val="13"/>
                <w:color w:val="auto"/>
              </w:rPr>
            </w:pPr>
          </w:p>
        </w:tc>
        <w:tc>
          <w:tcPr>
            <w:tcW w:w="360" w:type="dxa"/>
            <w:vAlign w:val="bottom"/>
            <w:vMerge w:val="restart"/>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rPr>
              <w:t>13,289</w:t>
            </w:r>
          </w:p>
        </w:tc>
        <w:tc>
          <w:tcPr>
            <w:tcW w:w="126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i w:val="1"/>
                <w:iCs w:val="1"/>
                <w:color w:val="auto"/>
              </w:rPr>
              <w:t>(62.4)%</w:t>
            </w:r>
          </w:p>
        </w:tc>
        <w:tc>
          <w:tcPr>
            <w:tcW w:w="32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ind w:right="134"/>
              <w:spacing w:after="0"/>
              <w:rPr>
                <w:sz w:val="20"/>
                <w:szCs w:val="20"/>
                <w:color w:val="auto"/>
              </w:rPr>
            </w:pPr>
            <w:r>
              <w:rPr>
                <w:rFonts w:ascii="Times New Roman" w:cs="Times New Roman" w:eastAsia="Times New Roman" w:hAnsi="Times New Roman"/>
                <w:sz w:val="18"/>
                <w:szCs w:val="18"/>
                <w:color w:val="auto"/>
              </w:rPr>
              <w:t>17,778</w:t>
            </w:r>
          </w:p>
        </w:tc>
        <w:tc>
          <w:tcPr>
            <w:tcW w:w="100" w:type="dxa"/>
            <w:vAlign w:val="bottom"/>
          </w:tcPr>
          <w:p>
            <w:pPr>
              <w:spacing w:after="0"/>
              <w:rPr>
                <w:sz w:val="13"/>
                <w:szCs w:val="13"/>
                <w:color w:val="auto"/>
              </w:rPr>
            </w:pPr>
          </w:p>
        </w:tc>
        <w:tc>
          <w:tcPr>
            <w:tcW w:w="340" w:type="dxa"/>
            <w:vAlign w:val="bottom"/>
            <w:vMerge w:val="restart"/>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17,670</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0.6 %</w:t>
            </w:r>
          </w:p>
        </w:tc>
        <w:tc>
          <w:tcPr>
            <w:tcW w:w="0" w:type="dxa"/>
            <w:vAlign w:val="bottom"/>
          </w:tcPr>
          <w:p>
            <w:pPr>
              <w:spacing w:after="0"/>
              <w:rPr>
                <w:sz w:val="1"/>
                <w:szCs w:val="1"/>
                <w:color w:val="auto"/>
              </w:rPr>
            </w:pPr>
          </w:p>
        </w:tc>
      </w:tr>
      <w:tr>
        <w:trPr>
          <w:trHeight w:val="217"/>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3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Adjusted net operating income </w:t>
            </w:r>
            <w:r>
              <w:rPr>
                <w:rFonts w:ascii="Times New Roman" w:cs="Times New Roman" w:eastAsia="Times New Roman" w:hAnsi="Times New Roman"/>
                <w:sz w:val="14"/>
                <w:szCs w:val="14"/>
                <w:color w:val="auto"/>
              </w:rPr>
              <w:t>(1)</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12,664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6,647</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i w:val="1"/>
                <w:iCs w:val="1"/>
                <w:color w:val="auto"/>
              </w:rPr>
              <w:t>90.5 %</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27,496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19,016</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44.6 %</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Ratios: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ratio</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70.7 %</w:t>
            </w: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 ratio</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Combined ratio</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98.9 %</w:t>
            </w: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Accident year loss ratio</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Underwriting profit and adjusted net operating income are non-GAAP measures. See “Reconciliation of Non-GAAP Measures.”</w:t>
      </w:r>
    </w:p>
    <w:p>
      <w:pPr>
        <w:spacing w:after="0" w:line="58" w:lineRule="exact"/>
        <w:rPr>
          <w:rFonts w:ascii="Times New Roman" w:cs="Times New Roman" w:eastAsia="Times New Roman" w:hAnsi="Times New Roman"/>
          <w:sz w:val="18"/>
          <w:szCs w:val="18"/>
          <w:i w:val="1"/>
          <w:iCs w:val="1"/>
          <w:color w:val="auto"/>
        </w:rPr>
      </w:pPr>
    </w:p>
    <w:p>
      <w:pPr>
        <w:ind w:left="640" w:right="140" w:hanging="316"/>
        <w:spacing w:after="0" w:line="276" w:lineRule="auto"/>
        <w:tabs>
          <w:tab w:leader="none" w:pos="634"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Included in underwriting results for the three and six months ended June 30, 2024 is gross fee income of $5.6 million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$10.9 million, respectively ($5.8 million and $11.5 million in the respective prior year periods).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2024 and 2023</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produced net income from continuing operations of $14.5 million for the three months ended June 30, 2024 compared to $12.1 million for the three months ended June 30, 2023. Adjusted net operating income was $12.7 million compared to $6.6 million in the respective prior year period.</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Underwriting profits were $1.2 million and $1.9 million (combined ratios of 99.3% and 98.9%) for the three months ended June 30, 2024 and 2023, respectively. The underwriting results for the respective periods were impacted by $1.2 million and $9.4 million of reinstatement premium in the Excess and Surplus Lines segment. The reinstatement premium reduced net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written and net earned premiums, and underwriting profit. The impact of the reinstatement premium was a 0.7 and 5.1 percentage point increase in our combined ratios in the respective quarters.</w:t>
      </w:r>
    </w:p>
    <w:p>
      <w:pPr>
        <w:spacing w:after="0" w:line="5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loss ratio for the three months ended June 30, 2024 was higher than the prior year period driven by net reserve development on prior accident years (excluding adverse prior year development on the legacy Rasier business subject to the commercial auto loss portfolio transfer and the impact of retroactive reinsurance - see discussion below) which was $10.7 million or 6.5 points adverse in the three months ended June 30, 2024 compared to $721,000 or 0.4 points favorable in the three months ended June 30, 2023. The impact of the higher adverse development on our loss ratio was partially offset by lower reinstatement premium which represented increases of 0.5 and 3.6 percentage points in the respective quarters.</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Reserve development of $10.7 million in the E&amp;S segment was primarily related to accident years 2017-2020 for the general liability and excess casualty lines of business. The unfavorable reserve development in the E&amp;S segment for this quarter included $9.7 million that will be subject to the combined loss portfolio transfer and adverse development cover reinsurance transaction ("E&amp;S LPT and ADC"). The E&amp;S LPT and ADC is effective January 1, 2024, but closed on July 2, 2024. As such, any applicable recoveries will be recognized in the third quarter of 2024.</w:t>
      </w:r>
    </w:p>
    <w:p>
      <w:pPr>
        <w:spacing w:after="0" w:line="7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expense ratio decreased from 28.2% in the prior year quarter to 26.3% in the current year quarter largely driven by lower reinstatement premium which represented increases of 1.5 and 0.2 percentage points in the respective quarters, and a lower expense ratio for our Specialty Admitted Insurance segment. The Specialty Admitted Insurance segment benefited from lower commissions due to sliding scale and other adjustments on certain programs in the current quarter, as well as lower expenses for compensation and taxes, licenses, and fees following the reductions to our workers' compensation book in the prior year including the non-renewal of a large California workers' compensation program and the sale of the renewal rights to the IRWC business which included the transfer of employees associated with the business.</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Investment income grew by $6.7 million or 36.7% in the three months ended June 30, 2024 compared to the same period in the prior year driven by higher yields on fixed maturities and bank loans. Net realized and unrealized (losses) gains on investments for the three months ended June 30, 2024 includes $1.8 million of adverse mark-to-market adjustments on our equity securities and bank loan participations reflecting decreases in their fair values in the period. This compares to $3.6 million of favorable mark-to-market adjustments on equity securities and bank loan participations in the prior year period (see </w:t>
      </w:r>
      <w:r>
        <w:rPr>
          <w:rFonts w:ascii="Times New Roman" w:cs="Times New Roman" w:eastAsia="Times New Roman" w:hAnsi="Times New Roman"/>
          <w:sz w:val="18"/>
          <w:szCs w:val="18"/>
          <w:i w:val="1"/>
          <w:iCs w:val="1"/>
          <w:color w:val="auto"/>
        </w:rPr>
        <w:t>Investing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Results </w:t>
      </w:r>
      <w:r>
        <w:rPr>
          <w:rFonts w:ascii="Times New Roman" w:cs="Times New Roman" w:eastAsia="Times New Roman" w:hAnsi="Times New Roman"/>
          <w:sz w:val="18"/>
          <w:szCs w:val="18"/>
          <w:color w:val="auto"/>
        </w:rPr>
        <w:t>below).</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 Company entered into a definitive agreement on November 8, 2023 to sell JRG Re. The sale closed on April 16, 2024 and discontinued operations for both periods include the operating results of JRG Re which were a loss of $5.7 million for the period April 1, 2024 to April 16, 2024 compared to income of $3.8 million in the three months ended June 30, 2023. Discontinued operations in the current quarter also includes $2.1 million of certain transaction-related expenses associated with the sale and a reduction in the estimated loss on sale which together resulted in a $1.2 million loss on disposal in the current period.</w:t>
      </w:r>
    </w:p>
    <w:p>
      <w:pPr>
        <w:spacing w:after="0" w:line="6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Adjusted net operating income was higher in the current year quarter primarily due to the higher investment income. Our adjusted net operating return on tangible equity was 10.4% for the three months ended June 30, 2024 compared to a 4.8% return for the three months ended June 30, 2023.</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and 2023</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produced net income from continuing operations of $38.0 million for the six months ended June 30, 2024 compared to $17.4 million for the six months ended June 30, 2023. Adjusted net operating income was $27.5 million compared to $19.0 million in the respective periods.</w:t>
      </w:r>
    </w:p>
    <w:p>
      <w:pPr>
        <w:spacing w:after="0" w:line="5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Underwriting profits were $9.4 million and $9.2 million (combined ratios of 97.2% and 97.3%) for the six months ended June 30, 2024 and 2023, respectively. Underwriting results for the six month periods include $1.2 million and $12.3 million of reinstatement premium in the Excess and Surplus Lines segment. The reinstatement premium reduced net written and net earned premiums, and underwriting profit. The impact of the reinstatement premium was a 0.3 and 3.4 percentage point increase in our combined ratios in the respective six month periods.</w:t>
      </w:r>
    </w:p>
    <w:p>
      <w:pPr>
        <w:spacing w:after="0" w:line="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loss ratios for the six month periods include net reserve development on prior accident years (excluding adverse prior year development on the legacy Rasier business subject to the commercial auto loss portfolio transfer and the impact of retroactive reinsurance - see discussion below) that was $10.3 million or 3.1 points adverse in the six months ended June 30, 2024 compared to $1.2 million or 0.4 points favorable in the six months ended June 30, 2023. The reinstatement premium also impacted the loss ratios reflecting increases of 0.2 and 2.4 percentage points in the respective six month periods.</w:t>
      </w:r>
    </w:p>
    <w:p>
      <w:pPr>
        <w:spacing w:after="0" w:line="74"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Reserve development of $10.7 million in the E&amp;S segment was primarily related to accident years 2017-2020 for the general liability and excess casualty lines of business. The unfavorable reserve development in the E&amp;S segment included $9.7 million that will be subject to the E&amp;S LPT and ADC.</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expense ratio decreased from 28.0% in the prior year to 27.6% in the current year reflecting the impact of reinstatement premium in the two periods (increases of 1.0 and 0.1 points, respectively) and a lower current year expense ratio for the Specialty Admitted Insurance segment driven by lower commissions and lower expenses for compensation and taxes, licenses, and fees (see discussion in three month section above).</w:t>
      </w:r>
    </w:p>
    <w:p>
      <w:pPr>
        <w:spacing w:after="0" w:line="7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Investment income grew by $10.9 million or 29.7% in the six months ended June 30, 2024 compared to the same period in the prior year driven by higher yields on fixed maturities and bank loans, as well as higher invested assets in our continuing operations following the commutation of an internal quota share arrangement with JRG Re in the second and third quarters of 2023. Interest expense was $1.2 million higher in the six months ended June 30, 2024 compared to the same period in the prior year driven by higher interest rates on our variable rate senior and trust preferred debt. The applicable rates on our debt reset periodically and are structured as SOFR plus a margin or spread.</w:t>
      </w:r>
    </w:p>
    <w:p>
      <w:pPr>
        <w:spacing w:after="0" w:line="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entered into a definitive agreement on November 8, 2023 to sell JRG Re. The sale closed on April 16, 2024 and discontinued operations for both periods include the operating results of JRG Re which were a loss of $13.6 million for the six months ended June 30, 2024 compared to income of $5.5 million in the six months ended June 30, 2023. The results for discontinued operations include net adverse development of $7.1 million and $4.9 million on treaties not subject to the Casualty Re loss portfolio transfer for the six months ended June 30, 2024 and 2023, respectively. Discontinued operations in the current year also includes $3.8 million of certain transaction-related expenses associated with the sale and a change in the estimate of the loss on sale which together resulted in a $1.4 million loss on disposal in the current year.</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Adjusted net operating income increased over the prior year reflecting the higher investment income partially offset by higher interest expense. Declines in tangible equity of 0.1% and tangible equity per share of 2.4% were modest in the current period as positive operating results were mostly offset by unrealized losses on fixed maturities in other comprehensive loss, dividends on both common and preferred shares, and the impact of retroactive reinsurance benefits. Our 11.3% adjusted net operating return on tangible equity for the six months ended June 30, 2024 compares to an 11.9% return for the six months ended June 30, 2023.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Auto Loss Portfolio Transfer</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September 27, 2021, James River Insurance Company and James River Casualty Company (together, “James River”) entered into a loss portfolio transfer transaction (the “Commercial Auto LPT”) with Aleka Insurance, Inc. (“Aleka”), a captive insurance company affiliate of Rasier LLC, to reinsure substantially all of the Excess and Surplus Lines segment's legacy portfolio of commercial auto policies previously issued to Rasier LLC and its affiliates (collectively, “Rasier”) for which James River is not otherwise indemnified by Rasier. The reinsurance coverage is structured to be fully collateralized, is not subject to an aggregate limit, and is subject to certain exclusions.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Retroactive Reinsurance Accounting</w:t>
      </w:r>
    </w:p>
    <w:p>
      <w:pPr>
        <w:spacing w:after="0" w:line="115" w:lineRule="exact"/>
        <w:rPr>
          <w:sz w:val="20"/>
          <w:szCs w:val="20"/>
          <w:color w:val="auto"/>
        </w:rPr>
      </w:pPr>
    </w:p>
    <w:p>
      <w:pPr>
        <w:jc w:val="both"/>
        <w:ind w:firstLine="358"/>
        <w:spacing w:after="0" w:line="251" w:lineRule="auto"/>
        <w:rPr>
          <w:sz w:val="20"/>
          <w:szCs w:val="20"/>
          <w:color w:val="auto"/>
        </w:rPr>
      </w:pPr>
      <w:r>
        <w:rPr>
          <w:rFonts w:ascii="Times New Roman" w:cs="Times New Roman" w:eastAsia="Times New Roman" w:hAnsi="Times New Roman"/>
          <w:sz w:val="18"/>
          <w:szCs w:val="18"/>
          <w:color w:val="auto"/>
        </w:rPr>
        <w:t>The Company periodically reevaluates the remaining reserves subject to the Commercial Auto LPT, and when recognized adverse prior year development on the subject business causes the cumulative amounts ceded under the loss portfolio transfer to exceed the consideration paid, the loss portfolio transfer moves into a gain position subject to retroactive reinsurance accounting under GAAP. Gains are deferred under retroactive reinsurance accounting and recognized in earnings in proportion to actual paid recoveries under the loss portfolio transfer using the recovery method. While the deferral of gains can introduce volatility in our results in the short-term, over the life of the contract, we would expect no economic impact to the Company as long as the counterparty performs under the contract. The impact of retroactive reinsurance accounting is not indicative of our current and ongoing operations.</w:t>
      </w:r>
    </w:p>
    <w:p>
      <w:pPr>
        <w:spacing w:after="0" w:line="7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For the three and six months ended June 30, 2024, due to adverse paid and reported loss trends on the legacy Rasier business, the Company recognized adverse prior year development of $1.4 million and $1.9 million, respectively ($12.6 million and $53.6 million in the respective prior year periods), on the net reserves subject to the Commercial Auto LPT, resulting in corresponding additional amounts ceded under the Commercial Auto LPT. As a result, the cumulative amounts ceded under the Commercial Auto LPT exceed the consideration paid, putting the Commercial Auto LPT into a gain position. The Company has applied retroactive reinsurance accounting to the loss portfolio transfer. Retroactive reinsurance benefits of $5.1 million and $9.6 million for the three and six months ended June 30, 2024, respectively ($14.8 million and $44.1 million in the respective prior year periods), were recorded in losses and loss adjustment expenses on the Condensed Consolidated Statements of Income and Comprehensive Income (Loss) using the recovery method. The cumulative amounts ceded under the loss portfolio transfer were $458.1 million and $456.2 million as of June 30, 2024 and December 31, 2023, respectively. The deferred retroactive reinsurance gain related to the Commercial Auto LPT separately presented on the Company's Condensed Consolidated Balance Sheets was $13.0 million and $20.7 million at June 30,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Insurance premiums are earned ratably over the terms of our insurance policies, generally twelve months. The following table summarizes the change in premium volume by component and business segment:</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0" w:type="dxa"/>
            <w:vAlign w:val="bottom"/>
            <w:vMerge w:val="restart"/>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0" w:type="dxa"/>
            <w:vAlign w:val="bottom"/>
            <w:tcBorders>
              <w:bottom w:val="single" w:sz="8" w:color="auto"/>
            </w:tcBorders>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292,836</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286,126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2.3 %</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506,527</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515,029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(1.7)%</w:t>
            </w:r>
          </w:p>
        </w:tc>
        <w:tc>
          <w:tcPr>
            <w:tcW w:w="0" w:type="dxa"/>
            <w:vAlign w:val="bottom"/>
          </w:tcPr>
          <w:p>
            <w:pPr>
              <w:spacing w:after="0"/>
              <w:rPr>
                <w:sz w:val="1"/>
                <w:szCs w:val="1"/>
                <w:color w:val="auto"/>
              </w:rPr>
            </w:pPr>
          </w:p>
        </w:tc>
      </w:tr>
      <w:tr>
        <w:trPr>
          <w:trHeight w:val="225"/>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136,924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261,475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(9.5)%</w:t>
            </w:r>
          </w:p>
        </w:tc>
        <w:tc>
          <w:tcPr>
            <w:tcW w:w="0" w:type="dxa"/>
            <w:vAlign w:val="bottom"/>
          </w:tcPr>
          <w:p>
            <w:pPr>
              <w:spacing w:after="0"/>
              <w:rPr>
                <w:sz w:val="1"/>
                <w:szCs w:val="1"/>
                <w:color w:val="auto"/>
              </w:rPr>
            </w:pPr>
          </w:p>
        </w:tc>
      </w:tr>
      <w:tr>
        <w:trPr>
          <w:trHeight w:val="218"/>
        </w:trPr>
        <w:tc>
          <w:tcPr>
            <w:tcW w:w="34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412,247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423,050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743,057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776,504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(4.3)%</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written premiums: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161,601</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175,377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(7.9)%</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279,026</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319,877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(12.8)%</w:t>
            </w:r>
          </w:p>
        </w:tc>
        <w:tc>
          <w:tcPr>
            <w:tcW w:w="0" w:type="dxa"/>
            <w:vAlign w:val="bottom"/>
          </w:tcPr>
          <w:p>
            <w:pPr>
              <w:spacing w:after="0"/>
              <w:rPr>
                <w:sz w:val="1"/>
                <w:szCs w:val="1"/>
                <w:color w:val="auto"/>
              </w:rPr>
            </w:pPr>
          </w:p>
        </w:tc>
      </w:tr>
      <w:tr>
        <w:trPr>
          <w:trHeight w:val="225"/>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(27.5)%</w:t>
            </w:r>
          </w:p>
        </w:tc>
        <w:tc>
          <w:tcPr>
            <w:tcW w:w="0" w:type="dxa"/>
            <w:vAlign w:val="bottom"/>
          </w:tcPr>
          <w:p>
            <w:pPr>
              <w:spacing w:after="0"/>
              <w:rPr>
                <w:sz w:val="1"/>
                <w:szCs w:val="1"/>
                <w:color w:val="auto"/>
              </w:rPr>
            </w:pPr>
          </w:p>
        </w:tc>
      </w:tr>
      <w:tr>
        <w:trPr>
          <w:trHeight w:val="218"/>
        </w:trPr>
        <w:tc>
          <w:tcPr>
            <w:tcW w:w="34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181,353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204,493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(11.3)%</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319,525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375,718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(15.0)%</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140,447</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149,611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(6.1)%</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286,070</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298,040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(4.0)%</w:t>
            </w:r>
          </w:p>
        </w:tc>
        <w:tc>
          <w:tcPr>
            <w:tcW w:w="0" w:type="dxa"/>
            <w:vAlign w:val="bottom"/>
          </w:tcPr>
          <w:p>
            <w:pPr>
              <w:spacing w:after="0"/>
              <w:rPr>
                <w:sz w:val="1"/>
                <w:szCs w:val="1"/>
                <w:color w:val="auto"/>
              </w:rPr>
            </w:pPr>
          </w:p>
        </w:tc>
      </w:tr>
      <w:tr>
        <w:trPr>
          <w:trHeight w:val="225"/>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10.1 %</w:t>
            </w:r>
          </w:p>
        </w:tc>
        <w:tc>
          <w:tcPr>
            <w:tcW w:w="0" w:type="dxa"/>
            <w:vAlign w:val="bottom"/>
          </w:tcPr>
          <w:p>
            <w:pPr>
              <w:spacing w:after="0"/>
              <w:rPr>
                <w:sz w:val="1"/>
                <w:szCs w:val="1"/>
                <w:color w:val="auto"/>
              </w:rPr>
            </w:pPr>
          </w:p>
        </w:tc>
      </w:tr>
      <w:tr>
        <w:trPr>
          <w:trHeight w:val="218"/>
        </w:trPr>
        <w:tc>
          <w:tcPr>
            <w:tcW w:w="34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163,193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173,469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(5.9)%</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334,884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342,379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(2.2)%</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Gross written premiums for the Excess and Surplus Lines segment (which represents 68.2% of our consolidated gross written premiums from continuing operations in the six months ended June 30, 2024) were 2.3% higher in the three months ended June 30, 2024 with growth in our casualty underwriting divisions of 5.3% compared to the prior year quarter, and led by General Casualty at 14.6%. Amid moderating rate increases and increased competition, we are remaining selective in our Excess Property portfolio, resulting in a gross written premium decline of 27.9% in that line of business. Year-to-date, gross written premiums for the Excess and Surplus Lines segment declined 1.7% primarily reflecting the non-renewal of a few larger accounts in the first quarter that did not meet our underwriting appetite. Submission growth for Core E&amp;S lines (excluding commercial auto) increased 6.4% over the prior year, but the number of bound policies declined 5.1% and average premium size decreased 13.4%. Renewal rates for the Excess and Surplus Lines segment were up 9.1% and 9.7% compared to the three and six months ended June 30, 2023, respectively. The change in gross written premiums was notable in several divisions as shown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40" w:type="dxa"/>
            <w:vAlign w:val="bottom"/>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0" w:type="dxa"/>
            <w:vAlign w:val="bottom"/>
            <w:gridSpan w:val="2"/>
            <w:vMerge w:val="restart"/>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80" w:type="dxa"/>
            <w:vAlign w:val="bottom"/>
          </w:tcPr>
          <w:p>
            <w:pPr>
              <w:spacing w:after="0"/>
              <w:rPr>
                <w:sz w:val="20"/>
                <w:szCs w:val="20"/>
                <w:color w:val="auto"/>
              </w:rPr>
            </w:pP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Casualty</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96,462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92,912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3.8 %</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166,292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174,306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Casualty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60,668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14.6 %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98,278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15.2 %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Manufacturers &amp; Contractors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89,055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Property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 Core E&amp;S divisions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3.1 %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98,500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97,710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0.8 %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Core E&amp;S divisions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279,049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494,394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501,437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Auto</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3.6 %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3400" w:type="dxa"/>
            <w:vAlign w:val="bottom"/>
          </w:tcPr>
          <w:p>
            <w:pPr>
              <w:ind w:left="20"/>
              <w:spacing w:after="0" w:line="152" w:lineRule="exact"/>
              <w:rPr>
                <w:sz w:val="20"/>
                <w:szCs w:val="20"/>
                <w:color w:val="auto"/>
              </w:rPr>
            </w:pPr>
            <w:r>
              <w:rPr>
                <w:rFonts w:ascii="Times New Roman" w:cs="Times New Roman" w:eastAsia="Times New Roman" w:hAnsi="Times New Roman"/>
                <w:sz w:val="17"/>
                <w:szCs w:val="17"/>
                <w:color w:val="auto"/>
              </w:rPr>
              <w:t>Excess and Surplus Lines gross written</w:t>
            </w:r>
          </w:p>
        </w:tc>
        <w:tc>
          <w:tcPr>
            <w:tcW w:w="30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292,836</w:t>
            </w:r>
          </w:p>
        </w:tc>
        <w:tc>
          <w:tcPr>
            <w:tcW w:w="120" w:type="dxa"/>
            <w:vAlign w:val="bottom"/>
          </w:tcPr>
          <w:p>
            <w:pPr>
              <w:spacing w:after="0"/>
              <w:rPr>
                <w:sz w:val="13"/>
                <w:szCs w:val="13"/>
                <w:color w:val="auto"/>
              </w:rPr>
            </w:pPr>
          </w:p>
        </w:tc>
        <w:tc>
          <w:tcPr>
            <w:tcW w:w="340" w:type="dxa"/>
            <w:vAlign w:val="bottom"/>
            <w:vMerge w:val="restart"/>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286,126</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2.3 %</w:t>
            </w:r>
          </w:p>
        </w:tc>
        <w:tc>
          <w:tcPr>
            <w:tcW w:w="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506,527</w:t>
            </w:r>
          </w:p>
        </w:tc>
        <w:tc>
          <w:tcPr>
            <w:tcW w:w="120" w:type="dxa"/>
            <w:vAlign w:val="bottom"/>
          </w:tcPr>
          <w:p>
            <w:pPr>
              <w:spacing w:after="0"/>
              <w:rPr>
                <w:sz w:val="13"/>
                <w:szCs w:val="13"/>
                <w:color w:val="auto"/>
              </w:rPr>
            </w:pPr>
          </w:p>
        </w:tc>
        <w:tc>
          <w:tcPr>
            <w:tcW w:w="32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515,029</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premium</w:t>
            </w:r>
          </w:p>
        </w:tc>
        <w:tc>
          <w:tcPr>
            <w:tcW w:w="3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400" w:type="dxa"/>
            <w:vAlign w:val="bottom"/>
            <w:tcBorders>
              <w:bottom w:val="single" w:sz="8" w:color="auto"/>
            </w:tcBorders>
            <w:gridSpan w:val="2"/>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5"/>
        </w:trPr>
        <w:tc>
          <w:tcPr>
            <w:tcW w:w="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45</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80" w:type="dxa"/>
            <w:vAlign w:val="bottom"/>
            <w:tcBorders>
              <w:bottom w:val="single" w:sz="8" w:color="9A9A9A"/>
            </w:tcBorders>
          </w:tcPr>
          <w:p>
            <w:pPr>
              <w:spacing w:after="0"/>
              <w:rPr>
                <w:sz w:val="9"/>
                <w:szCs w:val="9"/>
                <w:color w:val="auto"/>
              </w:rPr>
            </w:pPr>
          </w:p>
        </w:tc>
        <w:tc>
          <w:tcPr>
            <w:tcW w:w="34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components of gross written premiums for the Specialty Admitted Insurance segment (which represents 31.8% of our consolidated gross written premiums for the six months ended June 30, 2024) are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4"/>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0" w:type="dxa"/>
            <w:vAlign w:val="bottom"/>
            <w:vMerge w:val="restart"/>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gridSpan w:val="4"/>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0" w:type="dxa"/>
            <w:vAlign w:val="bottom"/>
            <w:gridSpan w:val="2"/>
            <w:vMerge w:val="restart"/>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3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0" w:type="dxa"/>
            <w:vAlign w:val="bottom"/>
            <w:tcBorders>
              <w:bottom w:val="single" w:sz="8" w:color="auto"/>
            </w:tcBorders>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Fronting and program premium</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118,074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125,524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233,230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237,107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w:t>
            </w:r>
          </w:p>
        </w:tc>
        <w:tc>
          <w:tcPr>
            <w:tcW w:w="0" w:type="dxa"/>
            <w:vAlign w:val="bottom"/>
          </w:tcPr>
          <w:p>
            <w:pPr>
              <w:spacing w:after="0"/>
              <w:rPr>
                <w:sz w:val="1"/>
                <w:szCs w:val="1"/>
                <w:color w:val="auto"/>
              </w:rPr>
            </w:pPr>
          </w:p>
        </w:tc>
      </w:tr>
      <w:tr>
        <w:trPr>
          <w:trHeight w:val="172"/>
        </w:trPr>
        <w:tc>
          <w:tcPr>
            <w:tcW w:w="34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Individual risk workers’ compensation</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(88.3)%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(86.5)%</w:t>
            </w:r>
          </w:p>
        </w:tc>
        <w:tc>
          <w:tcPr>
            <w:tcW w:w="0" w:type="dxa"/>
            <w:vAlign w:val="bottom"/>
          </w:tcPr>
          <w:p>
            <w:pPr>
              <w:spacing w:after="0"/>
              <w:rPr>
                <w:sz w:val="1"/>
                <w:szCs w:val="1"/>
                <w:color w:val="auto"/>
              </w:rPr>
            </w:pPr>
          </w:p>
        </w:tc>
      </w:tr>
      <w:tr>
        <w:trPr>
          <w:trHeight w:val="238"/>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premium</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1200" w:type="dxa"/>
            <w:vAlign w:val="bottom"/>
            <w:vMerge w:val="continue"/>
          </w:tcPr>
          <w:p>
            <w:pPr>
              <w:spacing w:after="0"/>
              <w:rPr>
                <w:sz w:val="20"/>
                <w:szCs w:val="20"/>
                <w:color w:val="auto"/>
              </w:rPr>
            </w:pPr>
          </w:p>
        </w:tc>
        <w:tc>
          <w:tcPr>
            <w:tcW w:w="40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24,368</w:t>
            </w:r>
          </w:p>
        </w:tc>
        <w:tc>
          <w:tcPr>
            <w:tcW w:w="12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Admitted gross written premium</w:t>
            </w: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136,924</w:t>
            </w:r>
          </w:p>
        </w:tc>
        <w:tc>
          <w:tcPr>
            <w:tcW w:w="1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(12.8)%</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236,530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261,475</w:t>
            </w:r>
          </w:p>
        </w:tc>
        <w:tc>
          <w:tcPr>
            <w:tcW w:w="1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(9.5)%</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fronting written premium decreased from the prior year driven by the non-renewal of a large California workers' compensation program in the prior year. Excluding the non-renewed program, our fronting written premium grew by 12.3% and 17.2% for the three and six months ended June 30, 2024, respectively. Our largest fronting relationship represented $53.8 million and $100.5 million (45.1% and 42.5%) of segment gross written premium for the three and six months ended June 30, 2024, respectively, compared to $46.2 million and $80.6 million (33.7% and 30.8%) for the three and six months ended June 30, 2023, respectively. Individual risk workers' compensation premium declined due to the sale of the renewal rights to that business in the prior year third quarter.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Retention</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net premium retention is summarized by segment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2"/>
        </w:trPr>
        <w:tc>
          <w:tcPr>
            <w:tcW w:w="5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2"/>
        </w:trPr>
        <w:tc>
          <w:tcPr>
            <w:tcW w:w="50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5"/>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8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55.2 %</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61.3 %</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55.1 %</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62.1 %</w:t>
            </w:r>
          </w:p>
        </w:tc>
      </w:tr>
      <w:tr>
        <w:trPr>
          <w:trHeight w:val="225"/>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17.1 %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21.4 %</w:t>
            </w:r>
          </w:p>
        </w:tc>
      </w:tr>
      <w:tr>
        <w:trPr>
          <w:trHeight w:val="225"/>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44.0 %</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48.3 %</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43.0 %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48.4 %</w:t>
            </w:r>
          </w:p>
        </w:tc>
      </w:tr>
    </w:tbl>
    <w:p>
      <w:pPr>
        <w:spacing w:after="0" w:line="16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Lower net premium retention for the Excess and Surplus Lines segment was primarily driven by the renewal of a quota share treaty, effective July 1, 2023, that increased premium cessions across all underwriting divisions other than Excess Casualty and resulted in lower retentions for the segment.</w:t>
      </w:r>
    </w:p>
    <w:p>
      <w:pPr>
        <w:spacing w:after="0" w:line="5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net premium retention for the Specialty Admitted Insurance segment decreased for the three and six months ended June 30, 2024 as fronting business, where we retain a much smaller percentage, represents a greater portion of the book following the sale of the renewal rights to the individual risk workers' compensation business in the prior year third quarter. The net retention on the fronting business was 16.0% and 16.4% for the three and six months ended June 30, 2024 compared to 16.5% and 16.0% for the three and six months ended June 30, 2023. Net retention on the individual risk workers' compensation business was 64.7% and 71.4% for the three and six months ended June 30, 2024 compared to 73.9% and 73.6% for the three and six months ended June 30, 2023.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our combined ratios by segment: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3"/>
          </w:tcPr>
          <w:p>
            <w:pPr>
              <w:jc w:val="center"/>
              <w:ind w:left="84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1"/>
        </w:trPr>
        <w:tc>
          <w:tcPr>
            <w:tcW w:w="50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Borders>
              <w:bottom w:val="single" w:sz="8" w:color="auto"/>
            </w:tcBorders>
            <w:gridSpan w:val="3"/>
          </w:tcPr>
          <w:p>
            <w:pPr>
              <w:jc w:val="center"/>
              <w:ind w:left="8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50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r>
      <w:tr>
        <w:trPr>
          <w:trHeight w:val="22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8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90.9 %</w:t>
            </w:r>
          </w:p>
        </w:tc>
        <w:tc>
          <w:tcPr>
            <w:tcW w:w="20" w:type="dxa"/>
            <w:vAlign w:val="bottom"/>
          </w:tcPr>
          <w:p>
            <w:pPr>
              <w:spacing w:after="0"/>
              <w:rPr>
                <w:sz w:val="19"/>
                <w:szCs w:val="19"/>
                <w:color w:val="auto"/>
              </w:rPr>
            </w:pPr>
          </w:p>
        </w:tc>
      </w:tr>
      <w:tr>
        <w:trPr>
          <w:trHeight w:val="225"/>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100.2 %</w:t>
            </w:r>
          </w:p>
        </w:tc>
        <w:tc>
          <w:tcPr>
            <w:tcW w:w="20" w:type="dxa"/>
            <w:vAlign w:val="bottom"/>
          </w:tcPr>
          <w:p>
            <w:pPr>
              <w:spacing w:after="0"/>
              <w:rPr>
                <w:sz w:val="19"/>
                <w:szCs w:val="19"/>
                <w:color w:val="auto"/>
              </w:rPr>
            </w:pPr>
          </w:p>
        </w:tc>
      </w:tr>
      <w:tr>
        <w:trPr>
          <w:trHeight w:val="225"/>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97.3 %</w:t>
            </w:r>
          </w:p>
        </w:tc>
        <w:tc>
          <w:tcPr>
            <w:tcW w:w="20" w:type="dxa"/>
            <w:vAlign w:val="bottom"/>
          </w:tcPr>
          <w:p>
            <w:pPr>
              <w:spacing w:after="0"/>
              <w:rPr>
                <w:sz w:val="19"/>
                <w:szCs w:val="19"/>
                <w:color w:val="auto"/>
              </w:rPr>
            </w:pPr>
          </w:p>
        </w:tc>
      </w:tr>
      <w:tr>
        <w:trPr>
          <w:trHeight w:val="955"/>
        </w:trPr>
        <w:tc>
          <w:tcPr>
            <w:tcW w:w="5920" w:type="dxa"/>
            <w:vAlign w:val="bottom"/>
            <w:gridSpan w:val="2"/>
          </w:tcPr>
          <w:p>
            <w:pPr>
              <w:jc w:val="right"/>
              <w:ind w:right="129"/>
              <w:spacing w:after="0"/>
              <w:rPr>
                <w:sz w:val="20"/>
                <w:szCs w:val="20"/>
                <w:color w:val="auto"/>
              </w:rPr>
            </w:pPr>
            <w:r>
              <w:rPr>
                <w:rFonts w:ascii="Times New Roman" w:cs="Times New Roman" w:eastAsia="Times New Roman" w:hAnsi="Times New Roman"/>
                <w:sz w:val="18"/>
                <w:szCs w:val="18"/>
                <w:color w:val="auto"/>
              </w:rPr>
              <w:t>46</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50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Excess and Surplus Lines Segment</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Results for the Excess and Surplus Lines segment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20" w:type="dxa"/>
            <w:vAlign w:val="bottom"/>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320" w:type="dxa"/>
            <w:vAlign w:val="bottom"/>
          </w:tcPr>
          <w:p>
            <w:pPr>
              <w:spacing w:after="0"/>
              <w:rPr>
                <w:sz w:val="13"/>
                <w:szCs w:val="13"/>
                <w:color w:val="auto"/>
              </w:rPr>
            </w:pPr>
          </w:p>
        </w:tc>
        <w:tc>
          <w:tcPr>
            <w:tcW w:w="2520" w:type="dxa"/>
            <w:vAlign w:val="bottom"/>
            <w:gridSpan w:val="4"/>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60" w:type="dxa"/>
            <w:vAlign w:val="bottom"/>
            <w:gridSpan w:val="2"/>
            <w:vMerge w:val="restart"/>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3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26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3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292,836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286,126</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i w:val="1"/>
                <w:iCs w:val="1"/>
                <w:color w:val="auto"/>
              </w:rPr>
              <w:t>2.3 %</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506,527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515,029</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written premiums</w:t>
            </w:r>
          </w:p>
        </w:tc>
        <w:tc>
          <w:tcPr>
            <w:tcW w:w="300" w:type="dxa"/>
            <w:vAlign w:val="bottom"/>
            <w:tcBorders>
              <w:bottom w:val="single" w:sz="8" w:color="auto"/>
            </w:tcBorders>
          </w:tcPr>
          <w:p>
            <w:pPr>
              <w:jc w:val="right"/>
              <w:ind w:right="11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38"/>
              <w:spacing w:after="0" w:line="198" w:lineRule="exact"/>
              <w:rPr>
                <w:sz w:val="20"/>
                <w:szCs w:val="20"/>
                <w:color w:val="auto"/>
              </w:rPr>
            </w:pPr>
            <w:r>
              <w:rPr>
                <w:rFonts w:ascii="Times New Roman" w:cs="Times New Roman" w:eastAsia="Times New Roman" w:hAnsi="Times New Roman"/>
                <w:sz w:val="18"/>
                <w:szCs w:val="18"/>
                <w:color w:val="auto"/>
              </w:rPr>
              <w:t>161,601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14"/>
              <w:spacing w:after="0" w:line="198" w:lineRule="exact"/>
              <w:rPr>
                <w:sz w:val="20"/>
                <w:szCs w:val="20"/>
                <w:color w:val="auto"/>
              </w:rPr>
            </w:pPr>
            <w:r>
              <w:rPr>
                <w:rFonts w:ascii="Times New Roman" w:cs="Times New Roman" w:eastAsia="Times New Roman" w:hAnsi="Times New Roman"/>
                <w:sz w:val="18"/>
                <w:szCs w:val="18"/>
                <w:color w:val="auto"/>
              </w:rPr>
              <w:t>175,377</w:t>
            </w:r>
          </w:p>
        </w:tc>
        <w:tc>
          <w:tcPr>
            <w:tcW w:w="1260" w:type="dxa"/>
            <w:vAlign w:val="bottom"/>
          </w:tcPr>
          <w:p>
            <w:pPr>
              <w:jc w:val="right"/>
              <w:ind w:right="38"/>
              <w:spacing w:after="0" w:line="198" w:lineRule="exact"/>
              <w:rPr>
                <w:sz w:val="20"/>
                <w:szCs w:val="20"/>
                <w:color w:val="auto"/>
              </w:rPr>
            </w:pPr>
            <w:r>
              <w:rPr>
                <w:rFonts w:ascii="Times New Roman" w:cs="Times New Roman" w:eastAsia="Times New Roman" w:hAnsi="Times New Roman"/>
                <w:sz w:val="18"/>
                <w:szCs w:val="18"/>
                <w:i w:val="1"/>
                <w:iCs w:val="1"/>
                <w:color w:val="auto"/>
              </w:rPr>
              <w:t>(7.9)%</w:t>
            </w:r>
          </w:p>
        </w:tc>
        <w:tc>
          <w:tcPr>
            <w:tcW w:w="320" w:type="dxa"/>
            <w:vAlign w:val="bottom"/>
            <w:tcBorders>
              <w:bottom w:val="single" w:sz="8" w:color="auto"/>
            </w:tcBorders>
          </w:tcPr>
          <w:p>
            <w:pPr>
              <w:jc w:val="right"/>
              <w:ind w:right="11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8"/>
              <w:spacing w:after="0" w:line="198" w:lineRule="exact"/>
              <w:rPr>
                <w:sz w:val="20"/>
                <w:szCs w:val="20"/>
                <w:color w:val="auto"/>
              </w:rPr>
            </w:pPr>
            <w:r>
              <w:rPr>
                <w:rFonts w:ascii="Times New Roman" w:cs="Times New Roman" w:eastAsia="Times New Roman" w:hAnsi="Times New Roman"/>
                <w:sz w:val="18"/>
                <w:szCs w:val="18"/>
                <w:color w:val="auto"/>
              </w:rPr>
              <w:t>279,026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4"/>
              <w:spacing w:after="0" w:line="198" w:lineRule="exact"/>
              <w:rPr>
                <w:sz w:val="20"/>
                <w:szCs w:val="20"/>
                <w:color w:val="auto"/>
              </w:rPr>
            </w:pPr>
            <w:r>
              <w:rPr>
                <w:rFonts w:ascii="Times New Roman" w:cs="Times New Roman" w:eastAsia="Times New Roman" w:hAnsi="Times New Roman"/>
                <w:sz w:val="18"/>
                <w:szCs w:val="18"/>
                <w:color w:val="auto"/>
              </w:rPr>
              <w:t>319,877</w:t>
            </w:r>
          </w:p>
        </w:tc>
        <w:tc>
          <w:tcPr>
            <w:tcW w:w="11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i w:val="1"/>
                <w:iCs w:val="1"/>
                <w:color w:val="auto"/>
              </w:rPr>
              <w:t>(12.8)%</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140,447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149,611</w:t>
            </w:r>
          </w:p>
        </w:tc>
        <w:tc>
          <w:tcPr>
            <w:tcW w:w="1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i w:val="1"/>
                <w:iCs w:val="1"/>
                <w:color w:val="auto"/>
              </w:rPr>
              <w:t>(6.1)%</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286,070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298,040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(4.0)%</w:t>
            </w:r>
          </w:p>
        </w:tc>
        <w:tc>
          <w:tcPr>
            <w:tcW w:w="0" w:type="dxa"/>
            <w:vAlign w:val="bottom"/>
          </w:tcPr>
          <w:p>
            <w:pPr>
              <w:spacing w:after="0"/>
              <w:rPr>
                <w:sz w:val="1"/>
                <w:szCs w:val="1"/>
                <w:color w:val="auto"/>
              </w:rPr>
            </w:pPr>
          </w:p>
        </w:tc>
      </w:tr>
      <w:tr>
        <w:trPr>
          <w:trHeight w:val="172"/>
        </w:trPr>
        <w:tc>
          <w:tcPr>
            <w:tcW w:w="31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Losses and loss adjustment expenses</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vMerge w:val="restart"/>
          </w:tcPr>
          <w:p>
            <w:pPr>
              <w:jc w:val="right"/>
              <w:ind w:right="38"/>
              <w:spacing w:after="0"/>
              <w:rPr>
                <w:sz w:val="20"/>
                <w:szCs w:val="20"/>
                <w:color w:val="auto"/>
              </w:rPr>
            </w:pPr>
            <w:r>
              <w:rPr>
                <w:rFonts w:ascii="Times New Roman" w:cs="Times New Roman" w:eastAsia="Times New Roman" w:hAnsi="Times New Roman"/>
                <w:sz w:val="18"/>
                <w:szCs w:val="18"/>
                <w:i w:val="1"/>
                <w:iCs w:val="1"/>
                <w:color w:val="auto"/>
              </w:rPr>
              <w:t>(3.4)%</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(4.5)%</w:t>
            </w:r>
          </w:p>
        </w:tc>
        <w:tc>
          <w:tcPr>
            <w:tcW w:w="0" w:type="dxa"/>
            <w:vAlign w:val="bottom"/>
          </w:tcPr>
          <w:p>
            <w:pPr>
              <w:spacing w:after="0"/>
              <w:rPr>
                <w:sz w:val="1"/>
                <w:szCs w:val="1"/>
                <w:color w:val="auto"/>
              </w:rPr>
            </w:pPr>
          </w:p>
        </w:tc>
      </w:tr>
      <w:tr>
        <w:trPr>
          <w:trHeight w:val="238"/>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excluding retroactive reinsurance</w:t>
            </w:r>
          </w:p>
        </w:tc>
        <w:tc>
          <w:tcPr>
            <w:tcW w:w="300" w:type="dxa"/>
            <w:vAlign w:val="bottom"/>
          </w:tcPr>
          <w:p>
            <w:pPr>
              <w:spacing w:after="0"/>
              <w:rPr>
                <w:sz w:val="20"/>
                <w:szCs w:val="20"/>
                <w:color w:val="auto"/>
              </w:rPr>
            </w:pPr>
          </w:p>
        </w:tc>
        <w:tc>
          <w:tcPr>
            <w:tcW w:w="106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(101,533)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(105,098)</w:t>
            </w:r>
          </w:p>
        </w:tc>
        <w:tc>
          <w:tcPr>
            <w:tcW w:w="12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(195,138)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(204,287)</w:t>
            </w:r>
          </w:p>
        </w:tc>
        <w:tc>
          <w:tcPr>
            <w:tcW w:w="1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(32,487)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(34,471)</w:t>
            </w:r>
          </w:p>
        </w:tc>
        <w:tc>
          <w:tcPr>
            <w:tcW w:w="1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i w:val="1"/>
                <w:iCs w:val="1"/>
                <w:color w:val="auto"/>
              </w:rPr>
              <w:t>(5.8)%</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(66,014)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(66,646)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(0.9)%</w:t>
            </w:r>
          </w:p>
        </w:tc>
        <w:tc>
          <w:tcPr>
            <w:tcW w:w="0" w:type="dxa"/>
            <w:vAlign w:val="bottom"/>
          </w:tcPr>
          <w:p>
            <w:pPr>
              <w:spacing w:after="0"/>
              <w:rPr>
                <w:sz w:val="1"/>
                <w:szCs w:val="1"/>
                <w:color w:val="auto"/>
              </w:rPr>
            </w:pPr>
          </w:p>
        </w:tc>
      </w:tr>
      <w:tr>
        <w:trPr>
          <w:trHeight w:val="218"/>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Underwriting profit </w:t>
            </w:r>
            <w:r>
              <w:rPr>
                <w:rFonts w:ascii="Times New Roman" w:cs="Times New Roman" w:eastAsia="Times New Roman" w:hAnsi="Times New Roman"/>
                <w:sz w:val="14"/>
                <w:szCs w:val="14"/>
                <w:i w:val="1"/>
                <w:iCs w:val="1"/>
                <w:color w:val="auto"/>
              </w:rPr>
              <w:t>(1)</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8"/>
                <w:szCs w:val="18"/>
                <w:color w:val="auto"/>
              </w:rPr>
              <w:t>6,427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10,042</w:t>
            </w: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8"/>
                <w:szCs w:val="18"/>
                <w:i w:val="1"/>
                <w:iCs w:val="1"/>
                <w:color w:val="auto"/>
              </w:rPr>
              <w:t>(36.0)%</w:t>
            </w: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8"/>
                <w:szCs w:val="18"/>
                <w:color w:val="auto"/>
              </w:rPr>
              <w:t>24,918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27,107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(8.1)%</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17715" cy="160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7715" cy="16002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Ratios: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ratio</w:t>
            </w:r>
          </w:p>
        </w:tc>
        <w:tc>
          <w:tcPr>
            <w:tcW w:w="206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72.3 %</w:t>
            </w:r>
          </w:p>
        </w:tc>
        <w:tc>
          <w:tcPr>
            <w:tcW w:w="2040" w:type="dxa"/>
            <w:vAlign w:val="bottom"/>
          </w:tcPr>
          <w:p>
            <w:pPr>
              <w:jc w:val="right"/>
              <w:ind w:right="952"/>
              <w:spacing w:after="0"/>
              <w:rPr>
                <w:sz w:val="20"/>
                <w:szCs w:val="20"/>
                <w:color w:val="auto"/>
              </w:rPr>
            </w:pPr>
            <w:r>
              <w:rPr>
                <w:rFonts w:ascii="Times New Roman" w:cs="Times New Roman" w:eastAsia="Times New Roman" w:hAnsi="Times New Roman"/>
                <w:sz w:val="18"/>
                <w:szCs w:val="18"/>
                <w:color w:val="auto"/>
              </w:rPr>
              <w:t>70.2 %</w:t>
            </w:r>
          </w:p>
        </w:tc>
        <w:tc>
          <w:tcPr>
            <w:tcW w:w="206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68.2 %</w:t>
            </w:r>
          </w:p>
        </w:tc>
        <w:tc>
          <w:tcPr>
            <w:tcW w:w="2160" w:type="dxa"/>
            <w:vAlign w:val="bottom"/>
          </w:tcPr>
          <w:p>
            <w:pPr>
              <w:jc w:val="right"/>
              <w:ind w:right="1092"/>
              <w:spacing w:after="0"/>
              <w:rPr>
                <w:sz w:val="20"/>
                <w:szCs w:val="20"/>
                <w:color w:val="auto"/>
              </w:rPr>
            </w:pPr>
            <w:r>
              <w:rPr>
                <w:rFonts w:ascii="Times New Roman" w:cs="Times New Roman" w:eastAsia="Times New Roman" w:hAnsi="Times New Roman"/>
                <w:sz w:val="18"/>
                <w:szCs w:val="18"/>
                <w:color w:val="auto"/>
              </w:rPr>
              <w:t>68.5 %</w:t>
            </w:r>
          </w:p>
        </w:tc>
      </w:tr>
      <w:tr>
        <w:trPr>
          <w:trHeight w:val="225"/>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Expense ratio</w:t>
            </w:r>
          </w:p>
        </w:tc>
        <w:tc>
          <w:tcPr>
            <w:tcW w:w="206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23.1 %</w:t>
            </w:r>
          </w:p>
        </w:tc>
        <w:tc>
          <w:tcPr>
            <w:tcW w:w="204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rPr>
              <w:t>23.1 %</w:t>
            </w:r>
          </w:p>
        </w:tc>
        <w:tc>
          <w:tcPr>
            <w:tcW w:w="206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23.1 %</w:t>
            </w:r>
          </w:p>
        </w:tc>
        <w:tc>
          <w:tcPr>
            <w:tcW w:w="2160" w:type="dxa"/>
            <w:vAlign w:val="bottom"/>
            <w:shd w:val="clear" w:color="auto" w:fill="CCEEFF"/>
          </w:tcPr>
          <w:p>
            <w:pPr>
              <w:jc w:val="right"/>
              <w:ind w:right="1092"/>
              <w:spacing w:after="0"/>
              <w:rPr>
                <w:sz w:val="20"/>
                <w:szCs w:val="20"/>
                <w:color w:val="auto"/>
              </w:rPr>
            </w:pPr>
            <w:r>
              <w:rPr>
                <w:rFonts w:ascii="Times New Roman" w:cs="Times New Roman" w:eastAsia="Times New Roman" w:hAnsi="Times New Roman"/>
                <w:sz w:val="18"/>
                <w:szCs w:val="18"/>
                <w:color w:val="auto"/>
              </w:rPr>
              <w:t>22.4 %</w:t>
            </w:r>
          </w:p>
        </w:tc>
      </w:tr>
      <w:tr>
        <w:trPr>
          <w:trHeight w:val="225"/>
        </w:trPr>
        <w:tc>
          <w:tcPr>
            <w:tcW w:w="2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Combined ratio</w:t>
            </w:r>
          </w:p>
        </w:tc>
        <w:tc>
          <w:tcPr>
            <w:tcW w:w="206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95.4 %</w:t>
            </w:r>
          </w:p>
        </w:tc>
        <w:tc>
          <w:tcPr>
            <w:tcW w:w="2040" w:type="dxa"/>
            <w:vAlign w:val="bottom"/>
          </w:tcPr>
          <w:p>
            <w:pPr>
              <w:jc w:val="right"/>
              <w:ind w:right="952"/>
              <w:spacing w:after="0"/>
              <w:rPr>
                <w:sz w:val="20"/>
                <w:szCs w:val="20"/>
                <w:color w:val="auto"/>
              </w:rPr>
            </w:pPr>
            <w:r>
              <w:rPr>
                <w:rFonts w:ascii="Times New Roman" w:cs="Times New Roman" w:eastAsia="Times New Roman" w:hAnsi="Times New Roman"/>
                <w:sz w:val="18"/>
                <w:szCs w:val="18"/>
                <w:color w:val="auto"/>
              </w:rPr>
              <w:t>93.3 %</w:t>
            </w:r>
          </w:p>
        </w:tc>
        <w:tc>
          <w:tcPr>
            <w:tcW w:w="206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91.3 %</w:t>
            </w:r>
          </w:p>
        </w:tc>
        <w:tc>
          <w:tcPr>
            <w:tcW w:w="2160" w:type="dxa"/>
            <w:vAlign w:val="bottom"/>
          </w:tcPr>
          <w:p>
            <w:pPr>
              <w:jc w:val="right"/>
              <w:ind w:right="1092"/>
              <w:spacing w:after="0"/>
              <w:rPr>
                <w:sz w:val="20"/>
                <w:szCs w:val="20"/>
                <w:color w:val="auto"/>
              </w:rPr>
            </w:pPr>
            <w:r>
              <w:rPr>
                <w:rFonts w:ascii="Times New Roman" w:cs="Times New Roman" w:eastAsia="Times New Roman" w:hAnsi="Times New Roman"/>
                <w:sz w:val="18"/>
                <w:szCs w:val="18"/>
                <w:color w:val="auto"/>
              </w:rPr>
              <w:t>90.9 %</w:t>
            </w:r>
          </w:p>
        </w:tc>
      </w:tr>
      <w:tr>
        <w:trPr>
          <w:trHeight w:val="225"/>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Accident year loss ratio</w:t>
            </w:r>
          </w:p>
        </w:tc>
        <w:tc>
          <w:tcPr>
            <w:tcW w:w="206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64.2 %</w:t>
            </w:r>
          </w:p>
        </w:tc>
        <w:tc>
          <w:tcPr>
            <w:tcW w:w="204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rPr>
              <w:t>66.0 %</w:t>
            </w:r>
          </w:p>
        </w:tc>
        <w:tc>
          <w:tcPr>
            <w:tcW w:w="206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64.2 %</w:t>
            </w:r>
          </w:p>
        </w:tc>
        <w:tc>
          <w:tcPr>
            <w:tcW w:w="2160" w:type="dxa"/>
            <w:vAlign w:val="bottom"/>
            <w:shd w:val="clear" w:color="auto" w:fill="CCEEFF"/>
          </w:tcPr>
          <w:p>
            <w:pPr>
              <w:jc w:val="right"/>
              <w:ind w:right="1092"/>
              <w:spacing w:after="0"/>
              <w:rPr>
                <w:sz w:val="20"/>
                <w:szCs w:val="20"/>
                <w:color w:val="auto"/>
              </w:rPr>
            </w:pPr>
            <w:r>
              <w:rPr>
                <w:rFonts w:ascii="Times New Roman" w:cs="Times New Roman" w:eastAsia="Times New Roman" w:hAnsi="Times New Roman"/>
                <w:sz w:val="18"/>
                <w:szCs w:val="18"/>
                <w:color w:val="auto"/>
              </w:rPr>
              <w:t>65.9 %</w:t>
            </w:r>
          </w:p>
        </w:tc>
      </w:tr>
    </w:tbl>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(1) Underwriting Profit is a non-GAAP Measure. See “Reconciliation of Non-GAAP Measures.”</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Excess and Surplus Lines segment produced underwriting profits of $6.4 million and $10.0 million (combined ratios of 95.4% and 93.3%) in the three months ended June 30, 2024 and 2023, respectively. The underwriting results for the respective periods were impacted by $1.2 million and $9.4 million of reinstatement premium which reduced net written and net earned premiums, and underwriting profit. The impact of the reinstatement premium was a 0.8 and 5.5 percentage point increase in our combined ratios in the respective quarters.</w:t>
      </w:r>
    </w:p>
    <w:p>
      <w:pPr>
        <w:spacing w:after="0" w:line="7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loss ratio for the three months ended June 30, 2024 was higher than the prior year period driven by net reserve development on prior accident years (excluding adverse prior year development on the legacy Rasier business subject to the commercial auto loss portfolio transfer and the impact of retroactive reinsurance - see discussion above) which was $10.7 million or 7.6 percentage points adverse in the three months ended June 30, 2024 compared to $118,000 or 0.1 percentage points adverse in the three months ended June 30, 2023. The impact of the higher adverse development on our loss ratio was partially offset by lower reinstatement premium which represented increases of 0.6 and 4.1 percentage points in the respective quarters.</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unfavorable reserve development in the E&amp;S segment for the quarter included $9.7 million that is subject to the E&amp;S LPT and ADC. The E&amp;S LPT and ADC is effective January 1, 2024, but closed on July 2, 2024. As such, any applicable recoveries will be recognized in the third quarter of 2024.</w:t>
      </w:r>
    </w:p>
    <w:p>
      <w:pPr>
        <w:spacing w:after="0" w:line="5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the six months ended June 30, 2024 and 2023, segment underwriting profit was $24.9 million and $27.1 million (combined ratios of 91.3% and 90.9%), respectively. Underwriting results for the six month periods include $1.2 million and $12.3 million of reinstatement premium which reduced net written and net earned premiums, and underwriting profit. The impact of the reinstatement premium was a 0.4 and 3.6 percentage point increase in our combined ratios in the respective six month periods.</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 loss ratios for the six month periods include net reserve development on prior accident years (excluding adverse prior year development on the legacy Rasier business subject to the commercial auto loss portfolio transfer and the impact of retroactive reinsurance - see discussion above) that was $10.7 million or 3.7 percentage points adverse in the six months ended June 30, 2024 compared to $206,000 or 0.1 percentage points favorable in the six months ended June 30, 2023. The reinstatement premium also impacted the loss ratios reflecting increases of 0.3 and 2.7 percentage points in the respective six month periods.</w:t>
      </w:r>
    </w:p>
    <w:p>
      <w:pPr>
        <w:spacing w:after="0" w:line="6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six-month expense ratio increased from 22.4% in the prior year to 23.1% in the current year reflecting the impact of reinstatement premium in the two periods (increases of 0.9 and 0.1 points, respectively) and a higher current year expense ratio mainly due to higher compensation costs.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Specialty Admitted Insurance Segment</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Results for the Specialty Admitted Insurance segment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00" w:type="dxa"/>
            <w:vAlign w:val="bottom"/>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340" w:type="dxa"/>
            <w:vAlign w:val="bottom"/>
          </w:tcPr>
          <w:p>
            <w:pPr>
              <w:spacing w:after="0"/>
              <w:rPr>
                <w:sz w:val="13"/>
                <w:szCs w:val="13"/>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3"/>
                <w:szCs w:val="13"/>
                <w:color w:val="auto"/>
              </w:rPr>
            </w:pPr>
          </w:p>
        </w:tc>
        <w:tc>
          <w:tcPr>
            <w:tcW w:w="1160" w:type="dxa"/>
            <w:vAlign w:val="bottom"/>
            <w:gridSpan w:val="2"/>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3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26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3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119,411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136,924</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i w:val="1"/>
                <w:iCs w:val="1"/>
                <w:color w:val="auto"/>
              </w:rPr>
              <w:t>(12.8)%</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236,530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261,475</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(9.5)%</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written premiums</w:t>
            </w:r>
          </w:p>
        </w:tc>
        <w:tc>
          <w:tcPr>
            <w:tcW w:w="320" w:type="dxa"/>
            <w:vAlign w:val="bottom"/>
            <w:tcBorders>
              <w:bottom w:val="single" w:sz="8" w:color="auto"/>
            </w:tcBorders>
          </w:tcPr>
          <w:p>
            <w:pPr>
              <w:jc w:val="right"/>
              <w:ind w:right="13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38"/>
              <w:spacing w:after="0" w:line="198" w:lineRule="exact"/>
              <w:rPr>
                <w:sz w:val="20"/>
                <w:szCs w:val="20"/>
                <w:color w:val="auto"/>
              </w:rPr>
            </w:pPr>
            <w:r>
              <w:rPr>
                <w:rFonts w:ascii="Times New Roman" w:cs="Times New Roman" w:eastAsia="Times New Roman" w:hAnsi="Times New Roman"/>
                <w:sz w:val="18"/>
                <w:szCs w:val="18"/>
                <w:color w:val="auto"/>
              </w:rPr>
              <w:t>19,752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14"/>
              <w:spacing w:after="0" w:line="198" w:lineRule="exact"/>
              <w:rPr>
                <w:sz w:val="20"/>
                <w:szCs w:val="20"/>
                <w:color w:val="auto"/>
              </w:rPr>
            </w:pPr>
            <w:r>
              <w:rPr>
                <w:rFonts w:ascii="Times New Roman" w:cs="Times New Roman" w:eastAsia="Times New Roman" w:hAnsi="Times New Roman"/>
                <w:sz w:val="18"/>
                <w:szCs w:val="18"/>
                <w:color w:val="auto"/>
              </w:rPr>
              <w:t>29,116</w:t>
            </w:r>
          </w:p>
        </w:tc>
        <w:tc>
          <w:tcPr>
            <w:tcW w:w="1260" w:type="dxa"/>
            <w:vAlign w:val="bottom"/>
          </w:tcPr>
          <w:p>
            <w:pPr>
              <w:jc w:val="right"/>
              <w:ind w:right="38"/>
              <w:spacing w:after="0" w:line="198" w:lineRule="exact"/>
              <w:rPr>
                <w:sz w:val="20"/>
                <w:szCs w:val="20"/>
                <w:color w:val="auto"/>
              </w:rPr>
            </w:pPr>
            <w:r>
              <w:rPr>
                <w:rFonts w:ascii="Times New Roman" w:cs="Times New Roman" w:eastAsia="Times New Roman" w:hAnsi="Times New Roman"/>
                <w:sz w:val="18"/>
                <w:szCs w:val="18"/>
                <w:i w:val="1"/>
                <w:iCs w:val="1"/>
                <w:color w:val="auto"/>
              </w:rPr>
              <w:t>(32.2)%</w:t>
            </w:r>
          </w:p>
        </w:tc>
        <w:tc>
          <w:tcPr>
            <w:tcW w:w="340" w:type="dxa"/>
            <w:vAlign w:val="bottom"/>
            <w:tcBorders>
              <w:bottom w:val="single" w:sz="8" w:color="auto"/>
            </w:tcBorders>
          </w:tcPr>
          <w:p>
            <w:pPr>
              <w:jc w:val="right"/>
              <w:ind w:right="13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8"/>
              <w:spacing w:after="0" w:line="198" w:lineRule="exact"/>
              <w:rPr>
                <w:sz w:val="20"/>
                <w:szCs w:val="20"/>
                <w:color w:val="auto"/>
              </w:rPr>
            </w:pPr>
            <w:r>
              <w:rPr>
                <w:rFonts w:ascii="Times New Roman" w:cs="Times New Roman" w:eastAsia="Times New Roman" w:hAnsi="Times New Roman"/>
                <w:sz w:val="18"/>
                <w:szCs w:val="18"/>
                <w:color w:val="auto"/>
              </w:rPr>
              <w:t>40,499</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3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134"/>
              <w:spacing w:after="0" w:line="198" w:lineRule="exact"/>
              <w:rPr>
                <w:sz w:val="20"/>
                <w:szCs w:val="20"/>
                <w:color w:val="auto"/>
              </w:rPr>
            </w:pPr>
            <w:r>
              <w:rPr>
                <w:rFonts w:ascii="Times New Roman" w:cs="Times New Roman" w:eastAsia="Times New Roman" w:hAnsi="Times New Roman"/>
                <w:sz w:val="18"/>
                <w:szCs w:val="18"/>
                <w:color w:val="auto"/>
              </w:rPr>
              <w:t>55,841</w:t>
            </w:r>
          </w:p>
        </w:tc>
        <w:tc>
          <w:tcPr>
            <w:tcW w:w="11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i w:val="1"/>
                <w:iCs w:val="1"/>
                <w:color w:val="auto"/>
              </w:rPr>
              <w:t>(27.5)%</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22,746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23,858</w:t>
            </w:r>
          </w:p>
        </w:tc>
        <w:tc>
          <w:tcPr>
            <w:tcW w:w="1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i w:val="1"/>
                <w:iCs w:val="1"/>
                <w:color w:val="auto"/>
              </w:rPr>
              <w:t>(4.7)%</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48,814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44,339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10.1 %</w:t>
            </w:r>
          </w:p>
        </w:tc>
        <w:tc>
          <w:tcPr>
            <w:tcW w:w="0" w:type="dxa"/>
            <w:vAlign w:val="bottom"/>
          </w:tcPr>
          <w:p>
            <w:pPr>
              <w:spacing w:after="0"/>
              <w:rPr>
                <w:sz w:val="1"/>
                <w:szCs w:val="1"/>
                <w:color w:val="auto"/>
              </w:rPr>
            </w:pPr>
          </w:p>
        </w:tc>
      </w:tr>
      <w:tr>
        <w:trPr>
          <w:trHeight w:val="225"/>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20" w:type="dxa"/>
            <w:vAlign w:val="bottom"/>
          </w:tcPr>
          <w:p>
            <w:pPr>
              <w:spacing w:after="0"/>
              <w:rPr>
                <w:sz w:val="19"/>
                <w:szCs w:val="19"/>
                <w:color w:val="auto"/>
              </w:rPr>
            </w:pPr>
          </w:p>
        </w:tc>
        <w:tc>
          <w:tcPr>
            <w:tcW w:w="104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(17,622)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(17,594)</w:t>
            </w: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8"/>
                <w:szCs w:val="18"/>
                <w:i w:val="1"/>
                <w:iCs w:val="1"/>
                <w:color w:val="auto"/>
              </w:rPr>
              <w:t>0.2 %</w:t>
            </w:r>
          </w:p>
        </w:tc>
        <w:tc>
          <w:tcPr>
            <w:tcW w:w="340" w:type="dxa"/>
            <w:vAlign w:val="bottom"/>
          </w:tcPr>
          <w:p>
            <w:pPr>
              <w:spacing w:after="0"/>
              <w:rPr>
                <w:sz w:val="19"/>
                <w:szCs w:val="19"/>
                <w:color w:val="auto"/>
              </w:rPr>
            </w:pPr>
          </w:p>
        </w:tc>
        <w:tc>
          <w:tcPr>
            <w:tcW w:w="104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(38,068)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(33,086)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15.1 %</w:t>
            </w:r>
          </w:p>
        </w:tc>
        <w:tc>
          <w:tcPr>
            <w:tcW w:w="0" w:type="dxa"/>
            <w:vAlign w:val="bottom"/>
          </w:tcPr>
          <w:p>
            <w:pPr>
              <w:spacing w:after="0"/>
              <w:rPr>
                <w:sz w:val="1"/>
                <w:szCs w:val="1"/>
                <w:color w:val="auto"/>
              </w:rPr>
            </w:pPr>
          </w:p>
        </w:tc>
      </w:tr>
      <w:tr>
        <w:trPr>
          <w:trHeight w:val="225"/>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(5,880)</w:t>
            </w:r>
          </w:p>
        </w:tc>
        <w:tc>
          <w:tcPr>
            <w:tcW w:w="1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i w:val="1"/>
                <w:iCs w:val="1"/>
                <w:color w:val="auto"/>
              </w:rPr>
              <w:t>(71.0)%</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(6,544)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(11,338)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(42.3)%</w:t>
            </w:r>
          </w:p>
        </w:tc>
        <w:tc>
          <w:tcPr>
            <w:tcW w:w="0" w:type="dxa"/>
            <w:vAlign w:val="bottom"/>
          </w:tcPr>
          <w:p>
            <w:pPr>
              <w:spacing w:after="0"/>
              <w:rPr>
                <w:sz w:val="1"/>
                <w:szCs w:val="1"/>
                <w:color w:val="auto"/>
              </w:rPr>
            </w:pPr>
          </w:p>
        </w:tc>
      </w:tr>
      <w:tr>
        <w:trPr>
          <w:trHeight w:val="218"/>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Underwriting profit (loss) </w:t>
            </w:r>
            <w:r>
              <w:rPr>
                <w:rFonts w:ascii="Times New Roman" w:cs="Times New Roman" w:eastAsia="Times New Roman" w:hAnsi="Times New Roman"/>
                <w:sz w:val="14"/>
                <w:szCs w:val="14"/>
                <w:i w:val="1"/>
                <w:iCs w:val="1"/>
                <w:color w:val="auto"/>
              </w:rPr>
              <w:t>(1), (2)</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8"/>
                <w:szCs w:val="18"/>
                <w:color w:val="auto"/>
              </w:rPr>
              <w:t>3,416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384</w:t>
            </w: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8"/>
                <w:szCs w:val="18"/>
                <w:i w:val="1"/>
                <w:iCs w:val="1"/>
                <w:color w:val="auto"/>
              </w:rPr>
              <w:t>789.6 %</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8"/>
                <w:szCs w:val="18"/>
                <w:color w:val="auto"/>
              </w:rPr>
              <w:t>4,202</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1060" w:type="dxa"/>
            <w:vAlign w:val="bottom"/>
          </w:tcPr>
          <w:p>
            <w:pPr>
              <w:jc w:val="right"/>
              <w:ind w:right="141"/>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17715" cy="1600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7715" cy="16002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Ratios: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ratio</w:t>
            </w:r>
          </w:p>
        </w:tc>
        <w:tc>
          <w:tcPr>
            <w:tcW w:w="206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77.5 %</w:t>
            </w:r>
          </w:p>
        </w:tc>
        <w:tc>
          <w:tcPr>
            <w:tcW w:w="2040" w:type="dxa"/>
            <w:vAlign w:val="bottom"/>
          </w:tcPr>
          <w:p>
            <w:pPr>
              <w:jc w:val="right"/>
              <w:ind w:right="952"/>
              <w:spacing w:after="0"/>
              <w:rPr>
                <w:sz w:val="20"/>
                <w:szCs w:val="20"/>
                <w:color w:val="auto"/>
              </w:rPr>
            </w:pPr>
            <w:r>
              <w:rPr>
                <w:rFonts w:ascii="Times New Roman" w:cs="Times New Roman" w:eastAsia="Times New Roman" w:hAnsi="Times New Roman"/>
                <w:sz w:val="18"/>
                <w:szCs w:val="18"/>
                <w:color w:val="auto"/>
              </w:rPr>
              <w:t>73.7 %</w:t>
            </w:r>
          </w:p>
        </w:tc>
        <w:tc>
          <w:tcPr>
            <w:tcW w:w="20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78.0 %</w:t>
            </w:r>
          </w:p>
        </w:tc>
        <w:tc>
          <w:tcPr>
            <w:tcW w:w="2200" w:type="dxa"/>
            <w:vAlign w:val="bottom"/>
          </w:tcPr>
          <w:p>
            <w:pPr>
              <w:jc w:val="right"/>
              <w:ind w:right="1092"/>
              <w:spacing w:after="0"/>
              <w:rPr>
                <w:sz w:val="20"/>
                <w:szCs w:val="20"/>
                <w:color w:val="auto"/>
              </w:rPr>
            </w:pPr>
            <w:r>
              <w:rPr>
                <w:rFonts w:ascii="Times New Roman" w:cs="Times New Roman" w:eastAsia="Times New Roman" w:hAnsi="Times New Roman"/>
                <w:sz w:val="18"/>
                <w:szCs w:val="18"/>
                <w:color w:val="auto"/>
              </w:rPr>
              <w:t>74.6 %</w:t>
            </w:r>
          </w:p>
        </w:tc>
      </w:tr>
      <w:tr>
        <w:trPr>
          <w:trHeight w:val="225"/>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Expense ratio</w:t>
            </w:r>
          </w:p>
        </w:tc>
        <w:tc>
          <w:tcPr>
            <w:tcW w:w="206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7.5 %</w:t>
            </w:r>
          </w:p>
        </w:tc>
        <w:tc>
          <w:tcPr>
            <w:tcW w:w="204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rPr>
              <w:t>24.7 %</w:t>
            </w:r>
          </w:p>
        </w:tc>
        <w:tc>
          <w:tcPr>
            <w:tcW w:w="20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13.4 %</w:t>
            </w:r>
          </w:p>
        </w:tc>
        <w:tc>
          <w:tcPr>
            <w:tcW w:w="2200" w:type="dxa"/>
            <w:vAlign w:val="bottom"/>
            <w:shd w:val="clear" w:color="auto" w:fill="CCEEFF"/>
          </w:tcPr>
          <w:p>
            <w:pPr>
              <w:jc w:val="right"/>
              <w:ind w:right="1092"/>
              <w:spacing w:after="0"/>
              <w:rPr>
                <w:sz w:val="20"/>
                <w:szCs w:val="20"/>
                <w:color w:val="auto"/>
              </w:rPr>
            </w:pPr>
            <w:r>
              <w:rPr>
                <w:rFonts w:ascii="Times New Roman" w:cs="Times New Roman" w:eastAsia="Times New Roman" w:hAnsi="Times New Roman"/>
                <w:sz w:val="18"/>
                <w:szCs w:val="18"/>
                <w:color w:val="auto"/>
              </w:rPr>
              <w:t>25.6 %</w:t>
            </w:r>
          </w:p>
        </w:tc>
      </w:tr>
      <w:tr>
        <w:trPr>
          <w:trHeight w:val="225"/>
        </w:trPr>
        <w:tc>
          <w:tcPr>
            <w:tcW w:w="2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Combined ratio</w:t>
            </w:r>
          </w:p>
        </w:tc>
        <w:tc>
          <w:tcPr>
            <w:tcW w:w="206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85.0 %</w:t>
            </w:r>
          </w:p>
        </w:tc>
        <w:tc>
          <w:tcPr>
            <w:tcW w:w="2040" w:type="dxa"/>
            <w:vAlign w:val="bottom"/>
          </w:tcPr>
          <w:p>
            <w:pPr>
              <w:jc w:val="right"/>
              <w:ind w:right="952"/>
              <w:spacing w:after="0"/>
              <w:rPr>
                <w:sz w:val="20"/>
                <w:szCs w:val="20"/>
                <w:color w:val="auto"/>
              </w:rPr>
            </w:pPr>
            <w:r>
              <w:rPr>
                <w:rFonts w:ascii="Times New Roman" w:cs="Times New Roman" w:eastAsia="Times New Roman" w:hAnsi="Times New Roman"/>
                <w:sz w:val="18"/>
                <w:szCs w:val="18"/>
                <w:color w:val="auto"/>
              </w:rPr>
              <w:t>98.4 %</w:t>
            </w:r>
          </w:p>
        </w:tc>
        <w:tc>
          <w:tcPr>
            <w:tcW w:w="20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91.4 %</w:t>
            </w:r>
          </w:p>
        </w:tc>
        <w:tc>
          <w:tcPr>
            <w:tcW w:w="2200" w:type="dxa"/>
            <w:vAlign w:val="bottom"/>
          </w:tcPr>
          <w:p>
            <w:pPr>
              <w:jc w:val="right"/>
              <w:ind w:right="1092"/>
              <w:spacing w:after="0"/>
              <w:rPr>
                <w:sz w:val="20"/>
                <w:szCs w:val="20"/>
                <w:color w:val="auto"/>
              </w:rPr>
            </w:pPr>
            <w:r>
              <w:rPr>
                <w:rFonts w:ascii="Times New Roman" w:cs="Times New Roman" w:eastAsia="Times New Roman" w:hAnsi="Times New Roman"/>
                <w:sz w:val="18"/>
                <w:szCs w:val="18"/>
                <w:color w:val="auto"/>
              </w:rPr>
              <w:t>100.2 %</w:t>
            </w:r>
          </w:p>
        </w:tc>
      </w:tr>
      <w:tr>
        <w:trPr>
          <w:trHeight w:val="225"/>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Accident year loss ratio</w:t>
            </w:r>
          </w:p>
        </w:tc>
        <w:tc>
          <w:tcPr>
            <w:tcW w:w="206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77.5 %</w:t>
            </w:r>
          </w:p>
        </w:tc>
        <w:tc>
          <w:tcPr>
            <w:tcW w:w="204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rPr>
              <w:t>77.3 %</w:t>
            </w:r>
          </w:p>
        </w:tc>
        <w:tc>
          <w:tcPr>
            <w:tcW w:w="20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78.9 %</w:t>
            </w:r>
          </w:p>
        </w:tc>
        <w:tc>
          <w:tcPr>
            <w:tcW w:w="2200" w:type="dxa"/>
            <w:vAlign w:val="bottom"/>
            <w:shd w:val="clear" w:color="auto" w:fill="CCEEFF"/>
          </w:tcPr>
          <w:p>
            <w:pPr>
              <w:jc w:val="right"/>
              <w:ind w:right="1092"/>
              <w:spacing w:after="0"/>
              <w:rPr>
                <w:sz w:val="20"/>
                <w:szCs w:val="20"/>
                <w:color w:val="auto"/>
              </w:rPr>
            </w:pPr>
            <w:r>
              <w:rPr>
                <w:rFonts w:ascii="Times New Roman" w:cs="Times New Roman" w:eastAsia="Times New Roman" w:hAnsi="Times New Roman"/>
                <w:sz w:val="18"/>
                <w:szCs w:val="18"/>
                <w:color w:val="auto"/>
              </w:rPr>
              <w:t>76.9 %</w:t>
            </w:r>
          </w:p>
        </w:tc>
      </w:tr>
    </w:tbl>
    <w:p>
      <w:pPr>
        <w:spacing w:after="0" w:line="178" w:lineRule="exact"/>
        <w:rPr>
          <w:sz w:val="20"/>
          <w:szCs w:val="20"/>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Underwriting Profit (Loss) is a non-GAAP Measure. See “Reconciliation of Non-GAAP Measures.”</w:t>
      </w:r>
    </w:p>
    <w:p>
      <w:pPr>
        <w:spacing w:after="0" w:line="58" w:lineRule="exact"/>
        <w:rPr>
          <w:rFonts w:ascii="Times New Roman" w:cs="Times New Roman" w:eastAsia="Times New Roman" w:hAnsi="Times New Roman"/>
          <w:sz w:val="18"/>
          <w:szCs w:val="18"/>
          <w:i w:val="1"/>
          <w:iCs w:val="1"/>
          <w:color w:val="auto"/>
        </w:rPr>
      </w:pPr>
    </w:p>
    <w:p>
      <w:pPr>
        <w:ind w:left="640" w:right="120" w:hanging="316"/>
        <w:spacing w:after="0" w:line="276" w:lineRule="auto"/>
        <w:tabs>
          <w:tab w:leader="none" w:pos="634"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Underwriting results include gross fee income of $5.6 million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$10.9 million for the three and six months ended June 30, 2024, respectively ($5.8 million and $11.5 million in the respective prior year periods).</w:t>
      </w:r>
    </w:p>
    <w:p>
      <w:pPr>
        <w:spacing w:after="0" w:line="5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Specialty Admitted Insurance segment produced underwriting profits of $3.4 million and $384,000 (combined ratios of 85.0% and 98.4%) in the three months ended June 30, 2024 and 2023, respectively. For the six months ended June 30, 2024, the segment produced an underwriting profit of $4.2 million and combined ratio of 91.4% compared to an underwriting loss of $85,000 and combined ratio of 100.2% in the six months ended June 30, 2023. Net favorable development in our loss estimates for prior accident years was $4,000 and $442,000 (0.0 and 0.9 points) in the three and six months ended June 30, 2024, respectively, compared to $839,000 and $1.0 million (3.5 and 2.3 points) in the three and six months ended June 30, 2023, respectively. The segment expense ratio for the current quarter and year to date benefited from lower commissions driven by sliding scale and other adjustments on certain programs in the current quarter, as well as lower expenses for compensation and taxes, licenses, and fees following the reductions to our workers' compensation book in the prior year including the non-renewal of a large California workers' compensation program and the sale of the renewal rights to the individual risk workers' compensation business which included the transfer of employees associated with the business. The year to date ratio also benefited from the 10.1% higher net earned premiums.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 Segment</w:t>
      </w:r>
    </w:p>
    <w:p>
      <w:pPr>
        <w:spacing w:after="0" w:line="11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Other operating expenses for the Corporate and Other segment include personnel costs associated with the Bermuda and U.S. holding companies, professional fees, share based compensation for the full Company, and various other corporate expenses that were not reimbursed by our subsidiaries, including costs associated with rating agencies and strategic initiatives. The expenses are included in our calculation of consolidated underwriting profit, and in our consolidated expense ratio and combined ratio. Total operating expenses of the Corporate and Other segment were $8.6 million and $19.8 million for the three and six months ended June 30, 2024, respectively ($8.5 million and $17.8 million in the respective prior year periods). The higher year to date expense is related to higher expenses for employee compensation, corporate insurance, and outside professional services.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Results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Net investment income was $24.9 million and $47.6 million for the three and six months ended June 30, 2024, respectively, compared to $18.2 million and $36.7 million in the respective prior year periods. The Company's private investments generated gains of $1.9 million and $1.8 million for the three and six months ended June 30, 2024, respectively, compared to gains of $232,000 and $1.8 million in the corresponding prior year periods. Excluding private investments, our net investment income for the three and six months ended June 30, 2024 increased 27.9% and 31.5% over the prior year periods, respectively, principally due to higher yields on fixed maturities and bank loan participations. The average duration of our portfolio excluding restricted cash equivalents was 2.8 years at June 30, 2024.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Major categories of the Company’s net investment income are summarized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80" w:type="dxa"/>
            <w:vAlign w:val="bottom"/>
            <w:gridSpan w:val="9"/>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5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880" w:type="dxa"/>
            <w:vAlign w:val="bottom"/>
          </w:tcPr>
          <w:p>
            <w:pPr>
              <w:spacing w:after="0"/>
              <w:rPr>
                <w:sz w:val="13"/>
                <w:szCs w:val="13"/>
                <w:color w:val="auto"/>
              </w:rPr>
            </w:pPr>
          </w:p>
        </w:tc>
      </w:tr>
      <w:tr>
        <w:trPr>
          <w:trHeight w:val="191"/>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4"/>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1"/>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w w:val="99"/>
              </w:rPr>
              <w:t>($ in thousands)</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2"/>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12,628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12,317</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25,493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24,067</w:t>
            </w:r>
          </w:p>
        </w:tc>
      </w:tr>
      <w:tr>
        <w:trPr>
          <w:trHeight w:val="225"/>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Bank loan participations</w:t>
            </w:r>
          </w:p>
        </w:tc>
        <w:tc>
          <w:tcPr>
            <w:tcW w:w="20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w:t>
            </w:r>
          </w:p>
        </w:tc>
      </w:tr>
      <w:tr>
        <w:trPr>
          <w:trHeight w:val="225"/>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w:t>
            </w:r>
          </w:p>
        </w:tc>
      </w:tr>
      <w:tr>
        <w:trPr>
          <w:trHeight w:val="225"/>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invested assets</w:t>
            </w:r>
          </w:p>
        </w:tc>
        <w:tc>
          <w:tcPr>
            <w:tcW w:w="20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r>
      <w:tr>
        <w:trPr>
          <w:trHeight w:val="172"/>
        </w:trPr>
        <w:tc>
          <w:tcPr>
            <w:tcW w:w="538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Cash, cash equivalents, restricted cash equivalents and short-term</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38"/>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5,064</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2,722</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9,504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w:t>
            </w:r>
          </w:p>
        </w:tc>
      </w:tr>
      <w:tr>
        <w:trPr>
          <w:trHeight w:val="218"/>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investment income</w:t>
            </w:r>
          </w:p>
        </w:tc>
        <w:tc>
          <w:tcPr>
            <w:tcW w:w="20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25,857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18,915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49,387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37,978</w:t>
            </w:r>
          </w:p>
        </w:tc>
      </w:tr>
      <w:tr>
        <w:trPr>
          <w:trHeight w:val="225"/>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expense</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7"/>
              </w:rPr>
              <w:t>(681)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r>
      <w:tr>
        <w:trPr>
          <w:trHeight w:val="218"/>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24,931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18,234</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47,563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36,659</w:t>
            </w:r>
          </w:p>
        </w:tc>
      </w:tr>
      <w:tr>
        <w:trPr>
          <w:trHeight w:val="20"/>
        </w:trPr>
        <w:tc>
          <w:tcPr>
            <w:tcW w:w="5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05"/>
        </w:trPr>
        <w:tc>
          <w:tcPr>
            <w:tcW w:w="5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annualized gross investment yields: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64"/>
        </w:trPr>
        <w:tc>
          <w:tcPr>
            <w:tcW w:w="5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60" w:type="dxa"/>
            <w:vAlign w:val="bottom"/>
            <w:gridSpan w:val="5"/>
          </w:tcPr>
          <w:p>
            <w:pPr>
              <w:jc w:val="center"/>
              <w:ind w:left="19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22"/>
                <w:szCs w:val="22"/>
                <w:color w:val="auto"/>
              </w:rPr>
            </w:pPr>
          </w:p>
        </w:tc>
      </w:tr>
      <w:tr>
        <w:trPr>
          <w:trHeight w:val="192"/>
        </w:trPr>
        <w:tc>
          <w:tcPr>
            <w:tcW w:w="5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jc w:val="center"/>
              <w:ind w:left="21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2"/>
        </w:trPr>
        <w:tc>
          <w:tcPr>
            <w:tcW w:w="50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225"/>
        </w:trPr>
        <w:tc>
          <w:tcPr>
            <w:tcW w:w="5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invested assets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4.7 %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25"/>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9"/>
              </w:rPr>
              <w:t>5.0 %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bl>
    <w:p>
      <w:pPr>
        <w:spacing w:after="0" w:line="16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Of our total cash and invested assets of $2,162.7 million at June 30, 2024 (excluding restricted cash equivalents), $672.5 million represents the cash and cash equivalents portion of the portfolio. The majority of the portfolio, or $1,114.5 million, is comprised of fixed maturity securities that are classified as available-for-sale and carried at fair value with unrealized gains and losses on these securities reported, net of applicable taxes, as a separate component of accumulated comprehensive income (loss). Also included in our investments are $165.3 million of bank loan participations, $128.6 million of equity securities, $46.0 million of short-term investments, and $35.8 million of other invested assets.</w:t>
      </w:r>
    </w:p>
    <w:p>
      <w:pPr>
        <w:spacing w:after="0" w:line="7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Bank loan participations generally provide a higher yield than our portfolio of fixed maturity securities and are primarily senior, secured floating-rate debt rated “BB”, “B”, or “CCC” by Standard &amp; Poor’s or an equivalent rating from another nationally recognized statistical rating organization, and are therefore below investment grade. Bank loans include assignments of and participations in performing and non-performing senior corporate debt generally acquired through primary bank syndications and in secondary markets. They consist of, but are not limited to, term loans, the funded and unfunded portions of revolving credit facilities, and similar loans and investments. </w:t>
      </w:r>
      <w:r>
        <w:rPr>
          <w:rFonts w:ascii="Times New Roman" w:cs="Times New Roman" w:eastAsia="Times New Roman" w:hAnsi="Times New Roman"/>
          <w:sz w:val="18"/>
          <w:szCs w:val="18"/>
          <w:color w:val="231F20"/>
        </w:rPr>
        <w:t>Bank loan participations are measured at fair value pursuant to the Company's election of the 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value option, and changes in unrealized gains and losses in bank loan participations are reported in our income statement as net realized and unrealized gains (losses) on investments. </w:t>
      </w:r>
      <w:r>
        <w:rPr>
          <w:rFonts w:ascii="Times New Roman" w:cs="Times New Roman" w:eastAsia="Times New Roman" w:hAnsi="Times New Roman"/>
          <w:sz w:val="18"/>
          <w:szCs w:val="18"/>
          <w:color w:val="000000"/>
        </w:rPr>
        <w:t>At June 30, 2024 and December 31, 2023, the fair market value of these securities was $165.3 million and $156.2 million,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respectively.</w:t>
      </w:r>
    </w:p>
    <w:p>
      <w:pPr>
        <w:spacing w:after="0" w:line="8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For the six months ended June 30, 2024, the Company recognized net realized and unrealized investment gains of $2.3 million ($2.3 million of net realized and unrealized investment losses for the three months ended June 30, 2024), including $394,000 of net unrealized losses on bank loan participations, $3.1 million of net unrealized gains for the change in the fair value of equity securities, $730,000 of net realized investment losses on the sale of bank loan participations, $1.4 million of net realized investment gains on the sale of equity securities, $902,000 of net realized investment losses on the sale of fixed maturity securities, and a $207,000 impairment for one fixed maturity security. In the three months ended June 30, 2024, $591,000 of net realized losses were recognized on sales of fixed maturities primarily to fund the premium due under the LPT-ADC Agreement.</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For the six months ended June 30, 2023, the Company recognized net realized and unrealized investment gains of $1.8 million ($1.6 million of net realized and unrealized investment gains for the three months ended June 30, 2023), including $4.7 million of net unrealized gains on bank loan participations, $912,000 of net unrealized losses for the change in the fair value of equity securities, $27,000 of net realized investment losses on the sale of fixed maturity securities, $2.7 million of net realized investment losses on the sale of bank loan participations, and $664,000 of net realized investment gains on the sale of equity securities.</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conjunction with its outside investment managers, the Company performs quarterly reviews of all securities within its investment portfolio to determine whether any impairment has occurred. As a result of this review, management concluded that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there were no credit-related impairments of fixed maturity securities at June 30, 2024, December 31, 2023, or June 30, 2023. During the three months ended June 30, 2024, management recognized an impairment loss of $207,000 for one fixed maturity security due to the Company’s inability to hold the security until a recovery in its value to the amortized cost basis. For the remainder of securities in an unrealized loss position, management does not intend to sell the securities, and </w:t>
      </w:r>
      <w:r>
        <w:rPr>
          <w:rFonts w:ascii="Times New Roman" w:cs="Times New Roman" w:eastAsia="Times New Roman" w:hAnsi="Times New Roman"/>
          <w:sz w:val="18"/>
          <w:szCs w:val="18"/>
          <w:color w:val="231F20"/>
        </w:rPr>
        <w:t>it is not “more likely than not” that the Company will be required to sell these securities before a recovery in their value to their amortized cost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basis occurs. </w:t>
      </w:r>
      <w:r>
        <w:rPr>
          <w:rFonts w:ascii="Times New Roman" w:cs="Times New Roman" w:eastAsia="Times New Roman" w:hAnsi="Times New Roman"/>
          <w:sz w:val="18"/>
          <w:szCs w:val="18"/>
          <w:color w:val="000000"/>
        </w:rPr>
        <w:t>At June 30, 2024, 100.0% of the Company’s fixed maturity security portfolio was rated “BBB-” or better (“investment grade”) by Standard &amp;</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Poor’s or received an equivalent rating from another nationally recognized rating agency.</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amortized cost and fair value of our available-for-sale fixed maturity securities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3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300"/>
              <w:spacing w:after="0" w:line="128" w:lineRule="exact"/>
              <w:rPr>
                <w:sz w:val="20"/>
                <w:szCs w:val="20"/>
                <w:color w:val="auto"/>
              </w:rPr>
            </w:pPr>
            <w:r>
              <w:rPr>
                <w:rFonts w:ascii="Times New Roman" w:cs="Times New Roman" w:eastAsia="Times New Roman" w:hAnsi="Times New Roman"/>
                <w:sz w:val="14"/>
                <w:szCs w:val="14"/>
                <w:b w:val="1"/>
                <w:bCs w:val="1"/>
                <w:color w:val="auto"/>
              </w:rPr>
              <w:t>Cost or</w:t>
            </w: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Fair</w:t>
            </w:r>
          </w:p>
        </w:tc>
        <w:tc>
          <w:tcPr>
            <w:tcW w:w="13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80"/>
              <w:spacing w:after="0" w:line="128" w:lineRule="exact"/>
              <w:rPr>
                <w:sz w:val="20"/>
                <w:szCs w:val="20"/>
                <w:color w:val="auto"/>
              </w:rPr>
            </w:pPr>
            <w:r>
              <w:rPr>
                <w:rFonts w:ascii="Times New Roman" w:cs="Times New Roman" w:eastAsia="Times New Roman" w:hAnsi="Times New Roman"/>
                <w:sz w:val="14"/>
                <w:szCs w:val="14"/>
                <w:b w:val="1"/>
                <w:bCs w:val="1"/>
                <w:color w:val="auto"/>
              </w:rPr>
              <w:t>Cost or</w:t>
            </w:r>
          </w:p>
        </w:tc>
        <w:tc>
          <w:tcPr>
            <w:tcW w:w="2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8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4"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34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26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1"/>
        </w:trPr>
        <w:tc>
          <w:tcPr>
            <w:tcW w:w="33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80" w:type="dxa"/>
            <w:vAlign w:val="bottom"/>
            <w:tcBorders>
              <w:top w:val="single" w:sz="8" w:color="auto"/>
            </w:tcBorders>
            <w:gridSpan w:val="5"/>
          </w:tcPr>
          <w:p>
            <w:pPr>
              <w:ind w:left="88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229,975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202,925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18.2 %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273,462</w:t>
            </w:r>
          </w:p>
        </w:tc>
        <w:tc>
          <w:tcPr>
            <w:tcW w:w="100" w:type="dxa"/>
            <w:vAlign w:val="bottom"/>
          </w:tcPr>
          <w:p>
            <w:pPr>
              <w:spacing w:after="0"/>
              <w:rPr>
                <w:sz w:val="19"/>
                <w:szCs w:val="19"/>
                <w:color w:val="auto"/>
              </w:rPr>
            </w:pPr>
          </w:p>
        </w:tc>
        <w:tc>
          <w:tcPr>
            <w:tcW w:w="2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248,837</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18.8 %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285,283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25.6 %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317,928</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24.0 %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405,316</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36.4 %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530,408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505,728</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38.2 %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198,304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222,853</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16.8 %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300" w:type="dxa"/>
            <w:vAlign w:val="bottom"/>
          </w:tcPr>
          <w:p>
            <w:pPr>
              <w:ind w:left="180"/>
              <w:spacing w:after="0" w:line="172" w:lineRule="exact"/>
              <w:rPr>
                <w:sz w:val="20"/>
                <w:szCs w:val="20"/>
                <w:color w:val="auto"/>
              </w:rPr>
            </w:pPr>
            <w:r>
              <w:rPr>
                <w:rFonts w:ascii="Times New Roman" w:cs="Times New Roman" w:eastAsia="Times New Roman" w:hAnsi="Times New Roman"/>
                <w:sz w:val="18"/>
                <w:szCs w:val="18"/>
                <w:color w:val="auto"/>
              </w:rPr>
              <w:t>U.S. Treasury securities and obligations</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2.0 %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2.2 %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guaranteed by the U.S. government</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23,408</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22,647</w:t>
            </w:r>
          </w:p>
        </w:tc>
        <w:tc>
          <w:tcPr>
            <w:tcW w:w="12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29,130</w:t>
            </w:r>
          </w:p>
        </w:tc>
        <w:tc>
          <w:tcPr>
            <w:tcW w:w="12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330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Total fixed maturity securities, available-for-</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1,207,960</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1,114,475</w:t>
            </w:r>
          </w:p>
        </w:tc>
        <w:tc>
          <w:tcPr>
            <w:tcW w:w="12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100.0 %</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1,405,136</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1,324,476</w:t>
            </w:r>
          </w:p>
        </w:tc>
        <w:tc>
          <w:tcPr>
            <w:tcW w:w="12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100.0 %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3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 xml:space="preserve">The following table sets forth the composition of the Company’s portfolio of available-for-sale fixed maturity securities by rating as of </w:t>
      </w:r>
      <w:r>
        <w:rPr>
          <w:rFonts w:ascii="Times New Roman" w:cs="Times New Roman" w:eastAsia="Times New Roman" w:hAnsi="Times New Roman"/>
          <w:sz w:val="18"/>
          <w:szCs w:val="18"/>
          <w:color w:val="231F20"/>
        </w:rPr>
        <w:t>June 30, 2024</w:t>
      </w:r>
      <w:r>
        <w:rPr>
          <w:rFonts w:ascii="Times New Roman" w:cs="Times New Roman" w:eastAsia="Times New Roman" w:hAnsi="Times New Roman"/>
          <w:sz w:val="18"/>
          <w:szCs w:val="18"/>
          <w:color w:val="auto"/>
        </w:rPr>
        <w: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Standard &amp; Poor’s or Equivalent Designation</w:t>
            </w:r>
          </w:p>
        </w:tc>
        <w:tc>
          <w:tcPr>
            <w:tcW w:w="20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4"/>
        </w:trPr>
        <w:tc>
          <w:tcPr>
            <w:tcW w:w="8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r>
      <w:tr>
        <w:trPr>
          <w:trHeight w:val="186"/>
        </w:trPr>
        <w:tc>
          <w:tcPr>
            <w:tcW w:w="8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3"/>
          </w:tcPr>
          <w:p>
            <w:pPr>
              <w:jc w:val="right"/>
              <w:ind w:right="775"/>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r>
      <w:tr>
        <w:trPr>
          <w:trHeight w:val="232"/>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242,492</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r>
      <w:tr>
        <w:trPr>
          <w:trHeight w:val="225"/>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AA</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467,701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42.0 %</w:t>
            </w:r>
          </w:p>
        </w:tc>
      </w:tr>
      <w:tr>
        <w:trPr>
          <w:trHeight w:val="22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286,073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r>
      <w:tr>
        <w:trPr>
          <w:trHeight w:val="225"/>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BBB</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118,209</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10.5 %</w:t>
            </w:r>
          </w:p>
        </w:tc>
      </w:tr>
      <w:tr>
        <w:trPr>
          <w:trHeight w:val="244"/>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1,114,475</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amortized cost and fair value of our available-for-sale investments in fixed maturity securities summarized by contractual maturity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320" w:type="dxa"/>
            <w:vAlign w:val="bottom"/>
          </w:tcPr>
          <w:p>
            <w:pPr>
              <w:spacing w:after="0"/>
              <w:rPr>
                <w:sz w:val="16"/>
                <w:szCs w:val="16"/>
                <w:color w:val="auto"/>
              </w:rPr>
            </w:pPr>
          </w:p>
        </w:tc>
      </w:tr>
      <w:tr>
        <w:trPr>
          <w:trHeight w:val="24"/>
        </w:trPr>
        <w:tc>
          <w:tcPr>
            <w:tcW w:w="7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28"/>
        </w:trPr>
        <w:tc>
          <w:tcPr>
            <w:tcW w:w="7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320" w:type="dxa"/>
            <w:vAlign w:val="bottom"/>
          </w:tcPr>
          <w:p>
            <w:pPr>
              <w:spacing w:after="0"/>
              <w:rPr>
                <w:sz w:val="11"/>
                <w:szCs w:val="11"/>
                <w:color w:val="auto"/>
              </w:rPr>
            </w:pPr>
          </w:p>
        </w:tc>
        <w:tc>
          <w:tcPr>
            <w:tcW w:w="1000" w:type="dxa"/>
            <w:vAlign w:val="bottom"/>
            <w:gridSpan w:val="2"/>
          </w:tcPr>
          <w:p>
            <w:pPr>
              <w:jc w:val="center"/>
              <w:ind w:right="420"/>
              <w:spacing w:after="0" w:line="128" w:lineRule="exact"/>
              <w:rPr>
                <w:sz w:val="20"/>
                <w:szCs w:val="20"/>
                <w:color w:val="auto"/>
              </w:rPr>
            </w:pPr>
            <w:r>
              <w:rPr>
                <w:rFonts w:ascii="Times New Roman" w:cs="Times New Roman" w:eastAsia="Times New Roman" w:hAnsi="Times New Roman"/>
                <w:sz w:val="14"/>
                <w:szCs w:val="14"/>
                <w:b w:val="1"/>
                <w:bCs w:val="1"/>
                <w:color w:val="auto"/>
              </w:rPr>
              <w:t>Fair</w:t>
            </w:r>
          </w:p>
        </w:tc>
        <w:tc>
          <w:tcPr>
            <w:tcW w:w="1320" w:type="dxa"/>
            <w:vAlign w:val="bottom"/>
          </w:tcPr>
          <w:p>
            <w:pPr>
              <w:jc w:val="right"/>
              <w:ind w:right="436"/>
              <w:spacing w:after="0" w:line="128" w:lineRule="exact"/>
              <w:rPr>
                <w:sz w:val="20"/>
                <w:szCs w:val="20"/>
                <w:color w:val="auto"/>
              </w:rPr>
            </w:pPr>
            <w:r>
              <w:rPr>
                <w:rFonts w:ascii="Times New Roman" w:cs="Times New Roman" w:eastAsia="Times New Roman" w:hAnsi="Times New Roman"/>
                <w:sz w:val="14"/>
                <w:szCs w:val="14"/>
                <w:b w:val="1"/>
                <w:bCs w:val="1"/>
                <w:color w:val="auto"/>
              </w:rPr>
              <w:t>% of</w:t>
            </w:r>
          </w:p>
        </w:tc>
      </w:tr>
      <w:tr>
        <w:trPr>
          <w:trHeight w:val="191"/>
        </w:trPr>
        <w:tc>
          <w:tcPr>
            <w:tcW w:w="7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 Value</w:t>
            </w:r>
          </w:p>
        </w:tc>
      </w:tr>
      <w:tr>
        <w:trPr>
          <w:trHeight w:val="191"/>
        </w:trPr>
        <w:tc>
          <w:tcPr>
            <w:tcW w:w="7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320" w:type="dxa"/>
            <w:vAlign w:val="bottom"/>
          </w:tcPr>
          <w:p>
            <w:pPr>
              <w:spacing w:after="0"/>
              <w:rPr>
                <w:sz w:val="16"/>
                <w:szCs w:val="16"/>
                <w:color w:val="auto"/>
              </w:rPr>
            </w:pPr>
          </w:p>
        </w:tc>
      </w:tr>
      <w:tr>
        <w:trPr>
          <w:trHeight w:val="232"/>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5"/>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One year or less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19,661</w:t>
            </w:r>
          </w:p>
        </w:tc>
        <w:tc>
          <w:tcPr>
            <w:tcW w:w="100" w:type="dxa"/>
            <w:vAlign w:val="bottom"/>
          </w:tcPr>
          <w:p>
            <w:pPr>
              <w:spacing w:after="0"/>
              <w:rPr>
                <w:sz w:val="19"/>
                <w:szCs w:val="19"/>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1.7 %</w:t>
            </w:r>
          </w:p>
        </w:tc>
      </w:tr>
      <w:tr>
        <w:trPr>
          <w:trHeight w:val="225"/>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299,268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26.9 %</w:t>
            </w:r>
          </w:p>
        </w:tc>
      </w:tr>
      <w:tr>
        <w:trPr>
          <w:trHeight w:val="225"/>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204,929</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18.4 %</w:t>
            </w:r>
          </w:p>
        </w:tc>
      </w:tr>
      <w:tr>
        <w:trPr>
          <w:trHeight w:val="225"/>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After ten years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107,257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9.6 %</w:t>
            </w:r>
          </w:p>
        </w:tc>
      </w:tr>
      <w:tr>
        <w:trPr>
          <w:trHeight w:val="225"/>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285,283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25.6 %</w:t>
            </w:r>
          </w:p>
        </w:tc>
      </w:tr>
      <w:tr>
        <w:trPr>
          <w:trHeight w:val="225"/>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198,304</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17.8 %</w:t>
            </w:r>
          </w:p>
        </w:tc>
      </w:tr>
      <w:tr>
        <w:trPr>
          <w:trHeight w:val="21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1,207,960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1,114,475</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100.0 %</w:t>
            </w:r>
          </w:p>
        </w:tc>
      </w:tr>
      <w:tr>
        <w:trPr>
          <w:trHeight w:val="20"/>
        </w:trPr>
        <w:tc>
          <w:tcPr>
            <w:tcW w:w="7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Other income and expense items netted to expense of $905,000 and $726,000 for the three and six </w:t>
      </w:r>
      <w:r>
        <w:rPr>
          <w:rFonts w:ascii="Times New Roman" w:cs="Times New Roman" w:eastAsia="Times New Roman" w:hAnsi="Times New Roman"/>
          <w:sz w:val="18"/>
          <w:szCs w:val="18"/>
          <w:color w:val="231F20"/>
        </w:rPr>
        <w:t>months ended June 30, 2024, respectively. N</w:t>
      </w:r>
      <w:r>
        <w:rPr>
          <w:rFonts w:ascii="Times New Roman" w:cs="Times New Roman" w:eastAsia="Times New Roman" w:hAnsi="Times New Roman"/>
          <w:sz w:val="18"/>
          <w:szCs w:val="18"/>
          <w:color w:val="auto"/>
        </w:rPr>
        <w:t xml:space="preserve">on-operating expenses were $2.1 million and $2.8 million in the three and six </w:t>
      </w:r>
      <w:r>
        <w:rPr>
          <w:rFonts w:ascii="Times New Roman" w:cs="Times New Roman" w:eastAsia="Times New Roman" w:hAnsi="Times New Roman"/>
          <w:sz w:val="18"/>
          <w:szCs w:val="18"/>
          <w:color w:val="231F20"/>
        </w:rPr>
        <w:t>months ended June 30, 2024, respectively,</w:t>
      </w:r>
      <w:r>
        <w:rPr>
          <w:rFonts w:ascii="Times New Roman" w:cs="Times New Roman" w:eastAsia="Times New Roman" w:hAnsi="Times New Roman"/>
          <w:sz w:val="18"/>
          <w:szCs w:val="18"/>
          <w:color w:val="auto"/>
        </w:rPr>
        <w:t xml:space="preserve"> primarily consisting of legal and other professional fees and other expenses related to various strategic initiatives and litigation that the Company is involved in. </w:t>
      </w:r>
      <w:r>
        <w:rPr>
          <w:rFonts w:ascii="Times New Roman" w:cs="Times New Roman" w:eastAsia="Times New Roman" w:hAnsi="Times New Roman"/>
          <w:sz w:val="18"/>
          <w:szCs w:val="18"/>
          <w:color w:val="231F20"/>
        </w:rPr>
        <w:t>T</w:t>
      </w:r>
      <w:r>
        <w:rPr>
          <w:rFonts w:ascii="Times New Roman" w:cs="Times New Roman" w:eastAsia="Times New Roman" w:hAnsi="Times New Roman"/>
          <w:sz w:val="18"/>
          <w:szCs w:val="18"/>
          <w:color w:val="auto"/>
        </w:rPr>
        <w:t xml:space="preserve">he non-operating expenses were partially offset by $992,000 and $1.7 million of broker incentive rebates in the Excess and Surplus Lines segment, as well as other miscellaneous income in the respective periods. For the three and six </w:t>
      </w:r>
      <w:r>
        <w:rPr>
          <w:rFonts w:ascii="Times New Roman" w:cs="Times New Roman" w:eastAsia="Times New Roman" w:hAnsi="Times New Roman"/>
          <w:sz w:val="18"/>
          <w:szCs w:val="18"/>
          <w:color w:val="231F20"/>
        </w:rPr>
        <w:t>months ended June 30, 2023, o</w:t>
      </w:r>
      <w:r>
        <w:rPr>
          <w:rFonts w:ascii="Times New Roman" w:cs="Times New Roman" w:eastAsia="Times New Roman" w:hAnsi="Times New Roman"/>
          <w:sz w:val="18"/>
          <w:szCs w:val="18"/>
          <w:color w:val="auto"/>
        </w:rPr>
        <w:t xml:space="preserve">ther income and expense items netted to expense of $53,000 and $468,000, respectively. </w:t>
      </w:r>
      <w:r>
        <w:rPr>
          <w:rFonts w:ascii="Times New Roman" w:cs="Times New Roman" w:eastAsia="Times New Roman" w:hAnsi="Times New Roman"/>
          <w:sz w:val="18"/>
          <w:szCs w:val="18"/>
          <w:color w:val="231F20"/>
        </w:rPr>
        <w:t>N</w:t>
      </w:r>
      <w:r>
        <w:rPr>
          <w:rFonts w:ascii="Times New Roman" w:cs="Times New Roman" w:eastAsia="Times New Roman" w:hAnsi="Times New Roman"/>
          <w:sz w:val="18"/>
          <w:szCs w:val="18"/>
          <w:color w:val="auto"/>
        </w:rPr>
        <w:t>on-operating expenses of $223,000 and $826,000 in the respective periods were partially offset by other miscellaneous income.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Interest expense was $6.3 million and $12.8 million for the three and six </w:t>
      </w:r>
      <w:r>
        <w:rPr>
          <w:rFonts w:ascii="Times New Roman" w:cs="Times New Roman" w:eastAsia="Times New Roman" w:hAnsi="Times New Roman"/>
          <w:sz w:val="18"/>
          <w:szCs w:val="18"/>
          <w:color w:val="231F20"/>
        </w:rPr>
        <w:t>months ended June 30, 2024, respectively (</w:t>
      </w:r>
      <w:r>
        <w:rPr>
          <w:rFonts w:ascii="Times New Roman" w:cs="Times New Roman" w:eastAsia="Times New Roman" w:hAnsi="Times New Roman"/>
          <w:sz w:val="18"/>
          <w:szCs w:val="18"/>
          <w:color w:val="auto"/>
        </w:rPr>
        <w:t>$6.0 million and $11.6 million in the respective prior year periods)</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The increase over the prior year reflects the impact of rising interest rates on our variable rate senior and trust preferred debt. See “—Liquidity and Capital Resources—Sources and Uses of Funds” for more information regarding our senior bank debt facilities and trust preferred securities.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Intangibles and Impairment of Intangible Assets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recorded $91,000 of amortization of intangible assets in each of the three months ended June 30, 2024 and 2023 ($182,000 in each of the six months ended June 30, 2024 and 2023).</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15" w:lineRule="exact"/>
        <w:rPr>
          <w:sz w:val="20"/>
          <w:szCs w:val="20"/>
          <w:color w:val="auto"/>
        </w:rPr>
      </w:pPr>
    </w:p>
    <w:p>
      <w:pPr>
        <w:jc w:val="both"/>
        <w:ind w:firstLine="358"/>
        <w:spacing w:after="0" w:line="250" w:lineRule="auto"/>
        <w:rPr>
          <w:sz w:val="20"/>
          <w:szCs w:val="20"/>
          <w:color w:val="auto"/>
        </w:rPr>
      </w:pPr>
      <w:r>
        <w:rPr>
          <w:rFonts w:ascii="Times New Roman" w:cs="Times New Roman" w:eastAsia="Times New Roman" w:hAnsi="Times New Roman"/>
          <w:sz w:val="18"/>
          <w:szCs w:val="18"/>
          <w:color w:val="auto"/>
        </w:rPr>
        <w:t>Our effective tax rate fluctuates from period to period based on the relative mix of income from continuing operations reported by country and the respective tax rates imposed by each tax jurisdiction. Statutory tax rates are 0% and 21% for Bermuda and the U.S. For the three and six months ended June 30, 2024, our effective tax rate on income from continuing operations was 28.3% and 28.5%, respectively (32.0% and 32.8% in the respective prior year periods). The Company does not receive a U.S. tax deduction for losses in our Bermuda entities. Bermuda had losses in both periods primarily due to Bermuda holding company expenses and interest expense.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and expenses on share based compensation.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An indicator of reserve strength that we monitor closely is the percentage of our gross and net loss reserves that are comprised of incurred but not reported (“IBNR”) reserves.</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Company’s gross reserve for losses and loss adjustment expenses at June 30, 2024 was $2,720.2 million. Of this amount, 68.5% relates to amounts that are IBNR. This amount was 66.9% at December 31, 2023. The Company’s gross reserves for losses and loss adjustment expenses by segment are summarized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6"/>
          </w:tcPr>
          <w:p>
            <w:pPr>
              <w:jc w:val="center"/>
              <w:ind w:left="639"/>
              <w:spacing w:after="0"/>
              <w:rPr>
                <w:sz w:val="20"/>
                <w:szCs w:val="20"/>
                <w:color w:val="auto"/>
              </w:rPr>
            </w:pPr>
            <w:r>
              <w:rPr>
                <w:rFonts w:ascii="Times New Roman" w:cs="Times New Roman" w:eastAsia="Times New Roman" w:hAnsi="Times New Roman"/>
                <w:sz w:val="14"/>
                <w:szCs w:val="14"/>
                <w:b w:val="1"/>
                <w:bCs w:val="1"/>
                <w:color w:val="auto"/>
              </w:rPr>
              <w:t>Gross Reserves at June 30, 2024</w:t>
            </w:r>
          </w:p>
        </w:tc>
        <w:tc>
          <w:tcPr>
            <w:tcW w:w="1020" w:type="dxa"/>
            <w:vAlign w:val="bottom"/>
          </w:tcPr>
          <w:p>
            <w:pPr>
              <w:spacing w:after="0"/>
              <w:rPr>
                <w:sz w:val="16"/>
                <w:szCs w:val="16"/>
                <w:color w:val="auto"/>
              </w:rPr>
            </w:pPr>
          </w:p>
        </w:tc>
      </w:tr>
      <w:tr>
        <w:trPr>
          <w:trHeight w:val="24"/>
        </w:trPr>
        <w:tc>
          <w:tcPr>
            <w:tcW w:w="6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6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Case</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IBNR</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2"/>
        </w:trPr>
        <w:tc>
          <w:tcPr>
            <w:tcW w:w="6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2"/>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471,294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1,398,634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1,869,928</w:t>
            </w:r>
          </w:p>
        </w:tc>
      </w:tr>
      <w:tr>
        <w:trPr>
          <w:trHeight w:val="225"/>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385,363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464,907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850,270</w:t>
            </w:r>
          </w:p>
        </w:tc>
      </w:tr>
      <w:tr>
        <w:trPr>
          <w:trHeight w:val="243"/>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856,657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1,863,541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2,720,198</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At June 30, 2024, the amount of net reserves (prior to the $744,000 allowance for uncollectible reinsurance recoverables) of $1,301.7 million that related to IBNR was 70.2%. This amount was 72.0% at December 31, 2023. The Company’s net reserves for losses and loss adjustment expenses by segment are summarized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6"/>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Net Reserves at June 30, 2024</w:t>
            </w:r>
          </w:p>
        </w:tc>
        <w:tc>
          <w:tcPr>
            <w:tcW w:w="1060" w:type="dxa"/>
            <w:vAlign w:val="bottom"/>
          </w:tcPr>
          <w:p>
            <w:pPr>
              <w:spacing w:after="0"/>
              <w:rPr>
                <w:sz w:val="16"/>
                <w:szCs w:val="16"/>
                <w:color w:val="auto"/>
              </w:rPr>
            </w:pPr>
          </w:p>
        </w:tc>
      </w:tr>
      <w:tr>
        <w:trPr>
          <w:trHeight w:val="24"/>
        </w:trPr>
        <w:tc>
          <w:tcPr>
            <w:tcW w:w="6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6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Case</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IBNR</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2"/>
        </w:trPr>
        <w:tc>
          <w:tcPr>
            <w:tcW w:w="6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2"/>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321,717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838,640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1,160,357</w:t>
            </w:r>
          </w:p>
        </w:tc>
      </w:tr>
      <w:tr>
        <w:trPr>
          <w:trHeight w:val="225"/>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141,306</w:t>
            </w:r>
          </w:p>
        </w:tc>
      </w:tr>
      <w:tr>
        <w:trPr>
          <w:trHeight w:val="244"/>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387,573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914,090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1,301,663</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sources of funds consist primarily of premiums written, investment income, reinsurance recoveries, proceeds from sales and redemptions of investments, borrowings on our credit facilities, and the issuance of common and 7% Series A Perpetual Cumulative Convertible Preferred Shares, par value $0.00125 per share (the “Series A Preferred Shares”). We use operating cash flows primarily to pay operating expenses, losses and loss adjustment expenses, reinsurance premiums, and income taxes. Cash flow from operations may differ substantially from net income. The potential for a large claim under an insurance or reinsurance contract means that substantial and unpredictable payments may need to be made within relatively short periods of time.</w:t>
      </w:r>
    </w:p>
    <w:p>
      <w:pPr>
        <w:spacing w:after="0" w:line="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our cash flows: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60" w:type="dxa"/>
            <w:vAlign w:val="bottom"/>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6"/>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860" w:type="dxa"/>
            <w:vAlign w:val="bottom"/>
          </w:tcPr>
          <w:p>
            <w:pPr>
              <w:spacing w:after="0"/>
              <w:rPr>
                <w:sz w:val="16"/>
                <w:szCs w:val="16"/>
                <w:color w:val="auto"/>
              </w:rPr>
            </w:pPr>
          </w:p>
        </w:tc>
      </w:tr>
      <w:tr>
        <w:trPr>
          <w:trHeight w:val="23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provided by (used in):</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5"/>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 (excluding restricted cash equivalents)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59,883</w:t>
            </w:r>
          </w:p>
        </w:tc>
        <w:tc>
          <w:tcPr>
            <w:tcW w:w="10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40,334</w:t>
            </w:r>
          </w:p>
        </w:tc>
      </w:tr>
      <w:tr>
        <w:trPr>
          <w:trHeight w:val="225"/>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27,070</w:t>
            </w:r>
          </w:p>
        </w:tc>
      </w:tr>
      <w:tr>
        <w:trPr>
          <w:trHeight w:val="225"/>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(13,329)</w:t>
            </w:r>
          </w:p>
        </w:tc>
      </w:tr>
      <w:tr>
        <w:trPr>
          <w:trHeight w:val="218"/>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385,023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54,075</w:t>
            </w:r>
          </w:p>
        </w:tc>
      </w:tr>
      <w:tr>
        <w:trPr>
          <w:trHeight w:val="225"/>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restricted cash equivalents (operating activities)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(44,486)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w:t>
            </w:r>
          </w:p>
        </w:tc>
      </w:tr>
      <w:tr>
        <w:trPr>
          <w:trHeight w:val="24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cash equivalents, and restricted cash equivalents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340,537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56,362</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Cash provided by operating activities excluding restricted cash equivalents of $59.9 million and $40.3 million for the six months ended June 30, 2024 and 2023, respectively, was driven by the growth in our U.S. segments and the collection of premiums receivable at a quicker rate than payments of loss and loss adjustment expenses. Cash provided by operating activities from continuing operations excluding restricted cash equivalents was $85.0 million and $89.2 million for the six months ended June 30, 2024 and 2023, respectively, compared to cash used in operating activities of discontinued operations of $25.1 million and $48.9 million in the respective periods. We believe the sale of JRG Re, which closed on April 16, 2024, will increase our future cash flows from operations relative to 2023. Proceeds from the sale of JRG Re will support additional growth in our U.S. continuing operations.</w:t>
      </w:r>
    </w:p>
    <w:p>
      <w:pPr>
        <w:spacing w:after="0" w:line="7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Cash provided by investing activities was $356.6 million and $27.1 million for the six months ended June 30, 2024 and 2023, respectively. Included in the current year investing activities is $96.4 million of proceeds received from the sale of JRG Re (net of JRG Re's cash balances sold) and $198.0 million of proceeds from the sales of fixed maturities to provide funding for the premium due under the LPT-ADC Agreement. Cash and cash equivalents (excluding restricted cash equivalents) comprised 31.1% and 11.2% of total cash and invested assets at June 30, 2024 and 2023, respectively. The higher cash at June 30, 2024 reflects the amounts raised to fund the LPT-ADC Agreement in early July 2024. Cash provided by investing activities from continuing operations was $197.1 million for the six months ended June 30, 2024. This compares to cash used in investing activities from continuing operations of $32.5 million for the six months ended June 30, 2023. Cash provided by investing activities of discontinued operations was $63.1 million and $59.6 million in the respective periods. We believe the sale of JRG Re, which closed on April 16, 2024, will increase our future cash flows from operations relative to 2023 which will lead to higher amounts invested and more cash used in investing activities. Proceeds from the sale of JRG Re will support additional growth in our U.S. continuing operations and are expected to be invested which will increase the invested assets of our continuing operations.</w:t>
      </w:r>
    </w:p>
    <w:p>
      <w:pPr>
        <w:spacing w:after="0" w:line="8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Cash used in financing activities of $31.5 million for the six months ended June 30, 2024 includes the $21.5 million repayment of an unsecured loan under the 2017 facility, $3.9 million of dividends paid to common shareholders, $5.3 million of dividends paid on the Series A Preferred Shares, and $837,000 of payroll taxes withheld and remitted on net settlement of RSUs. Cash used in financing activities of $13.3 million for the six months ended June 30, 2023 includes $3.9 million of dividends paid to common shareholders, $7.9 million of dividends paid on the Series A Preferred Shares, and $1.5 million of payroll taxes withheld and remitted on net settlement of RSUs.</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activity in restricted cash equivalents for the six months ended June 30, 2024 and 2023 relates to a former insured, per the terms of a collateral trust.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Amounts Recoverable from an Indemnifying Party and Reinsurer on Legacy Commercial Auto Book</w:t>
      </w:r>
      <w:r>
        <w:rPr>
          <w:rFonts w:ascii="Times New Roman" w:cs="Times New Roman" w:eastAsia="Times New Roman" w:hAnsi="Times New Roman"/>
          <w:sz w:val="18"/>
          <w:szCs w:val="18"/>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3" w:lineRule="exact"/>
        <w:rPr>
          <w:sz w:val="20"/>
          <w:szCs w:val="20"/>
          <w:color w:val="auto"/>
        </w:rPr>
      </w:pPr>
    </w:p>
    <w:p>
      <w:pPr>
        <w:jc w:val="both"/>
        <w:ind w:firstLine="358"/>
        <w:spacing w:after="0" w:line="255" w:lineRule="auto"/>
        <w:rPr>
          <w:sz w:val="20"/>
          <w:szCs w:val="20"/>
          <w:color w:val="auto"/>
        </w:rPr>
      </w:pPr>
      <w:r>
        <w:rPr>
          <w:rFonts w:ascii="Times New Roman" w:cs="Times New Roman" w:eastAsia="Times New Roman" w:hAnsi="Times New Roman"/>
          <w:sz w:val="18"/>
          <w:szCs w:val="18"/>
          <w:color w:val="auto"/>
        </w:rPr>
        <w:t>We are organized as a Bermuda holding company with our operations conducted by our wholly-owned subsidiaries. Accordingly, our holding company may receive cash through loans from banks, issuance of equity and debt securities, corporate service fees or dividends received from our subsidiaries and/or other transactions. Our U.S. holding company may receive cash in a similar manner and also through payments from our subsidiaries pursuant to our U.S. consolidated tax allocation agreement.</w:t>
      </w:r>
    </w:p>
    <w:p>
      <w:pPr>
        <w:spacing w:after="0" w:line="74" w:lineRule="exact"/>
        <w:rPr>
          <w:sz w:val="20"/>
          <w:szCs w:val="20"/>
          <w:color w:val="auto"/>
        </w:rPr>
      </w:pPr>
    </w:p>
    <w:p>
      <w:pPr>
        <w:jc w:val="both"/>
        <w:ind w:firstLine="358"/>
        <w:spacing w:after="0" w:line="267" w:lineRule="auto"/>
        <w:rPr>
          <w:sz w:val="20"/>
          <w:szCs w:val="20"/>
          <w:color w:val="auto"/>
        </w:rPr>
      </w:pPr>
      <w:r>
        <w:rPr>
          <w:rFonts w:ascii="Times New Roman" w:cs="Times New Roman" w:eastAsia="Times New Roman" w:hAnsi="Times New Roman"/>
          <w:sz w:val="17"/>
          <w:szCs w:val="17"/>
          <w:color w:val="auto"/>
        </w:rPr>
        <w:t>The payment of dividends by our subsidiaries to us is limited by statute. In general, the laws and regulations applicable to our domestic insurance subsidiaries limit the aggregate amount of dividends or other distributions that they may declare or pay within any 12-month period without advance regulatory approval. Generally, the limitations are based on the greater of statutory net income for the preceding year or 10.0% of statutory surplus at the end of the preceding year. In addition, insurance regulators have broad powers to prevent reduction of statutory surplus to inadequate levels and could refuse to permit the payment of dividends calculated under any applicable formula. See “Item 1. Business – U.S. Insurance Regulation – State Regulation” in our Annual Report on Form 10-K for the year ended December 31, 2023 filed with the SEC on February 29, 2024 for additional information. The maximum amount of dividends available to the U.S. holding company from our U.S. insurance subsidiaries during 2024 without regulatory approval is $107.1 million.</w:t>
      </w:r>
    </w:p>
    <w:p>
      <w:pPr>
        <w:spacing w:after="0" w:line="68" w:lineRule="exact"/>
        <w:rPr>
          <w:sz w:val="20"/>
          <w:szCs w:val="20"/>
          <w:color w:val="auto"/>
        </w:rPr>
      </w:pPr>
    </w:p>
    <w:p>
      <w:pPr>
        <w:jc w:val="both"/>
        <w:ind w:firstLine="358"/>
        <w:spacing w:after="0" w:line="250" w:lineRule="auto"/>
        <w:rPr>
          <w:sz w:val="20"/>
          <w:szCs w:val="20"/>
          <w:color w:val="auto"/>
        </w:rPr>
      </w:pPr>
      <w:r>
        <w:rPr>
          <w:rFonts w:ascii="Times New Roman" w:cs="Times New Roman" w:eastAsia="Times New Roman" w:hAnsi="Times New Roman"/>
          <w:sz w:val="18"/>
          <w:szCs w:val="18"/>
          <w:color w:val="auto"/>
        </w:rPr>
        <w:t>Holders of the Series A Preferred Shares are entitled to a dividend at the initial rate of 7% of the Liquidation Preference per annum, paid in cash, in-kind in common shares or in Series A Preferred Shares, at our election. On the five-year anniversary of the issuance of the Series A Preferred Shares, and each five-year anniversary thereafter, the dividend rate will reset to a rate equal to the five-year U.S. treasury rate plus 5.2%. Dividends accrue and are payable quarterly. Cash dividends of $5.3 million were paid in the six months ended June 30, 2024 including cash dividends paid in January and April for the three month periods ended December 31, 2023 and March 31, 2024. Cash dividends of $2.6 million for the second quarter of 2024 were paid on July 1, 2024. In the six months ended June 30, 2023, cash dividends of $7.9 million were paid including cash dividends paid in January, March, and June for the three month periods ended December 31, 2022, March 31, 2023, and June 30, 2023, respectively.</w:t>
      </w:r>
    </w:p>
    <w:p>
      <w:pPr>
        <w:spacing w:after="0" w:line="8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At June 30, 2024, the Bermuda holding company had $85.8 million of cash and cash equivalents. The U.S. holding company had $16.3 million of cash and invested assets, comprised of cash and cash equivalents of $12.7 million, equities of $3.0 million and other invested assets of $664,000, which are not subject to regulatory restrictions. Additionally, our U.K. intermediate holding company had no invested assets and cash of less than ten thousand dollars at June 30, 2024.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At June 30, 2024, the Company had a $257.5 million senior revolving credit facility (as amended or amended and restated, the “2013 Facility”). The 2013</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was comprised of the following at June 30, 2024:</w:t>
      </w:r>
    </w:p>
    <w:p>
      <w:pPr>
        <w:spacing w:after="0" w:line="92" w:lineRule="exact"/>
        <w:rPr>
          <w:sz w:val="20"/>
          <w:szCs w:val="20"/>
          <w:color w:val="auto"/>
        </w:rPr>
      </w:pPr>
    </w:p>
    <w:p>
      <w:pPr>
        <w:jc w:val="both"/>
        <w:ind w:left="640" w:hanging="316"/>
        <w:spacing w:after="0" w:line="252"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$212.5 million unsecured revolving facility to meet the working capital needs of the Company. All unpaid principal on the revolver is due at maturity. Interest accrues quarterly and is payable in arrears, currently at 1-month SOFR (the Company, per the terms of the credit agreement, can elect between one, three, or six month interest periods) plus a 0.1% SOFR index adjustment and a SOFR margin which is currently 1.75% and is subject to change according to terms in the credit agreement. At June 30, 2024, the Company had a drawn balance of $185.8 million outstanding on the unsecured revolver.</w:t>
      </w:r>
    </w:p>
    <w:p>
      <w:pPr>
        <w:spacing w:after="0" w:line="79"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$45.0 million secured revolving facility to issue letters of credit for the benefit of third-party reinsureds. At </w:t>
      </w:r>
      <w:r>
        <w:rPr>
          <w:rFonts w:ascii="Times New Roman" w:cs="Times New Roman" w:eastAsia="Times New Roman" w:hAnsi="Times New Roman"/>
          <w:sz w:val="18"/>
          <w:szCs w:val="18"/>
          <w:color w:val="231F20"/>
        </w:rPr>
        <w:t>June 30, 2024</w:t>
      </w:r>
      <w:r>
        <w:rPr>
          <w:rFonts w:ascii="Times New Roman" w:cs="Times New Roman" w:eastAsia="Times New Roman" w:hAnsi="Times New Roman"/>
          <w:sz w:val="18"/>
          <w:szCs w:val="18"/>
          <w:color w:val="auto"/>
        </w:rPr>
        <w:t>, the Company had $36.0 million of letters of credit issued under the secured facility, all of which are collateralized by a back-to-back letter of credit issued by Comerica Bank on behalf of JRG Re.</w:t>
      </w:r>
    </w:p>
    <w:p>
      <w:pPr>
        <w:spacing w:after="0" w:line="7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July 7, 2023, the Company entered into a Third Amended and Restated Credit Agreement for the 2013 Facility which, among other things, extended the maturity date of such facility until July 7, 2026 and increased the applicable interest rate and letter of credit fees. The 2013 Facility has been amended from time to time, including on April 16, 2024 when the 2013 Facility was amended in connection with the closing of the sale of JRG Re by the Company to (i) release JRG Re as a borrower and release all collateral pledged by JRG Re thereunder, and (ii) decrease the secured revolving facility commitment from $102.5 million to $45.0 million.</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2013 Facility contains certain financial and other covenants (including minimum net worth, maximum ratio of total adjusted debt outstanding to total capitalization, and financial strength ratings) with which the Company was in compliance at June 30, 2024.</w:t>
      </w:r>
    </w:p>
    <w:p>
      <w:pPr>
        <w:spacing w:after="0" w:line="5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August 2, 2017, the Company, and its former wholly-owned subsidiary, JRG Re, together as borrowers, entered into a credit agreement (the "2017 Facility") that provided the Company with a revolving line of credit of up to $100.0 million, which may be used for loans and, until April 16, 2024, letters of credit made or issued, at the borrowers' option, on a secured or unsecured basis. Obligations under the 2017 Facility carry a variable rate of interest subject to terms in the credit agreement and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will mature 30 days after notice of termination from the lender. The loans made under the revolving line of credit of the 2017 Facility may be used to finance the borrowers' general corporate purposes. Interest accrues and is payable in arrears at variable rates which are subject to change according to terms in the credit agreement. In the three months ended </w:t>
      </w:r>
      <w:r>
        <w:rPr>
          <w:rFonts w:ascii="Times New Roman" w:cs="Times New Roman" w:eastAsia="Times New Roman" w:hAnsi="Times New Roman"/>
          <w:sz w:val="18"/>
          <w:szCs w:val="18"/>
          <w:color w:val="231F20"/>
        </w:rPr>
        <w:t>June 30, 2024, the Company repaid $21.5 million of unsecured loans under the facility. At June 30, 2024, there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were no loans outstanding and $24.7 million of </w:t>
      </w:r>
      <w:r>
        <w:rPr>
          <w:rFonts w:ascii="Times New Roman" w:cs="Times New Roman" w:eastAsia="Times New Roman" w:hAnsi="Times New Roman"/>
          <w:sz w:val="18"/>
          <w:szCs w:val="18"/>
          <w:color w:val="000000"/>
        </w:rPr>
        <w:t>letters of credit were issued</w:t>
      </w:r>
      <w:r>
        <w:rPr>
          <w:rFonts w:ascii="Times New Roman" w:cs="Times New Roman" w:eastAsia="Times New Roman" w:hAnsi="Times New Roman"/>
          <w:sz w:val="18"/>
          <w:szCs w:val="18"/>
          <w:color w:val="231F20"/>
        </w:rPr>
        <w:t xml:space="preserve"> under the facility</w:t>
      </w:r>
      <w:r>
        <w:rPr>
          <w:rFonts w:ascii="Times New Roman" w:cs="Times New Roman" w:eastAsia="Times New Roman" w:hAnsi="Times New Roman"/>
          <w:sz w:val="18"/>
          <w:szCs w:val="18"/>
          <w:color w:val="000000"/>
        </w:rPr>
        <w:t>, all of which are collateralized by a back-to-back letter of credit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issued by Comerica Bank on behalf of JRG Re</w:t>
      </w:r>
      <w:r>
        <w:rPr>
          <w:rFonts w:ascii="Times New Roman" w:cs="Times New Roman" w:eastAsia="Times New Roman" w:hAnsi="Times New Roman"/>
          <w:sz w:val="18"/>
          <w:szCs w:val="18"/>
          <w:color w:val="231F20"/>
        </w:rPr>
        <w:t>.</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2017 Facility has been amended from time to time since its inception in 2017, including on April 16, 2024 in connection with the closing of the sale of JRG Re by the Company to (i) release JRG Re as a borrower and release all collateral pledged by JRG Re thereunder, (ii) increase the applicable interest rates, (iii) eliminate the letter of credit portion of the facility, and (iv) to build in an automatic decrease of the facility amount by the amount of each letter of credit outstanding under the 2017 Facility as of the date of the amendment with effect from the date each such letter of credit is cancelled.</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2017 Facility contains certain financial and other covenants (including minimum net worth, maximum ratio of total adjusted debt outstanding to total capitalization, and financial strength ratings) with which the Company was in compliance at June 30, 2024.</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Debt and Trust Preferred Securities</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May 26, 2004, we issued $15.0 million of senior debt due April 29, 2034. The senior debt is not redeemable by the holder or subject to sinking fund requirements. Interest accrues quarterly and is payable in arrears at a floating rate per annum equal to the 3-month SOFR plus 4.11%. This senior debt is redeemable at par prior to its stated maturity at our option in whole or in part. The terms of the senior debt contain certain covenants, with which we are in compliance at June 30, 2024, and which, among other things, restrict our ability to assume senior indebtedness secured by our U.S. holding company’s common stock or its subsidiaries’ capital stock or to issue shares of its subsidiaries’ capital stock.</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From May 2004 through January 2008, we sold trust preferred securities through five Delaware statutory trusts sponsored and wholly-owned by the Company or its subsidiaries. Each trust used the net proceeds from the sale of its trust preferred securities to purchase our floating-rate junior subordinated debt.</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nature and terms of the junior subordinated debt and trust preferred securities outstanding at June 30, 2024 (including the Company’s repurchases of a portion of these trust preferred securities):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Franklin</w:t>
            </w:r>
          </w:p>
        </w:tc>
        <w:tc>
          <w:tcPr>
            <w:tcW w:w="0" w:type="dxa"/>
            <w:vAlign w:val="bottom"/>
          </w:tcPr>
          <w:p>
            <w:pPr>
              <w:spacing w:after="0"/>
              <w:rPr>
                <w:sz w:val="1"/>
                <w:szCs w:val="1"/>
                <w:color w:val="auto"/>
              </w:rPr>
            </w:pPr>
          </w:p>
        </w:tc>
      </w:tr>
      <w:tr>
        <w:trPr>
          <w:trHeight w:val="144"/>
        </w:trPr>
        <w:tc>
          <w:tcPr>
            <w:tcW w:w="304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James River</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James River</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James River</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James River</w:t>
            </w:r>
          </w:p>
        </w:tc>
        <w:tc>
          <w:tcPr>
            <w:tcW w:w="15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Holdings II</w:t>
            </w:r>
          </w:p>
        </w:tc>
        <w:tc>
          <w:tcPr>
            <w:tcW w:w="0" w:type="dxa"/>
            <w:vAlign w:val="bottom"/>
          </w:tcPr>
          <w:p>
            <w:pPr>
              <w:spacing w:after="0"/>
              <w:rPr>
                <w:sz w:val="1"/>
                <w:szCs w:val="1"/>
                <w:color w:val="auto"/>
              </w:rPr>
            </w:pPr>
          </w:p>
        </w:tc>
      </w:tr>
      <w:tr>
        <w:trPr>
          <w:trHeight w:val="134"/>
        </w:trPr>
        <w:tc>
          <w:tcPr>
            <w:tcW w:w="304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78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15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7"/>
              </w:rPr>
              <w:t>(Bermuda)</w:t>
            </w:r>
          </w:p>
        </w:tc>
        <w:tc>
          <w:tcPr>
            <w:tcW w:w="0" w:type="dxa"/>
            <w:vAlign w:val="bottom"/>
          </w:tcPr>
          <w:p>
            <w:pPr>
              <w:spacing w:after="0"/>
              <w:rPr>
                <w:sz w:val="1"/>
                <w:szCs w:val="1"/>
                <w:color w:val="auto"/>
              </w:rPr>
            </w:pPr>
          </w:p>
        </w:tc>
      </w:tr>
      <w:tr>
        <w:trPr>
          <w:trHeight w:val="144"/>
        </w:trPr>
        <w:tc>
          <w:tcPr>
            <w:tcW w:w="3040" w:type="dxa"/>
            <w:vAlign w:val="bottom"/>
          </w:tcPr>
          <w:p>
            <w:pPr>
              <w:spacing w:after="0"/>
              <w:rPr>
                <w:sz w:val="12"/>
                <w:szCs w:val="12"/>
                <w:color w:val="auto"/>
              </w:rPr>
            </w:pPr>
          </w:p>
        </w:tc>
        <w:tc>
          <w:tcPr>
            <w:tcW w:w="15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7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5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7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5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0" w:type="dxa"/>
            <w:vAlign w:val="bottom"/>
          </w:tcPr>
          <w:p>
            <w:pPr>
              <w:spacing w:after="0"/>
              <w:rPr>
                <w:sz w:val="1"/>
                <w:szCs w:val="1"/>
                <w:color w:val="auto"/>
              </w:rPr>
            </w:pPr>
          </w:p>
        </w:tc>
      </w:tr>
      <w:tr>
        <w:trPr>
          <w:trHeight w:val="193"/>
        </w:trPr>
        <w:tc>
          <w:tcPr>
            <w:tcW w:w="304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Trust I</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Trust II</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Trust III</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Trust IV</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Trust I</w:t>
            </w:r>
          </w:p>
        </w:tc>
        <w:tc>
          <w:tcPr>
            <w:tcW w:w="0" w:type="dxa"/>
            <w:vAlign w:val="bottom"/>
          </w:tcPr>
          <w:p>
            <w:pPr>
              <w:spacing w:after="0"/>
              <w:rPr>
                <w:sz w:val="1"/>
                <w:szCs w:val="1"/>
                <w:color w:val="auto"/>
              </w:rPr>
            </w:pPr>
          </w:p>
        </w:tc>
      </w:tr>
      <w:tr>
        <w:trPr>
          <w:trHeight w:val="191"/>
        </w:trPr>
        <w:tc>
          <w:tcPr>
            <w:tcW w:w="30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9"/>
              </w:rPr>
              <w:t>($ in thousands)</w:t>
            </w:r>
          </w:p>
        </w:tc>
        <w:tc>
          <w:tcPr>
            <w:tcW w:w="17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 date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May 26, 2004</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December 15, 2004</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June 15, 2006</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December 11, 2007</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January 10, 2008</w:t>
            </w:r>
          </w:p>
        </w:tc>
        <w:tc>
          <w:tcPr>
            <w:tcW w:w="0" w:type="dxa"/>
            <w:vAlign w:val="bottom"/>
          </w:tcPr>
          <w:p>
            <w:pPr>
              <w:spacing w:after="0"/>
              <w:rPr>
                <w:sz w:val="1"/>
                <w:szCs w:val="1"/>
                <w:color w:val="auto"/>
              </w:rPr>
            </w:pPr>
          </w:p>
        </w:tc>
      </w:tr>
      <w:tr>
        <w:trPr>
          <w:trHeight w:val="191"/>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amount of trust preferred securities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$7,000</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$15,000</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$20,000</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$54,000</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$30,000</w:t>
            </w:r>
          </w:p>
        </w:tc>
        <w:tc>
          <w:tcPr>
            <w:tcW w:w="0" w:type="dxa"/>
            <w:vAlign w:val="bottom"/>
          </w:tcPr>
          <w:p>
            <w:pPr>
              <w:spacing w:after="0"/>
              <w:rPr>
                <w:sz w:val="1"/>
                <w:szCs w:val="1"/>
                <w:color w:val="auto"/>
              </w:rPr>
            </w:pPr>
          </w:p>
        </w:tc>
      </w:tr>
      <w:tr>
        <w:trPr>
          <w:trHeight w:val="20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 amount of junior subordinated debt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$7,217</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$15,464</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$20,619</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$55,670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$30,928</w:t>
            </w:r>
          </w:p>
        </w:tc>
        <w:tc>
          <w:tcPr>
            <w:tcW w:w="0" w:type="dxa"/>
            <w:vAlign w:val="bottom"/>
          </w:tcPr>
          <w:p>
            <w:pPr>
              <w:spacing w:after="0"/>
              <w:rPr>
                <w:sz w:val="1"/>
                <w:szCs w:val="1"/>
                <w:color w:val="auto"/>
              </w:rPr>
            </w:pPr>
          </w:p>
        </w:tc>
      </w:tr>
      <w:tr>
        <w:trPr>
          <w:trHeight w:val="136"/>
        </w:trPr>
        <w:tc>
          <w:tcPr>
            <w:tcW w:w="304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Carrying amount of junior subordinated debt net of</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$7,217</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$15,464</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$20,619</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$44,827</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$15,928</w:t>
            </w:r>
          </w:p>
        </w:tc>
        <w:tc>
          <w:tcPr>
            <w:tcW w:w="0" w:type="dxa"/>
            <w:vAlign w:val="bottom"/>
          </w:tcPr>
          <w:p>
            <w:pPr>
              <w:spacing w:after="0"/>
              <w:rPr>
                <w:sz w:val="1"/>
                <w:szCs w:val="1"/>
                <w:color w:val="auto"/>
              </w:rPr>
            </w:pPr>
          </w:p>
        </w:tc>
      </w:tr>
      <w:tr>
        <w:trPr>
          <w:trHeight w:val="189"/>
        </w:trPr>
        <w:tc>
          <w:tcPr>
            <w:tcW w:w="3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w:t>
            </w:r>
          </w:p>
        </w:tc>
        <w:tc>
          <w:tcPr>
            <w:tcW w:w="1520" w:type="dxa"/>
            <w:vAlign w:val="bottom"/>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172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Maturity date of junior subordinated debt, unless</w:t>
            </w: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May 24, 2034</w:t>
            </w:r>
          </w:p>
        </w:tc>
        <w:tc>
          <w:tcPr>
            <w:tcW w:w="1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December 15, 2034</w:t>
            </w:r>
          </w:p>
        </w:tc>
        <w:tc>
          <w:tcPr>
            <w:tcW w:w="1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June 15, 2036</w:t>
            </w:r>
          </w:p>
        </w:tc>
        <w:tc>
          <w:tcPr>
            <w:tcW w:w="1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December 15, 2037</w:t>
            </w:r>
          </w:p>
        </w:tc>
        <w:tc>
          <w:tcPr>
            <w:tcW w:w="1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March 15, 2038</w:t>
            </w:r>
          </w:p>
        </w:tc>
        <w:tc>
          <w:tcPr>
            <w:tcW w:w="0" w:type="dxa"/>
            <w:vAlign w:val="bottom"/>
          </w:tcPr>
          <w:p>
            <w:pPr>
              <w:spacing w:after="0"/>
              <w:rPr>
                <w:sz w:val="1"/>
                <w:szCs w:val="1"/>
                <w:color w:val="auto"/>
              </w:rPr>
            </w:pPr>
          </w:p>
        </w:tc>
      </w:tr>
      <w:tr>
        <w:trPr>
          <w:trHeight w:val="195"/>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accelerated earlier</w:t>
            </w:r>
          </w:p>
        </w:tc>
        <w:tc>
          <w:tcPr>
            <w:tcW w:w="1520" w:type="dxa"/>
            <w:vAlign w:val="bottom"/>
            <w:vMerge w:val="continue"/>
            <w:shd w:val="clear" w:color="auto" w:fill="CCEEFF"/>
          </w:tcPr>
          <w:p>
            <w:pPr>
              <w:spacing w:after="0"/>
              <w:rPr>
                <w:sz w:val="16"/>
                <w:szCs w:val="16"/>
                <w:color w:val="auto"/>
              </w:rPr>
            </w:pPr>
          </w:p>
        </w:tc>
        <w:tc>
          <w:tcPr>
            <w:tcW w:w="1780" w:type="dxa"/>
            <w:vAlign w:val="bottom"/>
            <w:vMerge w:val="continue"/>
            <w:shd w:val="clear" w:color="auto" w:fill="CCEEFF"/>
          </w:tcPr>
          <w:p>
            <w:pPr>
              <w:spacing w:after="0"/>
              <w:rPr>
                <w:sz w:val="16"/>
                <w:szCs w:val="16"/>
                <w:color w:val="auto"/>
              </w:rPr>
            </w:pPr>
          </w:p>
        </w:tc>
        <w:tc>
          <w:tcPr>
            <w:tcW w:w="1580" w:type="dxa"/>
            <w:vAlign w:val="bottom"/>
            <w:vMerge w:val="continue"/>
            <w:shd w:val="clear" w:color="auto" w:fill="CCEEFF"/>
          </w:tcPr>
          <w:p>
            <w:pPr>
              <w:spacing w:after="0"/>
              <w:rPr>
                <w:sz w:val="16"/>
                <w:szCs w:val="16"/>
                <w:color w:val="auto"/>
              </w:rPr>
            </w:pPr>
          </w:p>
        </w:tc>
        <w:tc>
          <w:tcPr>
            <w:tcW w:w="1720" w:type="dxa"/>
            <w:vAlign w:val="bottom"/>
            <w:vMerge w:val="continue"/>
            <w:shd w:val="clear" w:color="auto" w:fill="CCEEFF"/>
          </w:tcPr>
          <w:p>
            <w:pPr>
              <w:spacing w:after="0"/>
              <w:rPr>
                <w:sz w:val="16"/>
                <w:szCs w:val="16"/>
                <w:color w:val="auto"/>
              </w:rPr>
            </w:pPr>
          </w:p>
        </w:tc>
        <w:tc>
          <w:tcPr>
            <w:tcW w:w="1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Trust common stock</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$217</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$464</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$619</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$1,670</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$928</w:t>
            </w:r>
          </w:p>
        </w:tc>
        <w:tc>
          <w:tcPr>
            <w:tcW w:w="0" w:type="dxa"/>
            <w:vAlign w:val="bottom"/>
          </w:tcPr>
          <w:p>
            <w:pPr>
              <w:spacing w:after="0"/>
              <w:rPr>
                <w:sz w:val="1"/>
                <w:szCs w:val="1"/>
                <w:color w:val="auto"/>
              </w:rPr>
            </w:pPr>
          </w:p>
        </w:tc>
      </w:tr>
      <w:tr>
        <w:trPr>
          <w:trHeight w:val="144"/>
        </w:trPr>
        <w:tc>
          <w:tcPr>
            <w:tcW w:w="30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Interest rate, per annum</w:t>
            </w:r>
          </w:p>
        </w:tc>
        <w:tc>
          <w:tcPr>
            <w:tcW w:w="152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4"/>
                <w:szCs w:val="14"/>
                <w:color w:val="auto"/>
              </w:rPr>
              <w:t>Three-Month</w:t>
            </w:r>
          </w:p>
        </w:tc>
        <w:tc>
          <w:tcPr>
            <w:tcW w:w="178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4"/>
                <w:szCs w:val="14"/>
                <w:color w:val="auto"/>
                <w:w w:val="99"/>
              </w:rPr>
              <w:t>Three-Month</w:t>
            </w:r>
          </w:p>
        </w:tc>
        <w:tc>
          <w:tcPr>
            <w:tcW w:w="158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4"/>
                <w:szCs w:val="14"/>
                <w:color w:val="auto"/>
                <w:w w:val="99"/>
              </w:rPr>
              <w:t>Three-Month</w:t>
            </w:r>
          </w:p>
        </w:tc>
        <w:tc>
          <w:tcPr>
            <w:tcW w:w="172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4"/>
                <w:szCs w:val="14"/>
                <w:color w:val="auto"/>
              </w:rPr>
              <w:t>Three-Month</w:t>
            </w:r>
          </w:p>
        </w:tc>
        <w:tc>
          <w:tcPr>
            <w:tcW w:w="158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4"/>
                <w:szCs w:val="14"/>
                <w:color w:val="auto"/>
              </w:rPr>
              <w:t>Three-Month</w:t>
            </w:r>
          </w:p>
        </w:tc>
        <w:tc>
          <w:tcPr>
            <w:tcW w:w="0" w:type="dxa"/>
            <w:vAlign w:val="bottom"/>
          </w:tcPr>
          <w:p>
            <w:pPr>
              <w:spacing w:after="0"/>
              <w:rPr>
                <w:sz w:val="1"/>
                <w:szCs w:val="1"/>
                <w:color w:val="auto"/>
              </w:rPr>
            </w:pPr>
          </w:p>
        </w:tc>
      </w:tr>
      <w:tr>
        <w:trPr>
          <w:trHeight w:val="142"/>
        </w:trPr>
        <w:tc>
          <w:tcPr>
            <w:tcW w:w="3040" w:type="dxa"/>
            <w:vAlign w:val="bottom"/>
            <w:shd w:val="clear" w:color="auto" w:fill="CCEEFF"/>
          </w:tcPr>
          <w:p>
            <w:pPr>
              <w:spacing w:after="0"/>
              <w:rPr>
                <w:sz w:val="12"/>
                <w:szCs w:val="12"/>
                <w:color w:val="auto"/>
              </w:rPr>
            </w:pPr>
          </w:p>
        </w:tc>
        <w:tc>
          <w:tcPr>
            <w:tcW w:w="15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SOFR plus</w:t>
            </w:r>
          </w:p>
        </w:tc>
        <w:tc>
          <w:tcPr>
            <w:tcW w:w="17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SOFR plus</w:t>
            </w:r>
          </w:p>
        </w:tc>
        <w:tc>
          <w:tcPr>
            <w:tcW w:w="15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SOFR plus</w:t>
            </w:r>
          </w:p>
        </w:tc>
        <w:tc>
          <w:tcPr>
            <w:tcW w:w="17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SOFR plus</w:t>
            </w:r>
          </w:p>
        </w:tc>
        <w:tc>
          <w:tcPr>
            <w:tcW w:w="15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SOFR plus</w:t>
            </w:r>
          </w:p>
        </w:tc>
        <w:tc>
          <w:tcPr>
            <w:tcW w:w="0" w:type="dxa"/>
            <w:vAlign w:val="bottom"/>
          </w:tcPr>
          <w:p>
            <w:pPr>
              <w:spacing w:after="0"/>
              <w:rPr>
                <w:sz w:val="1"/>
                <w:szCs w:val="1"/>
                <w:color w:val="auto"/>
              </w:rPr>
            </w:pPr>
          </w:p>
        </w:tc>
      </w:tr>
      <w:tr>
        <w:trPr>
          <w:trHeight w:val="199"/>
        </w:trPr>
        <w:tc>
          <w:tcPr>
            <w:tcW w:w="304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4.3%</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All of the junior subordinated debt is currently redeemable at 100.0% of the unpaid principal amount at our option.</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junior subordinated debt contains certain covenants with which we are in compliance as of June 30, 2024.</w:t>
      </w:r>
    </w:p>
    <w:p>
      <w:pPr>
        <w:spacing w:after="0" w:line="11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At June 30, 2024 and December 31, 2023, the Company's leverage ratio was 23.6% and 26.0%, respectively. The leverage ratio is defined in our senior credit agreements as the ratio of adjusted consolidated debt to total capital. Adjusted consolidated debt treats trust preferred securities as equity capital up to 15% of total capital. The Series A Preferred Shares represent equity capital for purposes of the leverage ratio calculation under the credit agreements. Total capital is defined as total debt plus tangible equity excluding accumulated other comprehensive income. The maximum leverage ratio permitted by the agreements is 35.0%.</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Ceded Reinsurance</w:t>
      </w:r>
    </w:p>
    <w:p>
      <w:pPr>
        <w:spacing w:after="0" w:line="115" w:lineRule="exact"/>
        <w:rPr>
          <w:sz w:val="20"/>
          <w:szCs w:val="20"/>
          <w:color w:val="auto"/>
        </w:rPr>
      </w:pPr>
    </w:p>
    <w:p>
      <w:pPr>
        <w:jc w:val="both"/>
        <w:ind w:firstLine="358"/>
        <w:spacing w:after="0" w:line="248" w:lineRule="auto"/>
        <w:rPr>
          <w:sz w:val="20"/>
          <w:szCs w:val="20"/>
          <w:color w:val="auto"/>
        </w:rPr>
      </w:pPr>
      <w:r>
        <w:rPr>
          <w:rFonts w:ascii="Times New Roman" w:cs="Times New Roman" w:eastAsia="Times New Roman" w:hAnsi="Times New Roman"/>
          <w:sz w:val="18"/>
          <w:szCs w:val="18"/>
          <w:color w:val="auto"/>
        </w:rPr>
        <w:t>Our insurance segments enter into reinsurance contracts to limit our exposure to potential losses arising from large risks, to protect against the aggregation of several risks in a common loss occurrence, and to provide additional capacity for growth. Our reinsurance is contracted under excess of loss and proportional quota share reinsurance contracts. In excess of loss reinsurance, the reinsurer agrees to assume all or a portion of the ceding company’s losses in excess of a specified amount. The premiums payable to the reinsurer are negotiated by the parties based on their assessment of the amount of risk being ceded to the reinsurer because the reinsurer does not share proportionately in the ceding company’s losses. In proportional quota share reinsurance, the reinsurer agrees to assume a specified percentage of the ceding company’s losses arising out of a defined class of business in exchange for a corresponding percentage of premiums. The Company also utilizes facultative reinsurance to reduce the amount of exposure it retains on individual accounts according to its guidelines for accepting risk across various industry segments, locations and types of exposure. For the three months ended June 30, 2024 and 2023, our net premium retention was 44.0% and 48.3%, respectively. For the six months ended June 30, 2024 and 2023, our net premium retention was 43.0% and 48.4%, respectively.</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summary of our Excess and Surplus Lines segment’s ceded reinsurance in place as of June 30, 2024:</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Line of Business</w:t>
            </w:r>
          </w:p>
        </w:tc>
        <w:tc>
          <w:tcPr>
            <w:tcW w:w="7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Company Retention</w:t>
            </w:r>
          </w:p>
        </w:tc>
      </w:tr>
      <w:tr>
        <w:trPr>
          <w:trHeight w:val="24"/>
        </w:trPr>
        <w:tc>
          <w:tcPr>
            <w:tcW w:w="37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7080" w:type="dxa"/>
            <w:vAlign w:val="bottom"/>
            <w:tcBorders>
              <w:bottom w:val="single" w:sz="8" w:color="auto"/>
            </w:tcBorders>
          </w:tcPr>
          <w:p>
            <w:pPr>
              <w:spacing w:after="0"/>
              <w:rPr>
                <w:sz w:val="2"/>
                <w:szCs w:val="2"/>
                <w:color w:val="auto"/>
              </w:rPr>
            </w:pPr>
          </w:p>
        </w:tc>
      </w:tr>
      <w:tr>
        <w:trPr>
          <w:trHeight w:val="21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Casualty</w:t>
            </w:r>
          </w:p>
        </w:tc>
        <w:tc>
          <w:tcPr>
            <w:tcW w:w="360" w:type="dxa"/>
            <w:vAlign w:val="bottom"/>
          </w:tcPr>
          <w:p>
            <w:pPr>
              <w:spacing w:after="0"/>
              <w:rPr>
                <w:sz w:val="19"/>
                <w:szCs w:val="19"/>
                <w:color w:val="auto"/>
              </w:rPr>
            </w:pPr>
          </w:p>
        </w:tc>
        <w:tc>
          <w:tcPr>
            <w:tcW w:w="7080" w:type="dxa"/>
            <w:vAlign w:val="bottom"/>
          </w:tcPr>
          <w:p>
            <w:pPr>
              <w:spacing w:after="0"/>
              <w:rPr>
                <w:sz w:val="19"/>
                <w:szCs w:val="19"/>
                <w:color w:val="auto"/>
              </w:rPr>
            </w:pPr>
          </w:p>
        </w:tc>
      </w:tr>
      <w:tr>
        <w:trPr>
          <w:trHeight w:val="225"/>
        </w:trPr>
        <w:tc>
          <w:tcPr>
            <w:tcW w:w="4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Casualty</w:t>
            </w:r>
          </w:p>
        </w:tc>
        <w:tc>
          <w:tcPr>
            <w:tcW w:w="70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Up to $3.2 million per occurrence.</w:t>
            </w:r>
            <w:r>
              <w:rPr>
                <w:rFonts w:ascii="Times New Roman" w:cs="Times New Roman" w:eastAsia="Times New Roman" w:hAnsi="Times New Roman"/>
                <w:sz w:val="22"/>
                <w:szCs w:val="22"/>
                <w:color w:val="auto"/>
                <w:vertAlign w:val="superscript"/>
              </w:rPr>
              <w:t>(1)</w:t>
            </w:r>
          </w:p>
        </w:tc>
      </w:tr>
      <w:tr>
        <w:trPr>
          <w:trHeight w:val="225"/>
        </w:trPr>
        <w:tc>
          <w:tcPr>
            <w:tcW w:w="4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Primary Casualty</w:t>
            </w:r>
          </w:p>
        </w:tc>
        <w:tc>
          <w:tcPr>
            <w:tcW w:w="70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Up to $1.38 million per occurrence.</w:t>
            </w:r>
            <w:r>
              <w:rPr>
                <w:rFonts w:ascii="Times New Roman" w:cs="Times New Roman" w:eastAsia="Times New Roman" w:hAnsi="Times New Roman"/>
                <w:sz w:val="22"/>
                <w:szCs w:val="22"/>
                <w:color w:val="auto"/>
                <w:vertAlign w:val="superscript"/>
              </w:rPr>
              <w:t>(2)</w:t>
            </w:r>
          </w:p>
        </w:tc>
      </w:tr>
      <w:tr>
        <w:trPr>
          <w:trHeight w:val="225"/>
        </w:trPr>
        <w:tc>
          <w:tcPr>
            <w:tcW w:w="4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Excess Casualty</w:t>
            </w:r>
          </w:p>
        </w:tc>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 to $1.98 million per occurrence.</w:t>
            </w:r>
          </w:p>
        </w:tc>
      </w:tr>
      <w:tr>
        <w:trPr>
          <w:trHeight w:val="225"/>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7080" w:type="dxa"/>
            <w:vAlign w:val="bottom"/>
          </w:tcPr>
          <w:p>
            <w:pPr>
              <w:spacing w:after="0"/>
              <w:rPr>
                <w:sz w:val="19"/>
                <w:szCs w:val="19"/>
                <w:color w:val="auto"/>
              </w:rPr>
            </w:pPr>
          </w:p>
        </w:tc>
      </w:tr>
      <w:tr>
        <w:trPr>
          <w:trHeight w:val="225"/>
        </w:trPr>
        <w:tc>
          <w:tcPr>
            <w:tcW w:w="4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Excess Property</w:t>
            </w:r>
          </w:p>
        </w:tc>
        <w:tc>
          <w:tcPr>
            <w:tcW w:w="70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Up to $5.0 million per risk.</w:t>
            </w:r>
            <w:r>
              <w:rPr>
                <w:rFonts w:ascii="Times New Roman" w:cs="Times New Roman" w:eastAsia="Times New Roman" w:hAnsi="Times New Roman"/>
                <w:sz w:val="22"/>
                <w:szCs w:val="22"/>
                <w:color w:val="auto"/>
                <w:vertAlign w:val="superscript"/>
              </w:rPr>
              <w:t>(3)</w:t>
            </w:r>
          </w:p>
        </w:tc>
      </w:tr>
    </w:tbl>
    <w:p>
      <w:pPr>
        <w:spacing w:after="0" w:line="178" w:lineRule="exact"/>
        <w:rPr>
          <w:sz w:val="20"/>
          <w:szCs w:val="20"/>
          <w:color w:val="auto"/>
        </w:rPr>
      </w:pPr>
    </w:p>
    <w:p>
      <w:pPr>
        <w:ind w:left="380" w:hanging="374"/>
        <w:spacing w:after="0"/>
        <w:tabs>
          <w:tab w:leader="none" w:pos="38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Excluding Excess Casualty.</w:t>
      </w:r>
    </w:p>
    <w:p>
      <w:pPr>
        <w:spacing w:after="0" w:line="26" w:lineRule="exact"/>
        <w:rPr>
          <w:rFonts w:ascii="Times New Roman" w:cs="Times New Roman" w:eastAsia="Times New Roman" w:hAnsi="Times New Roman"/>
          <w:sz w:val="18"/>
          <w:szCs w:val="18"/>
          <w:i w:val="1"/>
          <w:iCs w:val="1"/>
          <w:color w:val="auto"/>
        </w:rPr>
      </w:pPr>
    </w:p>
    <w:p>
      <w:pPr>
        <w:ind w:left="380" w:hanging="374"/>
        <w:spacing w:after="0"/>
        <w:tabs>
          <w:tab w:leader="none" w:pos="38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Total exposure to any one claim is generally $690,000.</w:t>
      </w:r>
    </w:p>
    <w:p>
      <w:pPr>
        <w:spacing w:after="0" w:line="5" w:lineRule="exact"/>
        <w:rPr>
          <w:rFonts w:ascii="Times New Roman" w:cs="Times New Roman" w:eastAsia="Times New Roman" w:hAnsi="Times New Roman"/>
          <w:sz w:val="18"/>
          <w:szCs w:val="18"/>
          <w:i w:val="1"/>
          <w:iCs w:val="1"/>
          <w:color w:val="auto"/>
        </w:rPr>
      </w:pPr>
    </w:p>
    <w:p>
      <w:pPr>
        <w:ind w:left="380" w:hanging="374"/>
        <w:spacing w:after="0"/>
        <w:tabs>
          <w:tab w:leader="none" w:pos="38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property catastrophe reinsurance treaty has a limit of $20.0 million per event with one reinstatement.</w:t>
      </w:r>
    </w:p>
    <w:p>
      <w:pPr>
        <w:spacing w:after="0" w:line="145" w:lineRule="exact"/>
        <w:rPr>
          <w:sz w:val="20"/>
          <w:szCs w:val="20"/>
          <w:color w:val="auto"/>
        </w:rPr>
      </w:pPr>
    </w:p>
    <w:p>
      <w:pPr>
        <w:jc w:val="both"/>
        <w:ind w:firstLine="358"/>
        <w:spacing w:after="0" w:line="259" w:lineRule="auto"/>
        <w:rPr>
          <w:sz w:val="20"/>
          <w:szCs w:val="20"/>
          <w:color w:val="auto"/>
        </w:rPr>
      </w:pPr>
      <w:r>
        <w:rPr>
          <w:rFonts w:ascii="Times New Roman" w:cs="Times New Roman" w:eastAsia="Times New Roman" w:hAnsi="Times New Roman"/>
          <w:sz w:val="18"/>
          <w:szCs w:val="18"/>
          <w:color w:val="auto"/>
        </w:rPr>
        <w:t>We use catastrophe modeling software to analyze the risk of severe losses from hurricanes and earthquakes on our exposure. We utilize the model in our risk selection, pricing, and to manage our overall portfolio probable maximum loss (“PML”) accumulations. A PML is an estimate of the amount we would expect to pay in any one catastrophe event within a given annual probability of occurrence (i.e. a return period or loss exceedance probability).</w:t>
      </w:r>
    </w:p>
    <w:p>
      <w:pPr>
        <w:spacing w:after="0" w:line="72" w:lineRule="exact"/>
        <w:rPr>
          <w:sz w:val="20"/>
          <w:szCs w:val="20"/>
          <w:color w:val="auto"/>
        </w:rPr>
      </w:pPr>
    </w:p>
    <w:p>
      <w:pPr>
        <w:jc w:val="both"/>
        <w:ind w:firstLine="358"/>
        <w:spacing w:after="0" w:line="259" w:lineRule="auto"/>
        <w:rPr>
          <w:sz w:val="20"/>
          <w:szCs w:val="20"/>
          <w:color w:val="auto"/>
        </w:rPr>
      </w:pPr>
      <w:r>
        <w:rPr>
          <w:rFonts w:ascii="Times New Roman" w:cs="Times New Roman" w:eastAsia="Times New Roman" w:hAnsi="Times New Roman"/>
          <w:sz w:val="18"/>
          <w:szCs w:val="18"/>
          <w:color w:val="auto"/>
        </w:rPr>
        <w:t>In our Excess and Surplus Lines segment, we write a small book of excess property insurance, but we do not write primary property insurance. The Excess and Surplus Lines segment has a specific proportional quota share treaty in effect to cover property risks. The proportional quota share treaty along with facultative reinsurance helps ensure that our net retained limit per risk will be $5.0 million or less.</w:t>
      </w:r>
    </w:p>
    <w:p>
      <w:pPr>
        <w:spacing w:after="0" w:line="72" w:lineRule="exact"/>
        <w:rPr>
          <w:sz w:val="20"/>
          <w:szCs w:val="20"/>
          <w:color w:val="auto"/>
        </w:rPr>
      </w:pPr>
    </w:p>
    <w:p>
      <w:pPr>
        <w:jc w:val="both"/>
        <w:ind w:firstLine="358"/>
        <w:spacing w:after="0" w:line="274" w:lineRule="auto"/>
        <w:rPr>
          <w:sz w:val="20"/>
          <w:szCs w:val="20"/>
          <w:color w:val="auto"/>
        </w:rPr>
      </w:pPr>
      <w:r>
        <w:rPr>
          <w:rFonts w:ascii="Times New Roman" w:cs="Times New Roman" w:eastAsia="Times New Roman" w:hAnsi="Times New Roman"/>
          <w:sz w:val="18"/>
          <w:szCs w:val="18"/>
          <w:color w:val="auto"/>
        </w:rPr>
        <w:t>Also in our Excess and Surplus Lines segment, a specialty casualty treaty providing $9.0 million in excess of $2.0 million coverage is subject to reinstatement premiums for treaty years spanning July 1, 2017 through July 1, 2022.</w:t>
      </w:r>
    </w:p>
    <w:p>
      <w:pPr>
        <w:spacing w:after="0" w:line="57" w:lineRule="exact"/>
        <w:rPr>
          <w:sz w:val="20"/>
          <w:szCs w:val="20"/>
          <w:color w:val="auto"/>
        </w:rPr>
      </w:pPr>
    </w:p>
    <w:p>
      <w:pPr>
        <w:jc w:val="both"/>
        <w:ind w:firstLine="358"/>
        <w:spacing w:after="0" w:line="255" w:lineRule="auto"/>
        <w:rPr>
          <w:sz w:val="20"/>
          <w:szCs w:val="20"/>
          <w:color w:val="auto"/>
        </w:rPr>
      </w:pPr>
      <w:r>
        <w:rPr>
          <w:rFonts w:ascii="Times New Roman" w:cs="Times New Roman" w:eastAsia="Times New Roman" w:hAnsi="Times New Roman"/>
          <w:sz w:val="18"/>
          <w:szCs w:val="18"/>
          <w:color w:val="auto"/>
        </w:rPr>
        <w:t>Based upon the modeling of our Excess and Surplus Lines and Specialty Admitted segments, it would take an event greater than the 1 in 1,000 year PML to exhaust our $20.0 million property catastrophe reinsurance. In the event of a catastrophe loss exhausting our $20.0 million property catastrophe reinsurance, we estimate our pre-tax cost would not exceed 2.5% of shareholders’ equity, including reinstatement premiums and net retentions. In addition to this retention, we would retain any losses in excess of our reinsurance coverage limits.</w:t>
      </w:r>
    </w:p>
    <w:p>
      <w:pPr>
        <w:spacing w:after="0" w:line="74" w:lineRule="exact"/>
        <w:rPr>
          <w:sz w:val="20"/>
          <w:szCs w:val="20"/>
          <w:color w:val="auto"/>
        </w:rPr>
      </w:pPr>
    </w:p>
    <w:p>
      <w:pPr>
        <w:jc w:val="both"/>
        <w:ind w:firstLine="358"/>
        <w:spacing w:after="0" w:line="259" w:lineRule="auto"/>
        <w:rPr>
          <w:sz w:val="20"/>
          <w:szCs w:val="20"/>
          <w:color w:val="auto"/>
        </w:rPr>
      </w:pPr>
      <w:r>
        <w:rPr>
          <w:rFonts w:ascii="Times New Roman" w:cs="Times New Roman" w:eastAsia="Times New Roman" w:hAnsi="Times New Roman"/>
          <w:sz w:val="18"/>
          <w:szCs w:val="18"/>
          <w:color w:val="auto"/>
        </w:rPr>
        <w:t>The Commercial Auto LPT with Aleka reinsures substantially all of the Excess and Surplus Lines segment’s legacy portfolio of commercial auto policies previously issued to Rasier. See “</w:t>
      </w:r>
      <w:r>
        <w:rPr>
          <w:rFonts w:ascii="Times New Roman" w:cs="Times New Roman" w:eastAsia="Times New Roman" w:hAnsi="Times New Roman"/>
          <w:sz w:val="18"/>
          <w:szCs w:val="18"/>
          <w:i w:val="1"/>
          <w:iCs w:val="1"/>
          <w:color w:val="auto"/>
        </w:rPr>
        <w:t>Amounts Recoverable from an Indemnifying Party and Reinsurer on the Legacy Commercial Auto Book</w:t>
      </w:r>
      <w:r>
        <w:rPr>
          <w:rFonts w:ascii="Times New Roman" w:cs="Times New Roman" w:eastAsia="Times New Roman" w:hAnsi="Times New Roman"/>
          <w:sz w:val="18"/>
          <w:szCs w:val="18"/>
          <w:color w:val="auto"/>
        </w:rPr>
        <w:t>” below for further information on this reinsurance agreement.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summary of our Specialty Admitted Insurance segment’s ceded reinsurance in place as of June 30, 2024:</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gridSpan w:val="2"/>
          </w:tcPr>
          <w:p>
            <w:pPr>
              <w:ind w:left="1200"/>
              <w:spacing w:after="0"/>
              <w:rPr>
                <w:sz w:val="20"/>
                <w:szCs w:val="20"/>
                <w:color w:val="auto"/>
              </w:rPr>
            </w:pPr>
            <w:r>
              <w:rPr>
                <w:rFonts w:ascii="Times New Roman" w:cs="Times New Roman" w:eastAsia="Times New Roman" w:hAnsi="Times New Roman"/>
                <w:sz w:val="14"/>
                <w:szCs w:val="14"/>
                <w:b w:val="1"/>
                <w:bCs w:val="1"/>
                <w:color w:val="auto"/>
              </w:rPr>
              <w:t>Line of Business</w:t>
            </w:r>
          </w:p>
        </w:tc>
        <w:tc>
          <w:tcPr>
            <w:tcW w:w="7420" w:type="dxa"/>
            <w:vAlign w:val="bottom"/>
          </w:tcPr>
          <w:p>
            <w:pPr>
              <w:ind w:left="3420"/>
              <w:spacing w:after="0"/>
              <w:rPr>
                <w:sz w:val="20"/>
                <w:szCs w:val="20"/>
                <w:color w:val="auto"/>
              </w:rPr>
            </w:pPr>
            <w:r>
              <w:rPr>
                <w:rFonts w:ascii="Times New Roman" w:cs="Times New Roman" w:eastAsia="Times New Roman" w:hAnsi="Times New Roman"/>
                <w:sz w:val="14"/>
                <w:szCs w:val="14"/>
                <w:b w:val="1"/>
                <w:bCs w:val="1"/>
                <w:color w:val="auto"/>
              </w:rPr>
              <w:t>Coverage</w:t>
            </w:r>
          </w:p>
        </w:tc>
      </w:tr>
      <w:tr>
        <w:trPr>
          <w:trHeight w:val="24"/>
        </w:trPr>
        <w:tc>
          <w:tcPr>
            <w:tcW w:w="33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r>
      <w:tr>
        <w:trPr>
          <w:trHeight w:val="21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Casualty</w:t>
            </w:r>
          </w:p>
        </w:tc>
        <w:tc>
          <w:tcPr>
            <w:tcW w:w="400" w:type="dxa"/>
            <w:vAlign w:val="bottom"/>
          </w:tcPr>
          <w:p>
            <w:pPr>
              <w:spacing w:after="0"/>
              <w:rPr>
                <w:sz w:val="19"/>
                <w:szCs w:val="19"/>
                <w:color w:val="auto"/>
              </w:rPr>
            </w:pPr>
          </w:p>
        </w:tc>
        <w:tc>
          <w:tcPr>
            <w:tcW w:w="7420" w:type="dxa"/>
            <w:vAlign w:val="bottom"/>
          </w:tcPr>
          <w:p>
            <w:pPr>
              <w:spacing w:after="0"/>
              <w:rPr>
                <w:sz w:val="19"/>
                <w:szCs w:val="19"/>
                <w:color w:val="auto"/>
              </w:rPr>
            </w:pPr>
          </w:p>
        </w:tc>
      </w:tr>
      <w:tr>
        <w:trPr>
          <w:trHeight w:val="225"/>
        </w:trPr>
        <w:tc>
          <w:tcPr>
            <w:tcW w:w="3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Workers’ Compensation</w:t>
            </w: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of loss coverage for $29.5 million in excess of $500,000.</w:t>
            </w:r>
          </w:p>
        </w:tc>
      </w:tr>
      <w:tr>
        <w:trPr>
          <w:trHeight w:val="172"/>
        </w:trPr>
        <w:tc>
          <w:tcPr>
            <w:tcW w:w="3780" w:type="dxa"/>
            <w:vAlign w:val="bottom"/>
            <w:gridSpan w:val="2"/>
          </w:tcPr>
          <w:p>
            <w:pPr>
              <w:ind w:left="340"/>
              <w:spacing w:after="0" w:line="172" w:lineRule="exact"/>
              <w:rPr>
                <w:sz w:val="20"/>
                <w:szCs w:val="20"/>
                <w:color w:val="auto"/>
              </w:rPr>
            </w:pPr>
            <w:r>
              <w:rPr>
                <w:rFonts w:ascii="Times New Roman" w:cs="Times New Roman" w:eastAsia="Times New Roman" w:hAnsi="Times New Roman"/>
                <w:sz w:val="18"/>
                <w:szCs w:val="18"/>
                <w:color w:val="auto"/>
              </w:rPr>
              <w:t>Auto Programs</w:t>
            </w:r>
          </w:p>
        </w:tc>
        <w:tc>
          <w:tcPr>
            <w:tcW w:w="74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Quota share coverage for 62.5%-100% of limits up to $1.5 million liability and $7.5 million physical</w:t>
            </w:r>
          </w:p>
        </w:tc>
      </w:tr>
      <w:tr>
        <w:trPr>
          <w:trHeight w:val="235"/>
        </w:trPr>
        <w:tc>
          <w:tcPr>
            <w:tcW w:w="3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damage per occurrence.</w:t>
            </w:r>
          </w:p>
        </w:tc>
      </w:tr>
      <w:tr>
        <w:trPr>
          <w:trHeight w:val="176"/>
        </w:trPr>
        <w:tc>
          <w:tcPr>
            <w:tcW w:w="378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General Liability &amp; Professional Liability</w:t>
            </w:r>
          </w:p>
        </w:tc>
        <w:tc>
          <w:tcPr>
            <w:tcW w:w="7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Quota share coverage for 62.5%-100% of limits up to $2.0 million per occurrence.</w:t>
            </w:r>
          </w:p>
        </w:tc>
      </w:tr>
      <w:tr>
        <w:trPr>
          <w:trHeight w:val="239"/>
        </w:trPr>
        <w:tc>
          <w:tcPr>
            <w:tcW w:w="3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Programs</w:t>
            </w:r>
          </w:p>
        </w:tc>
        <w:tc>
          <w:tcPr>
            <w:tcW w:w="7420" w:type="dxa"/>
            <w:vAlign w:val="bottom"/>
            <w:shd w:val="clear" w:color="auto" w:fill="CCEEFF"/>
          </w:tcPr>
          <w:p>
            <w:pPr>
              <w:spacing w:after="0"/>
              <w:rPr>
                <w:sz w:val="20"/>
                <w:szCs w:val="20"/>
                <w:color w:val="auto"/>
              </w:rPr>
            </w:pPr>
          </w:p>
        </w:tc>
      </w:tr>
      <w:tr>
        <w:trPr>
          <w:trHeight w:val="172"/>
        </w:trPr>
        <w:tc>
          <w:tcPr>
            <w:tcW w:w="3780" w:type="dxa"/>
            <w:vAlign w:val="bottom"/>
            <w:gridSpan w:val="2"/>
          </w:tcPr>
          <w:p>
            <w:pPr>
              <w:ind w:left="340"/>
              <w:spacing w:after="0" w:line="172" w:lineRule="exact"/>
              <w:rPr>
                <w:sz w:val="20"/>
                <w:szCs w:val="20"/>
                <w:color w:val="auto"/>
              </w:rPr>
            </w:pPr>
            <w:r>
              <w:rPr>
                <w:rFonts w:ascii="Times New Roman" w:cs="Times New Roman" w:eastAsia="Times New Roman" w:hAnsi="Times New Roman"/>
                <w:sz w:val="18"/>
                <w:szCs w:val="18"/>
                <w:color w:val="auto"/>
              </w:rPr>
              <w:t>Umbrella and Excess Casualty - Programs</w:t>
            </w:r>
          </w:p>
        </w:tc>
        <w:tc>
          <w:tcPr>
            <w:tcW w:w="74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Quota share coverage for at least 85% of limits up to $10.0 million per occurrence, and 82% of excess</w:t>
            </w:r>
          </w:p>
        </w:tc>
      </w:tr>
      <w:tr>
        <w:trPr>
          <w:trHeight w:val="235"/>
        </w:trPr>
        <w:tc>
          <w:tcPr>
            <w:tcW w:w="3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loss coverage for $5.0 million in excess of $10.0 million.</w:t>
            </w:r>
          </w:p>
        </w:tc>
      </w:tr>
      <w:tr>
        <w:trPr>
          <w:trHeight w:val="22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7420" w:type="dxa"/>
            <w:vAlign w:val="bottom"/>
            <w:shd w:val="clear" w:color="auto" w:fill="CCEEFF"/>
          </w:tcPr>
          <w:p>
            <w:pPr>
              <w:spacing w:after="0"/>
              <w:rPr>
                <w:sz w:val="19"/>
                <w:szCs w:val="19"/>
                <w:color w:val="auto"/>
              </w:rPr>
            </w:pPr>
          </w:p>
        </w:tc>
      </w:tr>
      <w:tr>
        <w:trPr>
          <w:trHeight w:val="225"/>
        </w:trPr>
        <w:tc>
          <w:tcPr>
            <w:tcW w:w="3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within Package - Programs</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Quota share coverage for 100% of limits up to $40.0 million per risk.</w:t>
            </w:r>
          </w:p>
        </w:tc>
      </w:tr>
      <w:tr>
        <w:trPr>
          <w:trHeight w:val="225"/>
        </w:trPr>
        <w:tc>
          <w:tcPr>
            <w:tcW w:w="3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Excess Property</w:t>
            </w: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Quota share coverage for 100% of limits up to $58.9 million per occurrence.</w:t>
            </w:r>
          </w:p>
        </w:tc>
      </w:tr>
      <w:tr>
        <w:trPr>
          <w:trHeight w:val="207"/>
        </w:trPr>
        <w:tc>
          <w:tcPr>
            <w:tcW w:w="3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Aviation Programs</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Quota share coverage for 80% of limits up to $25 million liability, $5.0 million hull, and $5.0 million</w:t>
            </w:r>
          </w:p>
        </w:tc>
      </w:tr>
      <w:tr>
        <w:trPr>
          <w:trHeight w:val="212"/>
        </w:trPr>
        <w:tc>
          <w:tcPr>
            <w:tcW w:w="3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spares per occurrence, each aircraft; and excess of loss coverage for up to $8.7 million excess of</w:t>
            </w:r>
          </w:p>
        </w:tc>
      </w:tr>
      <w:tr>
        <w:trPr>
          <w:trHeight w:val="231"/>
        </w:trPr>
        <w:tc>
          <w:tcPr>
            <w:tcW w:w="3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$300,000 of our 20% share of the quota share each occurrence.</w:t>
            </w:r>
          </w:p>
        </w:tc>
      </w:tr>
    </w:tbl>
    <w:p>
      <w:pPr>
        <w:spacing w:after="0" w:line="193" w:lineRule="exact"/>
        <w:rPr>
          <w:sz w:val="20"/>
          <w:szCs w:val="20"/>
          <w:color w:val="auto"/>
        </w:rPr>
      </w:pPr>
    </w:p>
    <w:p>
      <w:pPr>
        <w:jc w:val="both"/>
        <w:ind w:firstLine="358"/>
        <w:spacing w:after="0" w:line="255" w:lineRule="auto"/>
        <w:rPr>
          <w:sz w:val="20"/>
          <w:szCs w:val="20"/>
          <w:color w:val="auto"/>
        </w:rPr>
      </w:pPr>
      <w:r>
        <w:rPr>
          <w:rFonts w:ascii="Times New Roman" w:cs="Times New Roman" w:eastAsia="Times New Roman" w:hAnsi="Times New Roman"/>
          <w:sz w:val="18"/>
          <w:szCs w:val="18"/>
          <w:color w:val="auto"/>
        </w:rPr>
        <w:t>Our Specialty Admitted Insurance segment purchases reinsurance for at least 50% of the exposed limits on specialty admitted property-casualty business. The segment enters into reinsurance contracts for the fronting and program business. While the segment focuses on casualty business, incidental property risk is incurred in the fronting and program business. The segment is covered for $20.0 million in excess of $5.0 million per occurrence to manage its property exposure to an approximate 1 in 1,000 year PML.</w:t>
      </w:r>
    </w:p>
    <w:p>
      <w:pPr>
        <w:spacing w:after="0" w:line="74" w:lineRule="exact"/>
        <w:rPr>
          <w:sz w:val="20"/>
          <w:szCs w:val="20"/>
          <w:color w:val="auto"/>
        </w:rPr>
      </w:pPr>
    </w:p>
    <w:p>
      <w:pPr>
        <w:jc w:val="both"/>
        <w:ind w:firstLine="358"/>
        <w:spacing w:after="0" w:line="274" w:lineRule="auto"/>
        <w:rPr>
          <w:sz w:val="20"/>
          <w:szCs w:val="20"/>
          <w:color w:val="auto"/>
        </w:rPr>
      </w:pPr>
      <w:r>
        <w:rPr>
          <w:rFonts w:ascii="Times New Roman" w:cs="Times New Roman" w:eastAsia="Times New Roman" w:hAnsi="Times New Roman"/>
          <w:sz w:val="18"/>
          <w:szCs w:val="18"/>
          <w:color w:val="auto"/>
        </w:rPr>
        <w:t>In the aggregate, we believe our pre-tax group-wide PML from a 1 in 1,000 year property catastrophe event would not exceed 2.5% of shareholders’ equity, inclusive of reinstatement premiums payable.</w:t>
      </w:r>
    </w:p>
    <w:p>
      <w:pPr>
        <w:spacing w:after="0" w:line="57" w:lineRule="exact"/>
        <w:rPr>
          <w:sz w:val="20"/>
          <w:szCs w:val="20"/>
          <w:color w:val="auto"/>
        </w:rPr>
      </w:pPr>
    </w:p>
    <w:p>
      <w:pPr>
        <w:jc w:val="both"/>
        <w:ind w:firstLine="358"/>
        <w:spacing w:after="0" w:line="259" w:lineRule="auto"/>
        <w:rPr>
          <w:sz w:val="20"/>
          <w:szCs w:val="20"/>
          <w:color w:val="auto"/>
        </w:rPr>
      </w:pPr>
      <w:r>
        <w:rPr>
          <w:rFonts w:ascii="Times New Roman" w:cs="Times New Roman" w:eastAsia="Times New Roman" w:hAnsi="Times New Roman"/>
          <w:sz w:val="18"/>
          <w:szCs w:val="18"/>
          <w:color w:val="auto"/>
        </w:rPr>
        <w:t>We also had a contingency clash reinsurance treaty to cover both the Excess and Surplus Lines and Specialty Admitted Insurance segments in the event of a claim incident involving more than one of our insureds in addition to Extra Contractual and Excess Policy Limits protection. The treaty covered $10.0 million in excess of a $2.0 million retention for loss occurrences within the treaty term. This coverage was put into runoff effective July 1, 2022.</w:t>
      </w:r>
    </w:p>
    <w:p>
      <w:pPr>
        <w:spacing w:after="0" w:line="72" w:lineRule="exact"/>
        <w:rPr>
          <w:sz w:val="20"/>
          <w:szCs w:val="20"/>
          <w:color w:val="auto"/>
        </w:rPr>
      </w:pPr>
    </w:p>
    <w:p>
      <w:pPr>
        <w:jc w:val="both"/>
        <w:ind w:firstLine="358"/>
        <w:spacing w:after="0" w:line="274" w:lineRule="auto"/>
        <w:rPr>
          <w:sz w:val="20"/>
          <w:szCs w:val="20"/>
          <w:color w:val="auto"/>
        </w:rPr>
      </w:pPr>
      <w:r>
        <w:rPr>
          <w:rFonts w:ascii="Times New Roman" w:cs="Times New Roman" w:eastAsia="Times New Roman" w:hAnsi="Times New Roman"/>
          <w:sz w:val="18"/>
          <w:szCs w:val="18"/>
          <w:color w:val="auto"/>
        </w:rPr>
        <w:t>Effective January 1, 2020, we purchased an additional $10.0 million in claims made coverage for excess policy limits and extra contractual obligations exposures above the clash and contingency treaty for the period 2014 to its expiration on December 31, 2022. This treaty had one reinstatement.</w:t>
      </w:r>
    </w:p>
    <w:p>
      <w:pPr>
        <w:spacing w:after="0" w:line="57" w:lineRule="exact"/>
        <w:rPr>
          <w:sz w:val="20"/>
          <w:szCs w:val="20"/>
          <w:color w:val="auto"/>
        </w:rPr>
      </w:pPr>
    </w:p>
    <w:p>
      <w:pPr>
        <w:jc w:val="both"/>
        <w:ind w:firstLine="358"/>
        <w:spacing w:after="0" w:line="248" w:lineRule="auto"/>
        <w:rPr>
          <w:sz w:val="20"/>
          <w:szCs w:val="20"/>
          <w:color w:val="auto"/>
        </w:rPr>
      </w:pPr>
      <w:r>
        <w:rPr>
          <w:rFonts w:ascii="Times New Roman" w:cs="Times New Roman" w:eastAsia="Times New Roman" w:hAnsi="Times New Roman"/>
          <w:sz w:val="18"/>
          <w:szCs w:val="18"/>
          <w:color w:val="auto"/>
        </w:rPr>
        <w:t>The Company’s insurance segments remain liable to policyholders if its reinsurers are unable to meet their contractual obligations under applicable reinsurance agreements. We establish an allowance for credit losses for our current estimate of uncollectible reinsurance recoverables. At June 30, 2024, the allowance for credit losses on reinsurance recoverables was $744,000.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we are subject to credit risk with regard to insurance companies who act as reinsurers for us in such arrangements. We require collateral, in the form of a trust arrangement or letter of credit, to secure the obligations of the insurance entity for whom we are fronting.</w:t>
      </w:r>
    </w:p>
    <w:p>
      <w:pPr>
        <w:spacing w:after="0" w:line="8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At June 30, 2024, we had reinsurance recoverables on unpaid losses of $1,417.8 million (net of a $744,000 allowance for credit losses) and reinsurance recoverables on paid losses of $160.6 million, and all material recoverable amounts were from companies with A.M. Best ratings of “A-" (Excellent) or better, or are collateralized by the reinsurer for our benefit through letters of credit or funds on deposit in trust accounts.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Recoverable from an Indemnifying Party and Reinsurer on Legacy Commercial Auto Book</w:t>
      </w:r>
    </w:p>
    <w:p>
      <w:pPr>
        <w:spacing w:after="0" w:line="115" w:lineRule="exact"/>
        <w:rPr>
          <w:sz w:val="20"/>
          <w:szCs w:val="20"/>
          <w:color w:val="auto"/>
        </w:rPr>
      </w:pPr>
    </w:p>
    <w:p>
      <w:pPr>
        <w:jc w:val="both"/>
        <w:ind w:firstLine="358"/>
        <w:spacing w:after="0" w:line="274" w:lineRule="auto"/>
        <w:rPr>
          <w:sz w:val="20"/>
          <w:szCs w:val="20"/>
          <w:color w:val="auto"/>
        </w:rPr>
      </w:pPr>
      <w:r>
        <w:rPr>
          <w:rFonts w:ascii="Times New Roman" w:cs="Times New Roman" w:eastAsia="Times New Roman" w:hAnsi="Times New Roman"/>
          <w:sz w:val="18"/>
          <w:szCs w:val="18"/>
          <w:color w:val="auto"/>
        </w:rPr>
        <w:t>James River previously issued a set of commercial auto insurance contracts to Rasier (the “Rasier Commercial Auto Policies”) under which James River pays losses and loss adjustment expenses on the contracts. James River has indemnity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On September 27, 2021, James River entered into a loss portfolio transfer reinsurance agreement (the “Commercial Auto LPT”) with Aleka to reinsure substantially all of the Rasier Commercial Auto Policies for which James River is not otherwise indemnified by Rasier under the Indemnity Agreements. Under the terms of the Commercial Auto LPT, effective as of July 1, 2021, James River ceded to Aleka approximately $345.1 million of commercial auto liabilities relating to Rasier Commercial Auto Policies written in the years 2013-2019, which amount constituted the reinsurance premium.</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Each of Rasier and Aleka is required to post collateral under the Indemnity Agreements and the Commercial Auto LPT, respectively:</w:t>
      </w:r>
    </w:p>
    <w:p>
      <w:pPr>
        <w:spacing w:after="0" w:line="111" w:lineRule="exact"/>
        <w:rPr>
          <w:sz w:val="20"/>
          <w:szCs w:val="20"/>
          <w:color w:val="auto"/>
        </w:rPr>
      </w:pPr>
    </w:p>
    <w:p>
      <w:pPr>
        <w:jc w:val="both"/>
        <w:ind w:firstLine="364"/>
        <w:spacing w:after="0" w:line="249" w:lineRule="auto"/>
        <w:tabs>
          <w:tab w:leader="none" w:pos="63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Indemnity Agreements, Rasier is required to post collateral equal to 102% of James River's estimate of the amounts that are recoverable or may be recoverable under the indemnity agreements, including, among other things, case loss and loss adjustment expense reserves, IBNR loss and loss adjustment expense reserves, extra contractual obligations and excess policy limits liabilities. The collateral is provided through a collateral trust arrangement (the “Indemnity Trust”) in favor of James River by Aleka. In connection with the execution of the Commercial Auto LPT, James River returned $691.3 million to the Indemnity Trust, representing the remaining balance of the amount withdrawn in October 2019, as was permitted under the indemnification agreements with Rasier and the associated trust agreement. At June 30, 2024, the balance in the Indemnity Trust was $99.6 million, and, together with the balance of the Loss Fund Trust (as defined below) attributable to the Indemnity Agreements as described below, the total balance of collateral securing Rasier’s obligations under the Indemnity Agreements was $117.0 million.</w:t>
      </w:r>
    </w:p>
    <w:p>
      <w:pPr>
        <w:spacing w:after="0" w:line="84" w:lineRule="exact"/>
        <w:rPr>
          <w:rFonts w:ascii="Times New Roman" w:cs="Times New Roman" w:eastAsia="Times New Roman" w:hAnsi="Times New Roman"/>
          <w:sz w:val="18"/>
          <w:szCs w:val="18"/>
          <w:color w:val="auto"/>
        </w:rPr>
      </w:pPr>
    </w:p>
    <w:p>
      <w:pPr>
        <w:jc w:val="both"/>
        <w:ind w:firstLine="364"/>
        <w:spacing w:after="0" w:line="251" w:lineRule="auto"/>
        <w:tabs>
          <w:tab w:leader="none" w:pos="63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Commercial Auto LPT, Aleka is required to post collateral equal to 102% of James River's estimate of Aleka's obligations under the Commercial Auto LPT, calculated in accordance with statutory actuarial principles and based on reserves recorded in the Company's statutory financial statements. The collateral is provided through a collateral trust arrangement (the “LPT Trust”) established in favor of James River by Aleka. At June 30, 2024, the balance in the LPT Trust was $45.4 million, and, together with the balance of the Loss Fund Trust (as defined below) attributable to the Commercial Auto LPT as described below, the total balance of collateral securing Aleka’s obligations under the Commercial Auto LPT was $53.1 million. At June 30, 2024, the total reinsurance recoverables under the Commercial Auto LPT was $52.4 million.</w:t>
      </w:r>
    </w:p>
    <w:p>
      <w:pPr>
        <w:spacing w:after="0" w:line="79" w:lineRule="exact"/>
        <w:rPr>
          <w:sz w:val="20"/>
          <w:szCs w:val="20"/>
          <w:color w:val="auto"/>
        </w:rPr>
      </w:pPr>
    </w:p>
    <w:p>
      <w:pPr>
        <w:jc w:val="both"/>
        <w:ind w:firstLine="358"/>
        <w:spacing w:after="0" w:line="248" w:lineRule="auto"/>
        <w:rPr>
          <w:sz w:val="20"/>
          <w:szCs w:val="20"/>
          <w:color w:val="auto"/>
        </w:rPr>
      </w:pPr>
      <w:r>
        <w:rPr>
          <w:rFonts w:ascii="Times New Roman" w:cs="Times New Roman" w:eastAsia="Times New Roman" w:hAnsi="Times New Roman"/>
          <w:sz w:val="18"/>
          <w:szCs w:val="18"/>
          <w:color w:val="auto"/>
        </w:rPr>
        <w:t>In connection with the execution of the Commercial Auto LPT, James River and Aleka entered into an administrative services agreement (the “Administrative Services Agreement”) with a third party claims administrator (the “Administrator”) pursuant to which the Administrator handles the claims on the Rasier Commercial Auto Policies for the remaining life of those claims. The claims paid by the Administrator are reimbursable by James River, and pursuant to the Administrative Services Agreement, James River established a loss fund trust account for the benefit of the Administrator (the “Loss Fund Trust”) to collateralize its claims payment reimbursement obligations. James River funds the Loss Fund Trust using funds withdrawn from the Indemnity Trust, funds withdrawn from the LPT Trust, and its own funds, in each case in an amount equal to the pro rata portion of the required Loss Fund Trust balance attributable to the Indemnity Agreements, the Commercial Auto LPT and James River’s existing third party reinsurance agreements, respectively. At June 30, 2024, the balance in the Loss Fund Trust was $28.0 million, including $17.4 million representing collateral supporting Rasier’s obligations under the Indemnity Agreements and $7.7 million representing collateral supporting Aleka’s obligations under the Commercial Auto LPT. Funds posted to the Loss Fund Trust are classified as restricted cash equivalents on the Company's balance sheet.</w:t>
      </w:r>
    </w:p>
    <w:p>
      <w:pPr>
        <w:spacing w:after="0" w:line="87" w:lineRule="exact"/>
        <w:rPr>
          <w:sz w:val="20"/>
          <w:szCs w:val="20"/>
          <w:color w:val="auto"/>
        </w:rPr>
      </w:pPr>
    </w:p>
    <w:p>
      <w:pPr>
        <w:jc w:val="both"/>
        <w:ind w:firstLine="358"/>
        <w:spacing w:after="0" w:line="250" w:lineRule="auto"/>
        <w:rPr>
          <w:sz w:val="20"/>
          <w:szCs w:val="20"/>
          <w:color w:val="auto"/>
        </w:rPr>
      </w:pPr>
      <w:r>
        <w:rPr>
          <w:rFonts w:ascii="Times New Roman" w:cs="Times New Roman" w:eastAsia="Times New Roman" w:hAnsi="Times New Roman"/>
          <w:sz w:val="18"/>
          <w:szCs w:val="18"/>
          <w:color w:val="auto"/>
        </w:rPr>
        <w:t>While the Commercial Auto LPT brings economic finality to substantially all of the Rasier Commercial Auto Policies, the Company has credit exposure to Rasier and Aleka under the Indemnity Agreements and the Commercial Auto LPT if the estimated losses and expenses of the Rasier Commercial Auto Policies grow at a faster pace than the growth in our collateral balances. In addition, we have credit exposure if our estimates of future losses and loss adjustment expenses and other amounts recoverable under the Indemnity Agreements and the Commercial Auto LPT, which are the basis for establishing the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in accordance with the terms of the Commercial Auto LPT and Indemnity Agreements when our analysis indicates that we have uncollateralized exposure.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Ratings</w:t>
      </w:r>
    </w:p>
    <w:p>
      <w:pPr>
        <w:spacing w:after="0" w:line="115" w:lineRule="exact"/>
        <w:rPr>
          <w:sz w:val="20"/>
          <w:szCs w:val="20"/>
          <w:color w:val="auto"/>
        </w:rPr>
      </w:pPr>
    </w:p>
    <w:p>
      <w:pPr>
        <w:jc w:val="both"/>
        <w:ind w:firstLine="358"/>
        <w:spacing w:after="0" w:line="252" w:lineRule="auto"/>
        <w:rPr>
          <w:sz w:val="20"/>
          <w:szCs w:val="20"/>
          <w:color w:val="auto"/>
        </w:rPr>
      </w:pPr>
      <w:r>
        <w:rPr>
          <w:rFonts w:ascii="Times New Roman" w:cs="Times New Roman" w:eastAsia="Times New Roman" w:hAnsi="Times New Roman"/>
          <w:sz w:val="18"/>
          <w:szCs w:val="18"/>
          <w:color w:val="auto"/>
        </w:rPr>
        <w:t>The A.M. Best financial strength rating for our group’s regulated U.S. insurance subsidiaries is “A-” (Excellent) with a negative outlook. This rating reflects A.M. Best’s opinion of our insurance subsidiaries’ financial strength, operating performance and ability to meet obligations to policyholders and is not an evaluation directed towards the protection of investors. The rating for our U.S. operating insurance companies of “A-” (Excellent) is the fourth highest rating of the thirteen ratings issued by A.M. Best and is assigned to insurers that have, in A.M. Best’s opinion, an excellent ability to meet their ongoing obligations to policyholders.</w:t>
      </w:r>
    </w:p>
    <w:p>
      <w:pPr>
        <w:spacing w:after="0" w:line="79" w:lineRule="exact"/>
        <w:rPr>
          <w:sz w:val="20"/>
          <w:szCs w:val="20"/>
          <w:color w:val="auto"/>
        </w:rPr>
      </w:pPr>
    </w:p>
    <w:p>
      <w:pPr>
        <w:jc w:val="both"/>
        <w:ind w:firstLine="358"/>
        <w:spacing w:after="0" w:line="259" w:lineRule="auto"/>
        <w:rPr>
          <w:sz w:val="20"/>
          <w:szCs w:val="20"/>
          <w:color w:val="auto"/>
        </w:rPr>
      </w:pPr>
      <w:r>
        <w:rPr>
          <w:rFonts w:ascii="Times New Roman" w:cs="Times New Roman" w:eastAsia="Times New Roman" w:hAnsi="Times New Roman"/>
          <w:sz w:val="18"/>
          <w:szCs w:val="18"/>
          <w:color w:val="auto"/>
        </w:rPr>
        <w:t>The financial strength ratings assigned by A.M. Best have an impact on the ability of our regulated subsidiaries to attract and retain agents and brokers and on the risk profiles of the submissions for insurance that our subsidiaries receive. We believe the “A-” (Excellent) ratings assigned to our U.S. insurance subsidiaries allow our subsidiaries to actively pursue relationships with the agents and brokers identified in their marketing plans.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Shares</w:t>
      </w:r>
    </w:p>
    <w:p>
      <w:pPr>
        <w:spacing w:after="0" w:line="115" w:lineRule="exact"/>
        <w:rPr>
          <w:sz w:val="20"/>
          <w:szCs w:val="20"/>
          <w:color w:val="auto"/>
        </w:rPr>
      </w:pPr>
    </w:p>
    <w:p>
      <w:pPr>
        <w:jc w:val="both"/>
        <w:ind w:firstLine="358"/>
        <w:spacing w:after="0" w:line="274" w:lineRule="auto"/>
        <w:rPr>
          <w:sz w:val="20"/>
          <w:szCs w:val="20"/>
          <w:color w:val="auto"/>
        </w:rPr>
      </w:pPr>
      <w:r>
        <w:rPr>
          <w:rFonts w:ascii="Times New Roman" w:cs="Times New Roman" w:eastAsia="Times New Roman" w:hAnsi="Times New Roman"/>
          <w:sz w:val="17"/>
          <w:szCs w:val="17"/>
          <w:color w:val="auto"/>
        </w:rPr>
        <w:t>The Company closed on the issuance and sale of 150,000 Series A Preferred Shares on March 1, 2022 for an aggregate purchase price of $150.0 million, or $1,000 per share, in a private placement. The Series A Preferred Shares are convertible into the Company’s common shares at the option of the holder at any time, or at the Company’s option under certain circumstances. Dividends on the Series A Preferred Shares accrue quarterly at the initial rate of 7% of the Liquidation Preference per annum, which may be paid in cash, in-kind in common shares or in Series A Preferred Shares, at the Company’s election.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Total common shares outstanding increased from 37,641,563 at December 31, 2023 to 37,825,767 at June 30, 2024, reflecting 184,204 common shares issued in the six months ended June 30, 2024 related to vesting of RSUs.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Based Compensation Expense</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recognized $1.6 million and $4.2 million of share based compensation expense in the three and six months ended June 30, 2024, respectively ($2.3 million and $5.0 million in the respective prior year periods). As of June 30, 2024, the Company had $10.0 million of unrecognized share based compensation expense expected to be charged to earnings over a weighted-average period of 1.9 years.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option activity: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680" w:type="dxa"/>
            <w:vAlign w:val="bottom"/>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8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6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39"/>
              <w:spacing w:after="0" w:line="134"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38"/>
              <w:spacing w:after="0" w:line="134"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4"/>
        </w:trPr>
        <w:tc>
          <w:tcPr>
            <w:tcW w:w="56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4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38"/>
              <w:spacing w:after="0" w:line="14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4"/>
        </w:trPr>
        <w:tc>
          <w:tcPr>
            <w:tcW w:w="5680" w:type="dxa"/>
            <w:vAlign w:val="bottom"/>
          </w:tcPr>
          <w:p>
            <w:pPr>
              <w:spacing w:after="0"/>
              <w:rPr>
                <w:sz w:val="11"/>
                <w:szCs w:val="11"/>
                <w:color w:val="auto"/>
              </w:rPr>
            </w:pPr>
          </w:p>
        </w:tc>
        <w:tc>
          <w:tcPr>
            <w:tcW w:w="130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30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38"/>
              <w:spacing w:after="0" w:line="135"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0" w:type="dxa"/>
            <w:vAlign w:val="bottom"/>
          </w:tcPr>
          <w:p>
            <w:pPr>
              <w:spacing w:after="0"/>
              <w:rPr>
                <w:sz w:val="1"/>
                <w:szCs w:val="1"/>
                <w:color w:val="auto"/>
              </w:rPr>
            </w:pPr>
          </w:p>
        </w:tc>
      </w:tr>
      <w:tr>
        <w:trPr>
          <w:trHeight w:val="186"/>
        </w:trPr>
        <w:tc>
          <w:tcPr>
            <w:tcW w:w="56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4"/>
        </w:trPr>
        <w:tc>
          <w:tcPr>
            <w:tcW w:w="56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74,390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287,974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(45,106)</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0" w:type="dxa"/>
            <w:vAlign w:val="bottom"/>
          </w:tcPr>
          <w:p>
            <w:pPr>
              <w:spacing w:after="0"/>
              <w:rPr>
                <w:sz w:val="1"/>
                <w:szCs w:val="1"/>
                <w:color w:val="auto"/>
              </w:rPr>
            </w:pPr>
          </w:p>
        </w:tc>
      </w:tr>
      <w:tr>
        <w:trPr>
          <w:trHeight w:val="225"/>
        </w:trPr>
        <w:tc>
          <w:tcPr>
            <w:tcW w:w="5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Lapsed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(74,390)</w:t>
            </w:r>
          </w:p>
        </w:tc>
        <w:tc>
          <w:tcPr>
            <w:tcW w:w="34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(164,548)</w:t>
            </w:r>
          </w:p>
        </w:tc>
        <w:tc>
          <w:tcPr>
            <w:tcW w:w="34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0" w:type="dxa"/>
            <w:vAlign w:val="bottom"/>
          </w:tcPr>
          <w:p>
            <w:pPr>
              <w:spacing w:after="0"/>
              <w:rPr>
                <w:sz w:val="1"/>
                <w:szCs w:val="1"/>
                <w:color w:val="auto"/>
              </w:rPr>
            </w:pPr>
          </w:p>
        </w:tc>
      </w:tr>
      <w:tr>
        <w:trPr>
          <w:trHeight w:val="244"/>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78,320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6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Exercisable, end of period</w:t>
            </w:r>
          </w:p>
        </w:tc>
        <w:tc>
          <w:tcPr>
            <w:tcW w:w="13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78,320</w:t>
            </w:r>
          </w:p>
        </w:tc>
        <w:tc>
          <w:tcPr>
            <w:tcW w:w="34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42.17</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options outstanding at December 31, 2023 lapsed in the six months ended June 30, 2024. At June 30, 2024, no options remain outstanding.</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RSU activity: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3"/>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68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8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6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21"/>
              <w:spacing w:after="0" w:line="134"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20"/>
              <w:spacing w:after="0" w:line="134"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4"/>
        </w:trPr>
        <w:tc>
          <w:tcPr>
            <w:tcW w:w="56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4"/>
        </w:trPr>
        <w:tc>
          <w:tcPr>
            <w:tcW w:w="5680" w:type="dxa"/>
            <w:vAlign w:val="bottom"/>
          </w:tcPr>
          <w:p>
            <w:pPr>
              <w:spacing w:after="0"/>
              <w:rPr>
                <w:sz w:val="11"/>
                <w:szCs w:val="11"/>
                <w:color w:val="auto"/>
              </w:rPr>
            </w:pPr>
          </w:p>
        </w:tc>
        <w:tc>
          <w:tcPr>
            <w:tcW w:w="130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30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86"/>
        </w:trPr>
        <w:tc>
          <w:tcPr>
            <w:tcW w:w="56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4"/>
        </w:trPr>
        <w:tc>
          <w:tcPr>
            <w:tcW w:w="56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6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beginning of period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751,254</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665,458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537,060</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363,484</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0" w:type="dxa"/>
            <w:vAlign w:val="bottom"/>
          </w:tcPr>
          <w:p>
            <w:pPr>
              <w:spacing w:after="0"/>
              <w:rPr>
                <w:sz w:val="1"/>
                <w:szCs w:val="1"/>
                <w:color w:val="auto"/>
              </w:rPr>
            </w:pPr>
          </w:p>
        </w:tc>
      </w:tr>
      <w:tr>
        <w:trPr>
          <w:trHeight w:val="225"/>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(268,993)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(212,128)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(76,305)</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(15,233)</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0" w:type="dxa"/>
            <w:vAlign w:val="bottom"/>
          </w:tcPr>
          <w:p>
            <w:pPr>
              <w:spacing w:after="0"/>
              <w:rPr>
                <w:sz w:val="1"/>
                <w:szCs w:val="1"/>
                <w:color w:val="auto"/>
              </w:rPr>
            </w:pPr>
          </w:p>
        </w:tc>
      </w:tr>
      <w:tr>
        <w:trPr>
          <w:trHeight w:val="218"/>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end of period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943,016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801,581</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Outstanding RSUs granted to employees generally vest ratably over a three-year vesting period in the case of time-vest RSUs and cliff vest at the end of a three-year performance period in the case of PRSUs. RSUs granted to non-employee directors generally have a one year vesting period. The RSUs granted in 2024 and 2023 include 231,492 and 91,818 PRSU awards, respectively. The number of PRSUs is based upon the probable outcome of performance conditions.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Performance Ratios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following table provides the underwriting performance ratios of the Company's continuing operations inclusive of the business subject to retroactive reinsurance accounting for a loss portfolio transfer. There is no economic impact to the Company over the life of a loss portfolio transfer contract so long as any additional losses subject to the contract are within the limit of the loss portfolio transfer and the counterparty performs under the contract. Retroactive reinsurance accounting is not indicative of our current and ongoing operations. Management believes that providing loss ratios and combined ratios on business not subject to retroactive reinsurance accounting for loss portfolio transfers gives the users of our financial statements useful information in evaluating our current and ongoing operations.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3"/>
          </w:tcPr>
          <w:p>
            <w:pPr>
              <w:jc w:val="center"/>
              <w:ind w:left="83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r>
      <w:tr>
        <w:trPr>
          <w:trHeight w:val="191"/>
        </w:trPr>
        <w:tc>
          <w:tcPr>
            <w:tcW w:w="5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Borders>
              <w:bottom w:val="single" w:sz="8" w:color="auto"/>
            </w:tcBorders>
            <w:gridSpan w:val="3"/>
          </w:tcPr>
          <w:p>
            <w:pPr>
              <w:jc w:val="center"/>
              <w:ind w:left="81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1"/>
        </w:trPr>
        <w:tc>
          <w:tcPr>
            <w:tcW w:w="50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2"/>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Excess and Surplus Lines:</w:t>
            </w:r>
          </w:p>
        </w:tc>
        <w:tc>
          <w:tcPr>
            <w:tcW w:w="8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25"/>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Ratio</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72.3 %</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68.5 %</w:t>
            </w:r>
          </w:p>
        </w:tc>
      </w:tr>
      <w:tr>
        <w:trPr>
          <w:trHeight w:val="225"/>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retroactive reinsurance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1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Ratio including impact of retroactive reinsurance</w:t>
            </w:r>
          </w:p>
        </w:tc>
        <w:tc>
          <w:tcPr>
            <w:tcW w:w="8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69.7 %</w:t>
            </w: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68.7 %</w:t>
            </w:r>
          </w:p>
        </w:tc>
        <w:tc>
          <w:tcPr>
            <w:tcW w:w="10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71.7 %</w:t>
            </w:r>
          </w:p>
        </w:tc>
      </w:tr>
      <w:tr>
        <w:trPr>
          <w:trHeight w:val="265"/>
        </w:trPr>
        <w:tc>
          <w:tcPr>
            <w:tcW w:w="50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25"/>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Combined Ratio</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95.4 %</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90.9 %</w:t>
            </w:r>
          </w:p>
        </w:tc>
      </w:tr>
      <w:tr>
        <w:trPr>
          <w:trHeight w:val="225"/>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retroactive reinsurance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1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Combined Ratio including impact of retroactive reinsurance</w:t>
            </w:r>
          </w:p>
        </w:tc>
        <w:tc>
          <w:tcPr>
            <w:tcW w:w="8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92.8 %</w:t>
            </w: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91.8 %</w:t>
            </w:r>
          </w:p>
        </w:tc>
        <w:tc>
          <w:tcPr>
            <w:tcW w:w="10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88.6 %</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94.1 %</w:t>
            </w:r>
          </w:p>
        </w:tc>
      </w:tr>
      <w:tr>
        <w:trPr>
          <w:trHeight w:val="265"/>
        </w:trPr>
        <w:tc>
          <w:tcPr>
            <w:tcW w:w="50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25"/>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5"/>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Ratio</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69.3 %</w:t>
            </w:r>
          </w:p>
        </w:tc>
      </w:tr>
      <w:tr>
        <w:trPr>
          <w:trHeight w:val="225"/>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Impact of retroactive reinsurance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19"/>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Ratio including impact of retroactive reinsurance</w:t>
            </w:r>
          </w:p>
        </w:tc>
        <w:tc>
          <w:tcPr>
            <w:tcW w:w="8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70.7 %</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69.4 %</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72.1 %</w:t>
            </w:r>
          </w:p>
        </w:tc>
      </w:tr>
      <w:tr>
        <w:trPr>
          <w:trHeight w:val="265"/>
        </w:trPr>
        <w:tc>
          <w:tcPr>
            <w:tcW w:w="50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25"/>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Ratio</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97.3 %</w:t>
            </w:r>
          </w:p>
        </w:tc>
      </w:tr>
      <w:tr>
        <w:trPr>
          <w:trHeight w:val="225"/>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Impact of retroactive reinsurance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19"/>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Ratio including impact of retroactive reinsurance</w:t>
            </w:r>
          </w:p>
        </w:tc>
        <w:tc>
          <w:tcPr>
            <w:tcW w:w="8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97.0 %</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97.6 %</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94.9 %</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MEASURES</w:t>
      </w:r>
    </w:p>
    <w:p>
      <w:pPr>
        <w:spacing w:after="0" w:line="113"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8"/>
          <w:szCs w:val="18"/>
          <w:color w:val="auto"/>
        </w:rPr>
        <w:t>See “Key Metrics” above for descriptions of why management believes the following Non-GAAP measures provide useful information about our financial condition and results of operation.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Underwriting Profit</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define underwriting profit as net earned premiums and gross fee income (in specific instances when the Company is not retaining insurance risk) less losses and loss adjustment expenses on business from continuing operations not subject to retroactive reinsurance accounting for loss portfolio transfers and other operating expenses. Other operating expenses include the underwriting, acquisition, and insurance expenses of the operating segments and, for consolidated underwriting profit, the expenses of the Corporate and Other segment. Our definition of underwriting profit may not be comparable to that of other companies.</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reconciles the underwriting profit (loss) of the operating segments by individual segment to consolidated income from continuing operations before income taxes: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3"/>
                <w:szCs w:val="13"/>
                <w:color w:val="auto"/>
              </w:rPr>
            </w:pPr>
          </w:p>
        </w:tc>
      </w:tr>
      <w:tr>
        <w:trPr>
          <w:trHeight w:val="191"/>
        </w:trPr>
        <w:tc>
          <w:tcPr>
            <w:tcW w:w="5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91"/>
        </w:trPr>
        <w:tc>
          <w:tcPr>
            <w:tcW w:w="5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2"/>
        </w:trPr>
        <w:tc>
          <w:tcPr>
            <w:tcW w:w="5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profit (loss) of the operating segments:</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5"/>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10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10,042</w:t>
            </w:r>
          </w:p>
        </w:tc>
        <w:tc>
          <w:tcPr>
            <w:tcW w:w="12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24,918</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27,107</w:t>
            </w:r>
          </w:p>
        </w:tc>
      </w:tr>
      <w:tr>
        <w:trPr>
          <w:trHeight w:val="22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underwriting profit of operating segments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27,022</w:t>
            </w:r>
          </w:p>
        </w:tc>
      </w:tr>
      <w:tr>
        <w:trPr>
          <w:trHeight w:val="22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 of the Corporate and Other segment</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(17,830)</w:t>
            </w:r>
          </w:p>
        </w:tc>
      </w:tr>
      <w:tr>
        <w:trPr>
          <w:trHeight w:val="21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Underwriting profit </w:t>
            </w:r>
            <w:r>
              <w:rPr>
                <w:rFonts w:ascii="Times New Roman" w:cs="Times New Roman" w:eastAsia="Times New Roman" w:hAnsi="Times New Roman"/>
                <w:sz w:val="14"/>
                <w:szCs w:val="14"/>
                <w:color w:val="auto"/>
              </w:rPr>
              <w:t>(1)</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9,192</w:t>
            </w:r>
          </w:p>
        </w:tc>
      </w:tr>
      <w:tr>
        <w:trPr>
          <w:trHeight w:val="22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 - retroactive reinsurance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(9,448)</w:t>
            </w:r>
          </w:p>
        </w:tc>
      </w:tr>
      <w:tr>
        <w:trPr>
          <w:trHeight w:val="225"/>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36,659</w:t>
            </w:r>
          </w:p>
        </w:tc>
      </w:tr>
      <w:tr>
        <w:trPr>
          <w:trHeight w:val="22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r>
      <w:tr>
        <w:trPr>
          <w:trHeight w:val="225"/>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and expenses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2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(11,580)</w:t>
            </w:r>
          </w:p>
        </w:tc>
      </w:tr>
      <w:tr>
        <w:trPr>
          <w:trHeight w:val="225"/>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43"/>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53,149</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25,948</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640" w:right="140" w:hanging="316"/>
        <w:spacing w:after="0" w:line="276" w:lineRule="auto"/>
        <w:tabs>
          <w:tab w:leader="none" w:pos="634"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Included in underwriting results for the three and six months ended June 30, 2024 is gross fee income of $5.6 million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$10.9 million, respectively ($5.8 million and $11.5 million in the respective prior year periods).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Adjusted Net Operating Income</w:t>
      </w:r>
    </w:p>
    <w:p>
      <w:pPr>
        <w:spacing w:after="0" w:line="115"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Adjusted net operating income is defined as income available to common shareholders excluding a) income (loss) from discontinued operations, b) the impact of retroactive reinsurance accounting for a loss portfolio transfer, c) net realized and unrealized gains (losses) on investments, d) certain non-operating expenses such as professional service fees related to a class action lawsuit, various strategic initiatives, and the filing of registration statements for the offering of securities, and e) severance costs associated with terminated employees. Adjusted net operating income should not be viewed as a substitute for net income calculated in accordance with GAAP, and our definition of adjusted net operating income may not be comparable to that of other companies.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income available to common shareholders reconciles to our adjusted net operating income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tcPr>
          <w:p>
            <w:pPr>
              <w:jc w:val="center"/>
              <w:ind w:right="380"/>
              <w:spacing w:after="0" w:line="134" w:lineRule="exact"/>
              <w:rPr>
                <w:sz w:val="20"/>
                <w:szCs w:val="20"/>
                <w:color w:val="auto"/>
              </w:rPr>
            </w:pPr>
            <w:r>
              <w:rPr>
                <w:rFonts w:ascii="Times New Roman" w:cs="Times New Roman" w:eastAsia="Times New Roman" w:hAnsi="Times New Roman"/>
                <w:sz w:val="14"/>
                <w:szCs w:val="14"/>
                <w:b w:val="1"/>
                <w:bCs w:val="1"/>
                <w:color w:val="auto"/>
              </w:rPr>
              <w:t>Income</w:t>
            </w:r>
          </w:p>
        </w:tc>
        <w:tc>
          <w:tcPr>
            <w:tcW w:w="280" w:type="dxa"/>
            <w:vAlign w:val="bottom"/>
          </w:tcPr>
          <w:p>
            <w:pPr>
              <w:spacing w:after="0"/>
              <w:rPr>
                <w:sz w:val="11"/>
                <w:szCs w:val="11"/>
                <w:color w:val="auto"/>
              </w:rPr>
            </w:pPr>
          </w:p>
        </w:tc>
        <w:tc>
          <w:tcPr>
            <w:tcW w:w="11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440" w:type="dxa"/>
            <w:vAlign w:val="bottom"/>
          </w:tcPr>
          <w:p>
            <w:pPr>
              <w:spacing w:after="0"/>
              <w:rPr>
                <w:sz w:val="11"/>
                <w:szCs w:val="11"/>
                <w:color w:val="auto"/>
              </w:rPr>
            </w:pPr>
          </w:p>
        </w:tc>
        <w:tc>
          <w:tcPr>
            <w:tcW w:w="1000" w:type="dxa"/>
            <w:vAlign w:val="bottom"/>
            <w:gridSpan w:val="2"/>
          </w:tcPr>
          <w:p>
            <w:pPr>
              <w:jc w:val="center"/>
              <w:ind w:right="540"/>
              <w:spacing w:after="0" w:line="134" w:lineRule="exact"/>
              <w:rPr>
                <w:sz w:val="20"/>
                <w:szCs w:val="20"/>
                <w:color w:val="auto"/>
              </w:rPr>
            </w:pPr>
            <w:r>
              <w:rPr>
                <w:rFonts w:ascii="Times New Roman" w:cs="Times New Roman" w:eastAsia="Times New Roman" w:hAnsi="Times New Roman"/>
                <w:sz w:val="14"/>
                <w:szCs w:val="14"/>
                <w:b w:val="1"/>
                <w:bCs w:val="1"/>
                <w:color w:val="auto"/>
              </w:rPr>
              <w:t>Income</w:t>
            </w:r>
          </w:p>
        </w:tc>
        <w:tc>
          <w:tcPr>
            <w:tcW w:w="280" w:type="dxa"/>
            <w:vAlign w:val="bottom"/>
          </w:tcPr>
          <w:p>
            <w:pPr>
              <w:spacing w:after="0"/>
              <w:rPr>
                <w:sz w:val="11"/>
                <w:szCs w:val="11"/>
                <w:color w:val="auto"/>
              </w:rPr>
            </w:pPr>
          </w:p>
        </w:tc>
        <w:tc>
          <w:tcPr>
            <w:tcW w:w="1060" w:type="dxa"/>
            <w:vAlign w:val="bottom"/>
            <w:vMerge w:val="restart"/>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4"/>
        </w:trPr>
        <w:tc>
          <w:tcPr>
            <w:tcW w:w="5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center"/>
              <w:ind w:right="400"/>
              <w:spacing w:after="0" w:line="144" w:lineRule="exact"/>
              <w:rPr>
                <w:sz w:val="20"/>
                <w:szCs w:val="20"/>
                <w:color w:val="auto"/>
              </w:rPr>
            </w:pPr>
            <w:r>
              <w:rPr>
                <w:rFonts w:ascii="Times New Roman" w:cs="Times New Roman" w:eastAsia="Times New Roman" w:hAnsi="Times New Roman"/>
                <w:sz w:val="14"/>
                <w:szCs w:val="14"/>
                <w:b w:val="1"/>
                <w:bCs w:val="1"/>
                <w:color w:val="auto"/>
              </w:rPr>
              <w:t>Before</w:t>
            </w:r>
          </w:p>
        </w:tc>
        <w:tc>
          <w:tcPr>
            <w:tcW w:w="2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tcPr>
          <w:p>
            <w:pPr>
              <w:jc w:val="center"/>
              <w:ind w:right="540"/>
              <w:spacing w:after="0" w:line="144" w:lineRule="exact"/>
              <w:rPr>
                <w:sz w:val="20"/>
                <w:szCs w:val="20"/>
                <w:color w:val="auto"/>
              </w:rPr>
            </w:pPr>
            <w:r>
              <w:rPr>
                <w:rFonts w:ascii="Times New Roman" w:cs="Times New Roman" w:eastAsia="Times New Roman" w:hAnsi="Times New Roman"/>
                <w:sz w:val="14"/>
                <w:szCs w:val="14"/>
                <w:b w:val="1"/>
                <w:bCs w:val="1"/>
                <w:color w:val="auto"/>
                <w:w w:val="95"/>
              </w:rPr>
              <w:t>Before</w:t>
            </w:r>
          </w:p>
        </w:tc>
        <w:tc>
          <w:tcPr>
            <w:tcW w:w="2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91"/>
        </w:trPr>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jc w:val="center"/>
              <w:ind w:left="539"/>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available to common shareholders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13,289</w:t>
            </w: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discontinued operations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0" w:type="dxa"/>
            <w:vAlign w:val="bottom"/>
          </w:tcPr>
          <w:p>
            <w:pPr>
              <w:spacing w:after="0"/>
              <w:rPr>
                <w:sz w:val="1"/>
                <w:szCs w:val="1"/>
                <w:color w:val="auto"/>
              </w:rPr>
            </w:pPr>
          </w:p>
        </w:tc>
      </w:tr>
      <w:tr>
        <w:trPr>
          <w:trHeight w:val="225"/>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 - retroactive reinsurance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and unrealized investment losses (gains)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0" w:type="dxa"/>
            <w:vAlign w:val="bottom"/>
          </w:tcPr>
          <w:p>
            <w:pPr>
              <w:spacing w:after="0"/>
              <w:rPr>
                <w:sz w:val="1"/>
                <w:szCs w:val="1"/>
                <w:color w:val="auto"/>
              </w:rPr>
            </w:pPr>
          </w:p>
        </w:tc>
      </w:tr>
      <w:tr>
        <w:trPr>
          <w:trHeight w:val="225"/>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8"/>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operating income</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6,647</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tcPr>
          <w:p>
            <w:pPr>
              <w:jc w:val="center"/>
              <w:ind w:right="380"/>
              <w:spacing w:after="0" w:line="133" w:lineRule="exact"/>
              <w:rPr>
                <w:sz w:val="20"/>
                <w:szCs w:val="20"/>
                <w:color w:val="auto"/>
              </w:rPr>
            </w:pPr>
            <w:r>
              <w:rPr>
                <w:rFonts w:ascii="Times New Roman" w:cs="Times New Roman" w:eastAsia="Times New Roman" w:hAnsi="Times New Roman"/>
                <w:sz w:val="14"/>
                <w:szCs w:val="14"/>
                <w:b w:val="1"/>
                <w:bCs w:val="1"/>
                <w:color w:val="auto"/>
              </w:rPr>
              <w:t>Income</w:t>
            </w:r>
          </w:p>
        </w:tc>
        <w:tc>
          <w:tcPr>
            <w:tcW w:w="280" w:type="dxa"/>
            <w:vAlign w:val="bottom"/>
          </w:tcPr>
          <w:p>
            <w:pPr>
              <w:spacing w:after="0"/>
              <w:rPr>
                <w:sz w:val="11"/>
                <w:szCs w:val="11"/>
                <w:color w:val="auto"/>
              </w:rPr>
            </w:pPr>
          </w:p>
        </w:tc>
        <w:tc>
          <w:tcPr>
            <w:tcW w:w="11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440" w:type="dxa"/>
            <w:vAlign w:val="bottom"/>
          </w:tcPr>
          <w:p>
            <w:pPr>
              <w:spacing w:after="0"/>
              <w:rPr>
                <w:sz w:val="11"/>
                <w:szCs w:val="11"/>
                <w:color w:val="auto"/>
              </w:rPr>
            </w:pPr>
          </w:p>
        </w:tc>
        <w:tc>
          <w:tcPr>
            <w:tcW w:w="1000" w:type="dxa"/>
            <w:vAlign w:val="bottom"/>
            <w:gridSpan w:val="2"/>
          </w:tcPr>
          <w:p>
            <w:pPr>
              <w:jc w:val="center"/>
              <w:ind w:right="540"/>
              <w:spacing w:after="0" w:line="133" w:lineRule="exact"/>
              <w:rPr>
                <w:sz w:val="20"/>
                <w:szCs w:val="20"/>
                <w:color w:val="auto"/>
              </w:rPr>
            </w:pPr>
            <w:r>
              <w:rPr>
                <w:rFonts w:ascii="Times New Roman" w:cs="Times New Roman" w:eastAsia="Times New Roman" w:hAnsi="Times New Roman"/>
                <w:sz w:val="14"/>
                <w:szCs w:val="14"/>
                <w:b w:val="1"/>
                <w:bCs w:val="1"/>
                <w:color w:val="auto"/>
              </w:rPr>
              <w:t>Income</w:t>
            </w:r>
          </w:p>
        </w:tc>
        <w:tc>
          <w:tcPr>
            <w:tcW w:w="280" w:type="dxa"/>
            <w:vAlign w:val="bottom"/>
          </w:tcPr>
          <w:p>
            <w:pPr>
              <w:spacing w:after="0"/>
              <w:rPr>
                <w:sz w:val="11"/>
                <w:szCs w:val="11"/>
                <w:color w:val="auto"/>
              </w:rPr>
            </w:pPr>
          </w:p>
        </w:tc>
        <w:tc>
          <w:tcPr>
            <w:tcW w:w="1060" w:type="dxa"/>
            <w:vAlign w:val="bottom"/>
            <w:vMerge w:val="restart"/>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6"/>
        </w:trPr>
        <w:tc>
          <w:tcPr>
            <w:tcW w:w="5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Before</w:t>
            </w:r>
          </w:p>
        </w:tc>
        <w:tc>
          <w:tcPr>
            <w:tcW w:w="2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tcPr>
          <w:p>
            <w:pPr>
              <w:jc w:val="center"/>
              <w:ind w:right="540"/>
              <w:spacing w:after="0" w:line="146" w:lineRule="exact"/>
              <w:rPr>
                <w:sz w:val="20"/>
                <w:szCs w:val="20"/>
                <w:color w:val="auto"/>
              </w:rPr>
            </w:pPr>
            <w:r>
              <w:rPr>
                <w:rFonts w:ascii="Times New Roman" w:cs="Times New Roman" w:eastAsia="Times New Roman" w:hAnsi="Times New Roman"/>
                <w:sz w:val="14"/>
                <w:szCs w:val="14"/>
                <w:b w:val="1"/>
                <w:bCs w:val="1"/>
                <w:color w:val="auto"/>
                <w:w w:val="95"/>
              </w:rPr>
              <w:t>Before</w:t>
            </w:r>
          </w:p>
        </w:tc>
        <w:tc>
          <w:tcPr>
            <w:tcW w:w="2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jc w:val="center"/>
              <w:ind w:left="539"/>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available to common shareholders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17,670</w:t>
            </w: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discontinued operations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0" w:type="dxa"/>
            <w:vAlign w:val="bottom"/>
          </w:tcPr>
          <w:p>
            <w:pPr>
              <w:spacing w:after="0"/>
              <w:rPr>
                <w:sz w:val="1"/>
                <w:szCs w:val="1"/>
                <w:color w:val="auto"/>
              </w:rPr>
            </w:pPr>
          </w:p>
        </w:tc>
      </w:tr>
      <w:tr>
        <w:trPr>
          <w:trHeight w:val="225"/>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 - retroactive reinsurance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w:t>
            </w: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and unrealized investment gains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0" w:type="dxa"/>
            <w:vAlign w:val="bottom"/>
          </w:tcPr>
          <w:p>
            <w:pPr>
              <w:spacing w:after="0"/>
              <w:rPr>
                <w:sz w:val="1"/>
                <w:szCs w:val="1"/>
                <w:color w:val="auto"/>
              </w:rPr>
            </w:pPr>
          </w:p>
        </w:tc>
      </w:tr>
      <w:tr>
        <w:trPr>
          <w:trHeight w:val="225"/>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18"/>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operating income</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40,765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Tangible Equity and Tangible Equity per Share</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Tangible equity is defined as shareholders' equity plus mezzanine Series A Preferred Shares and the unrecognized deferred retroactive reinsurance gain on loss portfolio transfers less goodwill and intangible assets, net of amortization. Tangible equity per share represents tangible equity divided by the sum of total common shares outstanding plus the common shares resulting from an assumed conversion of the outstanding Series A Preferred Shares into common shares (at the conversion price effective as of the last day of the applicable period). Our definitions of tangible equity and tangible equity per share may not be comparable to that of other companies, and they should not be viewed as a substitute for shareholders’ equity and shareholders’ equity per share calculated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reconciles shareholders’ equity to tangible equity as of June 30, 2024, December 31, 2023, and June 30, 2023:</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40" w:type="dxa"/>
            <w:vAlign w:val="bottom"/>
          </w:tcPr>
          <w:p>
            <w:pPr>
              <w:spacing w:after="0"/>
              <w:rPr>
                <w:sz w:val="16"/>
                <w:szCs w:val="16"/>
                <w:color w:val="auto"/>
              </w:rPr>
            </w:pPr>
          </w:p>
        </w:tc>
        <w:tc>
          <w:tcPr>
            <w:tcW w:w="228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2180" w:type="dxa"/>
            <w:vAlign w:val="bottom"/>
            <w:gridSpan w:val="4"/>
          </w:tcPr>
          <w:p>
            <w:pPr>
              <w:jc w:val="right"/>
              <w:ind w:right="721"/>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24"/>
        </w:trPr>
        <w:tc>
          <w:tcPr>
            <w:tcW w:w="3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7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101"/>
              <w:spacing w:after="0" w:line="128" w:lineRule="exact"/>
              <w:rPr>
                <w:sz w:val="20"/>
                <w:szCs w:val="20"/>
                <w:color w:val="auto"/>
              </w:rPr>
            </w:pPr>
            <w:r>
              <w:rPr>
                <w:rFonts w:ascii="Times New Roman" w:cs="Times New Roman" w:eastAsia="Times New Roman" w:hAnsi="Times New Roman"/>
                <w:sz w:val="14"/>
                <w:szCs w:val="14"/>
                <w:b w:val="1"/>
                <w:bCs w:val="1"/>
                <w:color w:val="auto"/>
              </w:rPr>
              <w:t>Equity per</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81"/>
              <w:spacing w:after="0" w:line="128" w:lineRule="exact"/>
              <w:rPr>
                <w:sz w:val="20"/>
                <w:szCs w:val="20"/>
                <w:color w:val="auto"/>
              </w:rPr>
            </w:pPr>
            <w:r>
              <w:rPr>
                <w:rFonts w:ascii="Times New Roman" w:cs="Times New Roman" w:eastAsia="Times New Roman" w:hAnsi="Times New Roman"/>
                <w:sz w:val="14"/>
                <w:szCs w:val="14"/>
                <w:b w:val="1"/>
                <w:bCs w:val="1"/>
                <w:color w:val="auto"/>
                <w:w w:val="99"/>
              </w:rPr>
              <w:t>Equity per</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41"/>
              <w:spacing w:after="0" w:line="128" w:lineRule="exact"/>
              <w:rPr>
                <w:sz w:val="20"/>
                <w:szCs w:val="20"/>
                <w:color w:val="auto"/>
              </w:rPr>
            </w:pPr>
            <w:r>
              <w:rPr>
                <w:rFonts w:ascii="Times New Roman" w:cs="Times New Roman" w:eastAsia="Times New Roman" w:hAnsi="Times New Roman"/>
                <w:sz w:val="14"/>
                <w:szCs w:val="14"/>
                <w:b w:val="1"/>
                <w:bCs w:val="1"/>
                <w:color w:val="auto"/>
              </w:rPr>
              <w:t>Equity per</w:t>
            </w:r>
          </w:p>
        </w:tc>
        <w:tc>
          <w:tcPr>
            <w:tcW w:w="0" w:type="dxa"/>
            <w:vAlign w:val="bottom"/>
          </w:tcPr>
          <w:p>
            <w:pPr>
              <w:spacing w:after="0"/>
              <w:rPr>
                <w:sz w:val="1"/>
                <w:szCs w:val="1"/>
                <w:color w:val="auto"/>
              </w:rPr>
            </w:pPr>
          </w:p>
        </w:tc>
      </w:tr>
      <w:tr>
        <w:trPr>
          <w:trHeight w:val="191"/>
        </w:trPr>
        <w:tc>
          <w:tcPr>
            <w:tcW w:w="3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191"/>
        </w:trPr>
        <w:tc>
          <w:tcPr>
            <w:tcW w:w="37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540" w:type="dxa"/>
            <w:vAlign w:val="bottom"/>
            <w:tcBorders>
              <w:top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i w:val="1"/>
                <w:iCs w:val="1"/>
                <w:color w:val="auto"/>
              </w:rPr>
              <w:t>($ in thousands, except share amounts)</w:t>
            </w: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541,791</w:t>
            </w:r>
          </w:p>
        </w:tc>
        <w:tc>
          <w:tcPr>
            <w:tcW w:w="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534,621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585,542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0" w:type="dxa"/>
            <w:vAlign w:val="bottom"/>
          </w:tcPr>
          <w:p>
            <w:pPr>
              <w:spacing w:after="0"/>
              <w:rPr>
                <w:sz w:val="1"/>
                <w:szCs w:val="1"/>
                <w:color w:val="auto"/>
              </w:rPr>
            </w:pPr>
          </w:p>
        </w:tc>
      </w:tr>
      <w:tr>
        <w:trPr>
          <w:trHeight w:val="225"/>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redeemable preferred shares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144,898</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144,898</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reinsurance gain</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13,047</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20,733</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32,631</w:t>
            </w:r>
          </w:p>
        </w:tc>
        <w:tc>
          <w:tcPr>
            <w:tcW w:w="2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32,813</w:t>
            </w: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760" w:type="dxa"/>
            <w:vAlign w:val="bottom"/>
            <w:tcBorders>
              <w:bottom w:val="single" w:sz="8" w:color="CCEEFF"/>
            </w:tcBorders>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Tangible equity</w:t>
            </w:r>
          </w:p>
        </w:tc>
        <w:tc>
          <w:tcPr>
            <w:tcW w:w="240" w:type="dxa"/>
            <w:vAlign w:val="bottom"/>
            <w:tcBorders>
              <w:bottom w:val="single" w:sz="8" w:color="auto"/>
            </w:tcBorders>
            <w:shd w:val="clear" w:color="auto" w:fill="CCEEFF"/>
          </w:tcPr>
          <w:p>
            <w:pPr>
              <w:jc w:val="right"/>
              <w:ind w:right="32"/>
              <w:spacing w:after="0" w:line="19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485,274</w:t>
            </w:r>
          </w:p>
        </w:tc>
        <w:tc>
          <w:tcPr>
            <w:tcW w:w="280" w:type="dxa"/>
            <w:vAlign w:val="bottom"/>
            <w:tcBorders>
              <w:bottom w:val="single" w:sz="8" w:color="CCEEFF"/>
            </w:tcBorders>
            <w:shd w:val="clear" w:color="auto" w:fill="CCEEFF"/>
          </w:tcPr>
          <w:p>
            <w:pPr>
              <w:ind w:left="120"/>
              <w:spacing w:after="0" w:line="19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
              <w:spacing w:after="0" w:line="192" w:lineRule="exact"/>
              <w:rPr>
                <w:sz w:val="20"/>
                <w:szCs w:val="20"/>
                <w:color w:val="auto"/>
              </w:rPr>
            </w:pPr>
            <w:r>
              <w:rPr>
                <w:rFonts w:ascii="Times New Roman" w:cs="Times New Roman" w:eastAsia="Times New Roman" w:hAnsi="Times New Roman"/>
                <w:sz w:val="18"/>
                <w:szCs w:val="18"/>
                <w:color w:val="auto"/>
              </w:rPr>
              <w:t>10.86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2"/>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485,608</w:t>
            </w:r>
          </w:p>
        </w:tc>
        <w:tc>
          <w:tcPr>
            <w:tcW w:w="260" w:type="dxa"/>
            <w:vAlign w:val="bottom"/>
            <w:tcBorders>
              <w:bottom w:val="single" w:sz="8" w:color="CCEEFF"/>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11.13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2"/>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550,687</w:t>
            </w:r>
          </w:p>
        </w:tc>
        <w:tc>
          <w:tcPr>
            <w:tcW w:w="260" w:type="dxa"/>
            <w:vAlign w:val="bottom"/>
            <w:tcBorders>
              <w:bottom w:val="single" w:sz="8" w:color="CCEEFF"/>
            </w:tcBorders>
            <w:gridSpan w:val="2"/>
            <w:shd w:val="clear" w:color="auto" w:fill="CCEEFF"/>
          </w:tcPr>
          <w:p>
            <w:pPr>
              <w:jc w:val="right"/>
              <w:ind w:right="60"/>
              <w:spacing w:after="0" w:line="19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outstanding</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37,825,767</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37,641,563</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37,619,226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76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w w:val="99"/>
              </w:rPr>
              <w:t>Common shares from assumed conversion of Series</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 Preferred Shares</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6,848,763</w:t>
            </w:r>
          </w:p>
        </w:tc>
        <w:tc>
          <w:tcPr>
            <w:tcW w:w="28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5,971,184</w:t>
            </w:r>
          </w:p>
        </w:tc>
        <w:tc>
          <w:tcPr>
            <w:tcW w:w="26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5,640,158</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376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Common shares outstanding after assumed</w:t>
            </w:r>
          </w:p>
        </w:tc>
        <w:tc>
          <w:tcPr>
            <w:tcW w:w="2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44,674,530</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43,612,747</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43,259,384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of Series A Preferred Shares</w:t>
            </w: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risks have been interest rate risk associated with investments in fixed maturities and equity price risk associated with investments in equity securities. We do not have material exposure to foreign currency exchange rate risk or commodity risk.</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have been no material changes in market risk from the information provided in Item 7A of our Annual Report on Form 10-K for the year ended December 31, 2023.</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disclosure. In connection with the preparation of this quarterly report on Form 10-Q, our management carried out an evaluation, under the supervision and with the participation of our CEO and CFO, as of June 30, 2024, of the effectiveness of the design and operation of our disclosure controls and procedures, as such term is defined under Rule 13a-15(e) and 15d-15(e) under the Exchange Act. Based upon this evaluation, our CEO and CFO concluded that our disclosure controls and procedures were effective as of June 30, 2024.</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13"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Rules 13a-15(f) and 15d-15(f) under the Exchange Act) that occurred during our quarter ended June 30, 2024 that have materially affected, or are reasonably likely to materially affect, our internal control over financial reporting.</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involved in various legal proceedings, including commercial matters and litigation regarding insurance claims which arise in the ordinary course of business, as well as the matters specifically discussed below. In addition, the Company is involved from time to time in legal actions which seek extra-contractual damages, punitive damages or penalties, including claims alleging bad faith in the handling of insurance claims. We believe that the outcome of such matters, individually and in the aggregate, is not reasonably likely to have a material adverse effect on our consolidated financial position, results of operations or cash flows.</w:t>
      </w:r>
    </w:p>
    <w:p>
      <w:pPr>
        <w:spacing w:after="0" w:line="79"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On July 9, 2021, a purported class action lawsuit was filed in the U.S. District Court, Eastern District of Virginia (the “Court”) by Employees’ Retirement Fund of the City of Fort Worth against James River Group Holdings, Ltd. and certain of its present and former officers (together, “Defendants”). On September 22, 2021, the Court entered an order appointing Employees’ Retirement Fund of the City of Fort Worth and the City of Miami General Employees’ and Sanitation Employees’ Retirement Trust as co-lead plaintiffs (together, “Plaintiffs”). Plaintiffs’ consolidated amended complaint was filed on November 19, 2021 (the “First Amended Complaint”). The Defendants filed a motion to dismiss the First Amended Complaint on January 18, 2022, Plaintiffs’ opposition thereto was filed on March 4, 2022, and the Defendants’ reply to the Plaintiffs’ opposition was filed on April 4, 2022. On August 25, 2022, Plaintiffs filed a motion for leave to file a second amended class action complaint (the “Second Amended Complaint”). On September 8, 2022, the Defendants consented to the Plaintiffs’ motion to file the Second Amended Complaint, and filed a motion to dismiss the Second Amended Complaint on October 24, 2022 (the “Second MTD”). The Plaintiffs’ opposition to the Second MTD was filed on November 7, 2022, and the Defendant’s reply to the Plaintiffs’ opposition was filed on November 14, 2022. On August 28, 2023, the Court denied the Second MTD. The Second Amended Complaint asserts claims under Sections 10(b) and 20(a) of the Securities Exchange Act of 1934 on behalf of a putative class of persons and entities that purchased the Company’s stock between February 22, 2019 and October 25, 2021, alleges that Defendants failed to make appropriate disclosures concerning the adequacy of reserves for policies that covered Rasier LLC, a subsidiary of Uber Technologies, Inc., and seeks unspecified damages, costs, attorneys’ fees and such other relief as the court may deem proper. We engaged in mediation in the fourth quarter of 2023 and on December 7, 2023,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connection with the mediation, we reached an agreement in principle to settle the action. On December 22, 2023, the parties submitted the stipulation of settlement to the Court for approval. The settlement provides for a full release of all defendants in connection with the allegations made and a settlement payment to the class of $30.0 million, inclusive of all Plaintiffs’ attorneys fees and expenses and settlement costs, all of which will be paid by the Company’s insurance carriers. On January 26, 2024 the Court issued an order granting preliminary approval of the settlement and on May 24, 2024 the Court issued an order granting final approval of the settlement, and no appeal was filed. This matter is now closed.</w:t>
      </w:r>
    </w:p>
    <w:p>
      <w:pPr>
        <w:spacing w:after="0" w:line="7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November 13, 2023, a purported class action lawsuit was filed in the U.S. District Court, Southern District of New York, on behalf of Paul Glantz against James River Group Holdings, Ltd. and certain of its officers, asserting claims under Sections 10(b) and 20(a) of the Securities Exchange Act of 1934. On January 12, 2024, both Mr. Glantz and Madhav Ghimire, another individual shareholder, filed an application with the court for appointment as Lead Plaintiff, and on January 26, 2024 Mr. Glantz filed a notice of non-opposition to Mr. Ghimire's competing motion for appointment as Lead Plaintiff. On March 25, 2024 the court entered an order appointing Mr. Ghimire as lead plaintiff. On May 24, 2024, Plaintiff's filed its consolidated amended complaint alleging that he acquired the Company’s common stock at artificially inflated pricing between May 2, 2023 and November 7, 2023, inclusive, that the Company knew and/or recklessly disregarded that it had improperly accounted for reinsurance premiums and did not have effective internal control over financial reporting, and that as a result, he suffered unspecified damages, and seeking unspecified damages, costs, attorneys' fees and such other relief as the court may deem proper. On July 23, 2024 the Company filed a motion to dismiss the consolidated amended complaint. We believe that the claims are without merit and intend to vigorously defend this lawsuit.</w:t>
      </w:r>
    </w:p>
    <w:p>
      <w:pPr>
        <w:spacing w:after="0" w:line="87"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On March 11, 2024, the Company filed a complaint (the “Complaint”) in the Supreme Court of the State of New York, New York County, Commercial Division against Fleming Intermediate Holdings LLC (“Fleming”), a Cayman Islands limited liability company, relating to the previously announced Stock Purchase Agreement, dated as of November 8, 2023 (the “Stock Purchase Agreement”), pursuant to which Fleming agreed to purchase all of the outstanding common shares of JRG Re (the “Transaction”). The complaint alleges that Fleming breached the Stock Purchase Agreement by its refusal to close the Transaction on March 1, 2024 as required under the terms of the Stock Purchase Agreement, and seeks specific performance of Fleming’s obligation to complete the Transaction and an award of damages. The Company subsequently filed a motion for preliminary injunction to require Fleming to fulfill its contractual obligation to close the Transaction, and on April 6, 2024 the Court granted the Company’s motion and ordered Fleming to complete the Transaction on or prior to April 16, 2024. On April 8, 2024, Fleming filed a notice of appeal of the preliminary injunction, which is pending in the Supreme Court of the State of New York Appellate Division, First Department. The Transaction closed on April 16, 2024. On April 19, 2024, Fleming filed a motion to dismiss the Complaint. On May 9, 2024, the Company filed an amended complaint seeking, among other things, specific performance and damages suffered as a result of Fleming's breach of the Stock Purchase Agreement. On June 6, 2024, Fleming filed a motion to dismiss the amended complaint, on July 3, 2024 the Company filed an opposition to such motion to dismiss (the "MTD Opposition"), and on July 24, 2024 Fleming filed its reply to the MTD Opposition.</w:t>
      </w:r>
    </w:p>
    <w:p>
      <w:pPr>
        <w:spacing w:after="0" w:line="7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July 15, 2024, Fleming filed a lawsuit in the U.S. District Court, Southern District of New York against James River Group Holdings, Ltd. and certain of its officers, asserting claims under Sections 10(b) and 20(a) of the Securities Exchange Act of 1934, common law fraud, and breaches of contract, and seeking unspecified monetary damages, including compensatory, consequential and punitive damages, all associated with Fleming's purchase of JRG Re pursuant to the Stock Purchase Agreement. The Company expects to file a motion to dismiss the complaint in September 2024. Only July 29, 2024, Fleming filed a motion for a preliminary injunction and to amend its complaint to raise a dispute regarding Fleming's claim that it is entitled to additional documents in connection with the purchase price adjustment process set forth in the Stock Purchase Agreement. The Company expects to oppose that motion, and the court has set a briefing schedule to be completed by August 19, 2024, with a hearing currently set for August 29, 2024. We believe Fleming's claims are without merit and intend to vigorously defend this lawsuit.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3"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There have been no material changes in our risk factors in the quarter ended June 30, 2024 from those disclosed in our Annual Report on Form 10-K for the year ended December 31, 2023, except as follows:</w:t>
      </w:r>
    </w:p>
    <w:p>
      <w:pPr>
        <w:spacing w:after="0" w:line="53" w:lineRule="exact"/>
        <w:rPr>
          <w:sz w:val="20"/>
          <w:szCs w:val="20"/>
          <w:color w:val="auto"/>
        </w:rPr>
      </w:pPr>
    </w:p>
    <w:p>
      <w:pPr>
        <w:ind w:right="60"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involved in disputes relating to the Stock Purchase Agreement and the sale of JRG Re to Fleming, which closed on April 16, 2024. An adverse outcome to these matters may have a material adverse effect on our financial position</w:t>
      </w:r>
    </w:p>
    <w:p>
      <w:pPr>
        <w:spacing w:after="0" w:line="5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accordance with the Stock Purchase Agreement, the cash portion of the purchase price (the "Closing Date Purchase Price") received by the Company for the sale of JRG Re on April 16, 2024 (the “Closing Date”) was calculated based on an estimated closing statement, which in turn was based on an estimated balance sheet of JRG Re. Under the Stock Purchase Agreement, the estimated closing statement is subject to a post-closing adjustment process between the Company and Fleming to produce a final closing statement based on a final balance sheet of JRG Re as of the Closing Date. This adjustment process could result in a change to the purchase price paid by Fleming on the Closing Date.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Fleming delivered a closing statement to the Company, and pursuant to the procedures in the Stock Purchase Agreement, the Company has given notice of its disagreement with Fleming’s closing statement. In its notice of disagreement, the Company (i) agreed with an $11.4 million downward adjustment to the Closing Date Purchase Price due to the losses recorded on JRG Re's operations between the date of the balance sheet used to produce the estimated closing statement and the Closing Date, which downward adjustment is included in "Other Liabilities" on the Company's Balance Sheet at June 30, 2024, and (ii) disputed $54.1 million in aggregate downward adjustments to the Closing Date Purchase Price claimed by Fleming, which the Company believes are unsupported by the facts known to the Company and the terms of the Stock Purchase Agreement. The Stock Purchase Agreement provides procedures for resolving disputes between the parties regarding the closing statement and it is possible that the resolution of these disputes could result in a significant reduction to the amount of the purchase price.</w:t>
      </w:r>
    </w:p>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described in Part II, Item 1., Legal Proceedings, we are involved in litigation with Fleming regarding the Stock Purchase Agreement and related</w:t>
      </w:r>
    </w:p>
    <w:p>
      <w:pPr>
        <w:spacing w:after="0" w:line="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matters. The outcome of the disputes over the post-closing adjustment and the litigation with Fleming cannot be predicted and, if determined adversely, could require us to repay a significant portion of the purchase price paid by Fleming on the Closing Date, as well as significant damage amounts, which could have a material adverse effect on our financial position.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260" w:type="dxa"/>
            <w:vAlign w:val="bottom"/>
            <w:gridSpan w:val="19"/>
            <w:vMerge w:val="restart"/>
          </w:tcPr>
          <w:p>
            <w:pPr>
              <w:ind w:left="1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260" w:type="dxa"/>
            <w:vAlign w:val="bottom"/>
            <w:gridSpan w:val="1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900" w:type="dxa"/>
            <w:vAlign w:val="bottom"/>
          </w:tcPr>
          <w:p>
            <w:pPr>
              <w:ind w:left="20"/>
              <w:spacing w:after="0" w:line="152" w:lineRule="exact"/>
              <w:rPr>
                <w:sz w:val="20"/>
                <w:szCs w:val="20"/>
                <w:color w:val="auto"/>
              </w:rPr>
            </w:pPr>
            <w:r>
              <w:rPr>
                <w:rFonts w:ascii="Times New Roman" w:cs="Times New Roman" w:eastAsia="Times New Roman" w:hAnsi="Times New Roman"/>
                <w:sz w:val="17"/>
                <w:szCs w:val="17"/>
                <w:color w:val="auto"/>
              </w:rPr>
              <w:t>10.1</w:t>
            </w:r>
          </w:p>
        </w:tc>
        <w:tc>
          <w:tcPr>
            <w:tcW w:w="700" w:type="dxa"/>
            <w:vAlign w:val="bottom"/>
          </w:tcPr>
          <w:p>
            <w:pPr>
              <w:spacing w:after="0"/>
              <w:rPr>
                <w:sz w:val="14"/>
                <w:szCs w:val="14"/>
                <w:color w:val="auto"/>
              </w:rPr>
            </w:pPr>
          </w:p>
        </w:tc>
        <w:tc>
          <w:tcPr>
            <w:tcW w:w="8640" w:type="dxa"/>
            <w:vAlign w:val="bottom"/>
            <w:gridSpan w:val="23"/>
          </w:tcPr>
          <w:p>
            <w:pPr>
              <w:spacing w:after="0" w:line="152" w:lineRule="exact"/>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First Amendment dated April 16, 2024 to the Third Amended and Restated Credit Agreement dated as of July 7, 2023 by</w:t>
              </w:r>
            </w:hyperlink>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40" w:type="dxa"/>
            <w:vAlign w:val="bottom"/>
            <w:tcBorders>
              <w:top w:val="single" w:sz="8" w:color="0000FF"/>
            </w:tcBorders>
            <w:gridSpan w:val="18"/>
          </w:tcPr>
          <w:p>
            <w:pPr>
              <w:spacing w:after="0" w:line="152" w:lineRule="exact"/>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and among James River Group Holdings, Ltd. and JRG Reinsurance Company Ltd., as borrowers, KeyBank National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320" w:type="dxa"/>
            <w:vAlign w:val="bottom"/>
            <w:tcBorders>
              <w:top w:val="single" w:sz="8" w:color="0000FF"/>
            </w:tcBorders>
            <w:gridSpan w:val="14"/>
          </w:tcPr>
          <w:p>
            <w:pPr>
              <w:spacing w:after="0" w:line="165" w:lineRule="exact"/>
              <w:rPr>
                <w:rFonts w:ascii="Times New Roman" w:cs="Times New Roman" w:eastAsia="Times New Roman" w:hAnsi="Times New Roman"/>
                <w:sz w:val="18"/>
                <w:szCs w:val="18"/>
                <w:color w:val="0000FF"/>
                <w:w w:val="98"/>
              </w:rPr>
            </w:pPr>
            <w:hyperlink r:id="rId85">
              <w:r>
                <w:rPr>
                  <w:rFonts w:ascii="Times New Roman" w:cs="Times New Roman" w:eastAsia="Times New Roman" w:hAnsi="Times New Roman"/>
                  <w:sz w:val="18"/>
                  <w:szCs w:val="18"/>
                  <w:color w:val="0000FF"/>
                  <w:w w:val="98"/>
                </w:rPr>
                <w:t>Association ("KeyBank") as Administrative Agent and Letter of Credit Issuer, KeyBank and Truist Securities, Inc. as</w:t>
              </w:r>
            </w:hyperlink>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80" w:type="dxa"/>
            <w:vAlign w:val="bottom"/>
            <w:tcBorders>
              <w:top w:val="single" w:sz="8" w:color="0000FF"/>
            </w:tcBorders>
            <w:gridSpan w:val="12"/>
          </w:tcPr>
          <w:p>
            <w:pPr>
              <w:spacing w:after="0" w:line="152" w:lineRule="exact"/>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Joint Book Runners and Joint Lead Arrangers, Truist Bank as Syndication Agent, and the lender parties thereto</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40" w:type="dxa"/>
            <w:vAlign w:val="bottom"/>
            <w:gridSpan w:val="23"/>
          </w:tcPr>
          <w:p>
            <w:pPr>
              <w:spacing w:after="0" w:line="152" w:lineRule="exact"/>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(incorporated by reference to Exhibit 10.1 of the Current Report on Form 8-K filed on April 22, 2024, Commission File</w:t>
              </w:r>
            </w:hyperlink>
          </w:p>
        </w:tc>
        <w:tc>
          <w:tcPr>
            <w:tcW w:w="0" w:type="dxa"/>
            <w:vAlign w:val="bottom"/>
          </w:tcPr>
          <w:p>
            <w:pPr>
              <w:spacing w:after="0"/>
              <w:rPr>
                <w:sz w:val="1"/>
                <w:szCs w:val="1"/>
                <w:color w:val="auto"/>
              </w:rPr>
            </w:pPr>
          </w:p>
        </w:tc>
      </w:tr>
      <w:tr>
        <w:trPr>
          <w:trHeight w:val="166"/>
        </w:trPr>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60" w:type="dxa"/>
            <w:vAlign w:val="bottom"/>
            <w:tcBorders>
              <w:top w:val="single" w:sz="8" w:color="0000FF"/>
            </w:tcBorders>
            <w:gridSpan w:val="16"/>
          </w:tcPr>
          <w:p>
            <w:pPr>
              <w:spacing w:after="0" w:line="165"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No. 001-36777)</w:t>
              </w:r>
              <w:r>
                <w:rPr>
                  <w:rFonts w:ascii="Times New Roman" w:cs="Times New Roman" w:eastAsia="Times New Roman" w:hAnsi="Times New Roman"/>
                  <w:sz w:val="18"/>
                  <w:szCs w:val="18"/>
                  <w:color w:val="000000"/>
                </w:rPr>
                <w:t>*</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700" w:type="dxa"/>
            <w:vAlign w:val="bottom"/>
          </w:tcPr>
          <w:p>
            <w:pPr>
              <w:spacing w:after="0"/>
              <w:rPr>
                <w:sz w:val="22"/>
                <w:szCs w:val="22"/>
                <w:color w:val="auto"/>
              </w:rPr>
            </w:pPr>
          </w:p>
        </w:tc>
        <w:tc>
          <w:tcPr>
            <w:tcW w:w="8640" w:type="dxa"/>
            <w:vAlign w:val="bottom"/>
            <w:gridSpan w:val="23"/>
          </w:tcPr>
          <w:p>
            <w:pPr>
              <w:spacing w:after="0"/>
              <w:rPr>
                <w:rFonts w:ascii="Times New Roman" w:cs="Times New Roman" w:eastAsia="Times New Roman" w:hAnsi="Times New Roman"/>
                <w:sz w:val="18"/>
                <w:szCs w:val="18"/>
                <w:color w:val="0000FF"/>
                <w:w w:val="98"/>
              </w:rPr>
            </w:pPr>
            <w:hyperlink r:id="rId86">
              <w:r>
                <w:rPr>
                  <w:rFonts w:ascii="Times New Roman" w:cs="Times New Roman" w:eastAsia="Times New Roman" w:hAnsi="Times New Roman"/>
                  <w:sz w:val="18"/>
                  <w:szCs w:val="18"/>
                  <w:color w:val="0000FF"/>
                  <w:w w:val="98"/>
                </w:rPr>
                <w:t>Fourth Amendment dated April 16, 2024 to the Credit Agreement dated as of August 2, 2017, as amended, by and among</w:t>
              </w:r>
            </w:hyperlink>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580" w:type="dxa"/>
            <w:vAlign w:val="bottom"/>
            <w:tcBorders>
              <w:top w:val="single" w:sz="8" w:color="0000FF"/>
            </w:tcBorders>
            <w:gridSpan w:val="20"/>
          </w:tcPr>
          <w:p>
            <w:pPr>
              <w:spacing w:after="0" w:line="152" w:lineRule="exact"/>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James River Group Holdings, Ltd. and JRG Reinsurance Company Ltd., as borrowers, and BMO Bank N.A., as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160" w:type="dxa"/>
            <w:vAlign w:val="bottom"/>
            <w:tcBorders>
              <w:top w:val="single" w:sz="8" w:color="0000FF"/>
            </w:tcBorders>
            <w:gridSpan w:val="11"/>
          </w:tcPr>
          <w:p>
            <w:pPr>
              <w:spacing w:after="0" w:line="165"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lender (incorporated by reference to Exhibit 10.2 of the Current Report on Form 8-K filed on April 22, 2024,</w:t>
              </w:r>
            </w:hyperlink>
          </w:p>
        </w:tc>
        <w:tc>
          <w:tcPr>
            <w:tcW w:w="1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80" w:type="dxa"/>
            <w:vAlign w:val="bottom"/>
            <w:tcBorders>
              <w:top w:val="single" w:sz="8" w:color="0000FF"/>
            </w:tcBorders>
            <w:gridSpan w:val="8"/>
          </w:tcPr>
          <w:p>
            <w:pPr>
              <w:spacing w:after="0" w:line="152" w:lineRule="exact"/>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Commission File No. 001-36777)</w:t>
              </w:r>
              <w:r>
                <w:rPr>
                  <w:rFonts w:ascii="Times New Roman" w:cs="Times New Roman" w:eastAsia="Times New Roman" w:hAnsi="Times New Roman"/>
                  <w:sz w:val="17"/>
                  <w:szCs w:val="17"/>
                  <w:color w:val="000000"/>
                </w:rPr>
                <w:t>*</w:t>
              </w:r>
            </w:hyperlink>
          </w:p>
        </w:tc>
        <w:tc>
          <w:tcPr>
            <w:tcW w:w="400" w:type="dxa"/>
            <w:vAlign w:val="bottom"/>
            <w:gridSpan w:val="2"/>
          </w:tcPr>
          <w:p>
            <w:pPr>
              <w:spacing w:after="0"/>
              <w:rPr>
                <w:sz w:val="13"/>
                <w:szCs w:val="13"/>
                <w:color w:val="auto"/>
              </w:rPr>
            </w:pPr>
          </w:p>
        </w:tc>
        <w:tc>
          <w:tcPr>
            <w:tcW w:w="22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700" w:type="dxa"/>
            <w:vAlign w:val="bottom"/>
          </w:tcPr>
          <w:p>
            <w:pPr>
              <w:spacing w:after="0"/>
              <w:rPr>
                <w:sz w:val="22"/>
                <w:szCs w:val="22"/>
                <w:color w:val="auto"/>
              </w:rPr>
            </w:pPr>
          </w:p>
        </w:tc>
        <w:tc>
          <w:tcPr>
            <w:tcW w:w="8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9"/>
              </w:rPr>
              <w:t>Second Amendment dated May 22, 2024 to the Third Amended and Restated Credit Agreement dated as of July 7, 2023</w:t>
            </w:r>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80" w:type="dxa"/>
            <w:vAlign w:val="bottom"/>
            <w:tcBorders>
              <w:top w:val="single" w:sz="8" w:color="0000FF"/>
              <w:bottom w:val="single" w:sz="8" w:color="0000FF"/>
            </w:tcBorders>
            <w:gridSpan w:val="17"/>
          </w:tcPr>
          <w:p>
            <w:pPr>
              <w:spacing w:after="0" w:line="152" w:lineRule="exact"/>
              <w:rPr>
                <w:sz w:val="20"/>
                <w:szCs w:val="20"/>
                <w:color w:val="auto"/>
              </w:rPr>
            </w:pPr>
            <w:r>
              <w:rPr>
                <w:rFonts w:ascii="Times New Roman" w:cs="Times New Roman" w:eastAsia="Times New Roman" w:hAnsi="Times New Roman"/>
                <w:sz w:val="17"/>
                <w:szCs w:val="17"/>
                <w:color w:val="0000FF"/>
              </w:rPr>
              <w:t>by and among James River Group Holdings, Ltd. and JRG Reinsurance Company Ltd., as borrowers, KeyBank National</w:t>
            </w:r>
          </w:p>
        </w:tc>
        <w:tc>
          <w:tcPr>
            <w:tcW w:w="40" w:type="dxa"/>
            <w:vAlign w:val="bottom"/>
            <w:tcBorders>
              <w:bottom w:val="single" w:sz="8" w:color="0000FF"/>
            </w:tcBorders>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520" w:type="dxa"/>
            <w:vAlign w:val="bottom"/>
            <w:gridSpan w:val="18"/>
          </w:tcPr>
          <w:p>
            <w:pPr>
              <w:spacing w:after="0" w:line="165" w:lineRule="exact"/>
              <w:rPr>
                <w:sz w:val="20"/>
                <w:szCs w:val="20"/>
                <w:color w:val="auto"/>
              </w:rPr>
            </w:pPr>
            <w:r>
              <w:rPr>
                <w:rFonts w:ascii="Times New Roman" w:cs="Times New Roman" w:eastAsia="Times New Roman" w:hAnsi="Times New Roman"/>
                <w:sz w:val="18"/>
                <w:szCs w:val="18"/>
                <w:color w:val="0000FF"/>
              </w:rPr>
              <w:t>Association (“KeyBank”) as Administrative Agent and Letter of Credit Issuer, KeyBank and Truist Securities, Inc. as</w:t>
            </w: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300" w:type="dxa"/>
            <w:vAlign w:val="bottom"/>
            <w:tcBorders>
              <w:top w:val="single" w:sz="8" w:color="0000FF"/>
            </w:tcBorders>
            <w:gridSpan w:val="13"/>
          </w:tcPr>
          <w:p>
            <w:pPr>
              <w:spacing w:after="0" w:line="152" w:lineRule="exact"/>
              <w:rPr>
                <w:sz w:val="20"/>
                <w:szCs w:val="20"/>
                <w:color w:val="auto"/>
              </w:rPr>
            </w:pPr>
            <w:r>
              <w:rPr>
                <w:rFonts w:ascii="Times New Roman" w:cs="Times New Roman" w:eastAsia="Times New Roman" w:hAnsi="Times New Roman"/>
                <w:sz w:val="17"/>
                <w:szCs w:val="17"/>
                <w:color w:val="0000FF"/>
              </w:rPr>
              <w:t>Joint Book Runners and Joint Lead Arrangers, Truist Bank as Syndication Agent, and the lender parties thereto</w:t>
            </w:r>
          </w:p>
        </w:tc>
        <w:tc>
          <w:tcPr>
            <w:tcW w:w="60" w:type="dxa"/>
            <w:vAlign w:val="bottom"/>
            <w:gridSpan w:val="2"/>
          </w:tcPr>
          <w:p>
            <w:pPr>
              <w:spacing w:after="0"/>
              <w:rPr>
                <w:sz w:val="13"/>
                <w:szCs w:val="13"/>
                <w:color w:val="auto"/>
              </w:rPr>
            </w:pPr>
          </w:p>
        </w:tc>
        <w:tc>
          <w:tcPr>
            <w:tcW w:w="24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36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22"/>
                <w:szCs w:val="22"/>
                <w:color w:val="auto"/>
              </w:rPr>
            </w:pPr>
          </w:p>
        </w:tc>
        <w:tc>
          <w:tcPr>
            <w:tcW w:w="8640" w:type="dxa"/>
            <w:vAlign w:val="bottom"/>
            <w:gridSpan w:val="23"/>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Combined Loss Portfolio Transfer and Adverse Development Cover Reinsurance Contract dated July 2, 2024 between</w:t>
              </w:r>
            </w:hyperlink>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360" w:type="dxa"/>
            <w:vAlign w:val="bottom"/>
            <w:tcBorders>
              <w:top w:val="single" w:sz="8" w:color="0000FF"/>
            </w:tcBorders>
            <w:gridSpan w:val="15"/>
          </w:tcPr>
          <w:p>
            <w:pPr>
              <w:spacing w:after="0" w:line="152" w:lineRule="exact"/>
              <w:rPr>
                <w:rFonts w:ascii="Times New Roman" w:cs="Times New Roman" w:eastAsia="Times New Roman" w:hAnsi="Times New Roman"/>
                <w:sz w:val="17"/>
                <w:szCs w:val="17"/>
                <w:color w:val="0000FF"/>
              </w:rPr>
            </w:pPr>
            <w:hyperlink r:id="rId87">
              <w:r>
                <w:rPr>
                  <w:rFonts w:ascii="Times New Roman" w:cs="Times New Roman" w:eastAsia="Times New Roman" w:hAnsi="Times New Roman"/>
                  <w:sz w:val="17"/>
                  <w:szCs w:val="17"/>
                  <w:color w:val="0000FF"/>
                </w:rPr>
                <w:t>James River Insurance Company and James River Casualty Company and State National Insurance Company, Inc.</w:t>
              </w:r>
            </w:hyperlink>
          </w:p>
        </w:tc>
        <w:tc>
          <w:tcPr>
            <w:tcW w:w="24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80" w:type="dxa"/>
            <w:vAlign w:val="bottom"/>
            <w:tcBorders>
              <w:top w:val="single" w:sz="8" w:color="0000FF"/>
            </w:tcBorders>
            <w:gridSpan w:val="10"/>
          </w:tcPr>
          <w:p>
            <w:pPr>
              <w:spacing w:after="0" w:line="165" w:lineRule="exact"/>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(incorporated by reference to Exhibit 10.1 of the Current Report on Form 8-K filed on July 9, 2024, Commission</w:t>
              </w:r>
            </w:hyperlink>
          </w:p>
        </w:tc>
        <w:tc>
          <w:tcPr>
            <w:tcW w:w="560" w:type="dxa"/>
            <w:vAlign w:val="bottom"/>
            <w:gridSpan w:val="13"/>
          </w:tcPr>
          <w:p>
            <w:pPr>
              <w:spacing w:after="0" w:line="165" w:lineRule="exact"/>
              <w:rPr>
                <w:rFonts w:ascii="Times New Roman" w:cs="Times New Roman" w:eastAsia="Times New Roman" w:hAnsi="Times New Roman"/>
                <w:sz w:val="18"/>
                <w:szCs w:val="18"/>
                <w:color w:val="0000FF"/>
                <w:w w:val="91"/>
              </w:rPr>
            </w:pPr>
            <w:hyperlink r:id="rId87">
              <w:r>
                <w:rPr>
                  <w:rFonts w:ascii="Times New Roman" w:cs="Times New Roman" w:eastAsia="Times New Roman" w:hAnsi="Times New Roman"/>
                  <w:sz w:val="18"/>
                  <w:szCs w:val="18"/>
                  <w:color w:val="0000FF"/>
                  <w:w w:val="91"/>
                </w:rPr>
                <w:t>File No.</w:t>
              </w:r>
            </w:hyperlink>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20" w:type="dxa"/>
            <w:vAlign w:val="bottom"/>
            <w:tcBorders>
              <w:top w:val="single" w:sz="8" w:color="0000FF"/>
            </w:tcBorders>
            <w:gridSpan w:val="3"/>
          </w:tcPr>
          <w:p>
            <w:pPr>
              <w:spacing w:after="0" w:line="152" w:lineRule="exact"/>
              <w:rPr>
                <w:rFonts w:ascii="Times New Roman" w:cs="Times New Roman" w:eastAsia="Times New Roman" w:hAnsi="Times New Roman"/>
                <w:sz w:val="17"/>
                <w:szCs w:val="17"/>
                <w:color w:val="0000FF"/>
              </w:rPr>
            </w:pPr>
            <w:hyperlink r:id="rId87">
              <w:r>
                <w:rPr>
                  <w:rFonts w:ascii="Times New Roman" w:cs="Times New Roman" w:eastAsia="Times New Roman" w:hAnsi="Times New Roman"/>
                  <w:sz w:val="17"/>
                  <w:szCs w:val="17"/>
                  <w:color w:val="0000FF"/>
                </w:rPr>
                <w:t>001-36777)</w:t>
              </w:r>
              <w:r>
                <w:rPr>
                  <w:rFonts w:ascii="Times New Roman" w:cs="Times New Roman" w:eastAsia="Times New Roman" w:hAnsi="Times New Roman"/>
                  <w:sz w:val="17"/>
                  <w:szCs w:val="17"/>
                  <w:color w:val="000000"/>
                </w:rPr>
                <w:t>*</w:t>
              </w:r>
            </w:hyperlink>
          </w:p>
        </w:tc>
        <w:tc>
          <w:tcPr>
            <w:tcW w:w="1260" w:type="dxa"/>
            <w:vAlign w:val="bottom"/>
            <w:tcBorders>
              <w:top w:val="single" w:sz="8" w:color="0000FF"/>
            </w:tcBorders>
          </w:tcPr>
          <w:p>
            <w:pPr>
              <w:spacing w:after="0"/>
              <w:rPr>
                <w:sz w:val="13"/>
                <w:szCs w:val="13"/>
                <w:color w:val="auto"/>
              </w:rPr>
            </w:pPr>
          </w:p>
        </w:tc>
        <w:tc>
          <w:tcPr>
            <w:tcW w:w="180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3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0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700" w:type="dxa"/>
            <w:vAlign w:val="bottom"/>
          </w:tcPr>
          <w:p>
            <w:pPr>
              <w:spacing w:after="0"/>
              <w:rPr>
                <w:sz w:val="24"/>
                <w:szCs w:val="24"/>
                <w:color w:val="auto"/>
              </w:rPr>
            </w:pPr>
          </w:p>
        </w:tc>
        <w:tc>
          <w:tcPr>
            <w:tcW w:w="53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Chief Executive Officer Certification pursuant to Rule 13a-14(a)/15d-14(a)</w:t>
            </w:r>
          </w:p>
        </w:tc>
        <w:tc>
          <w:tcPr>
            <w:tcW w:w="332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700" w:type="dxa"/>
            <w:vAlign w:val="bottom"/>
          </w:tcPr>
          <w:p>
            <w:pPr>
              <w:spacing w:after="0"/>
              <w:rPr>
                <w:sz w:val="22"/>
                <w:szCs w:val="22"/>
                <w:color w:val="auto"/>
              </w:rPr>
            </w:pPr>
          </w:p>
        </w:tc>
        <w:tc>
          <w:tcPr>
            <w:tcW w:w="8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Chief Financial Officer Certification pursuant to Rule 13a-14(a)/15d-14(a)</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80" w:type="dxa"/>
            <w:vAlign w:val="bottom"/>
            <w:gridSpan w:val="5"/>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36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700" w:type="dxa"/>
            <w:vAlign w:val="bottom"/>
          </w:tcPr>
          <w:p>
            <w:pPr>
              <w:spacing w:after="0"/>
              <w:rPr>
                <w:sz w:val="22"/>
                <w:szCs w:val="22"/>
                <w:color w:val="auto"/>
              </w:rPr>
            </w:pPr>
          </w:p>
        </w:tc>
        <w:tc>
          <w:tcPr>
            <w:tcW w:w="8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Chief Executive Officer and Chief Financial Officer Certification pursuant to 18 U.S.C. Section 1350, as adopted</w:t>
            </w:r>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5"/>
          </w:tcPr>
          <w:p>
            <w:pPr>
              <w:spacing w:after="0" w:line="152" w:lineRule="exact"/>
              <w:rPr>
                <w:sz w:val="20"/>
                <w:szCs w:val="20"/>
                <w:color w:val="auto"/>
              </w:rPr>
            </w:pPr>
            <w:r>
              <w:rPr>
                <w:rFonts w:ascii="Times New Roman" w:cs="Times New Roman" w:eastAsia="Times New Roman" w:hAnsi="Times New Roman"/>
                <w:sz w:val="17"/>
                <w:szCs w:val="17"/>
                <w:color w:val="0000FF"/>
              </w:rPr>
              <w:t>pursuant to Section 906 of the Sarbanes-Oxley Act of 2002</w:t>
            </w:r>
          </w:p>
        </w:tc>
        <w:tc>
          <w:tcPr>
            <w:tcW w:w="444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700" w:type="dxa"/>
            <w:vAlign w:val="bottom"/>
          </w:tcPr>
          <w:p>
            <w:pPr>
              <w:spacing w:after="0"/>
              <w:rPr>
                <w:sz w:val="24"/>
                <w:szCs w:val="24"/>
                <w:color w:val="auto"/>
              </w:rPr>
            </w:pPr>
          </w:p>
        </w:tc>
        <w:tc>
          <w:tcPr>
            <w:tcW w:w="86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78"/>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700" w:type="dxa"/>
            <w:vAlign w:val="bottom"/>
          </w:tcPr>
          <w:p>
            <w:pPr>
              <w:spacing w:after="0"/>
              <w:rPr>
                <w:sz w:val="24"/>
                <w:szCs w:val="24"/>
                <w:color w:val="auto"/>
              </w:rPr>
            </w:pPr>
          </w:p>
        </w:tc>
        <w:tc>
          <w:tcPr>
            <w:tcW w:w="86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78"/>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700" w:type="dxa"/>
            <w:vAlign w:val="bottom"/>
          </w:tcPr>
          <w:p>
            <w:pPr>
              <w:spacing w:after="0"/>
              <w:rPr>
                <w:sz w:val="24"/>
                <w:szCs w:val="24"/>
                <w:color w:val="auto"/>
              </w:rPr>
            </w:pPr>
          </w:p>
        </w:tc>
        <w:tc>
          <w:tcPr>
            <w:tcW w:w="86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78"/>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700" w:type="dxa"/>
            <w:vAlign w:val="bottom"/>
          </w:tcPr>
          <w:p>
            <w:pPr>
              <w:spacing w:after="0"/>
              <w:rPr>
                <w:sz w:val="24"/>
                <w:szCs w:val="24"/>
                <w:color w:val="auto"/>
              </w:rPr>
            </w:pPr>
          </w:p>
        </w:tc>
        <w:tc>
          <w:tcPr>
            <w:tcW w:w="86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78"/>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700" w:type="dxa"/>
            <w:vAlign w:val="bottom"/>
          </w:tcPr>
          <w:p>
            <w:pPr>
              <w:spacing w:after="0"/>
              <w:rPr>
                <w:sz w:val="24"/>
                <w:szCs w:val="24"/>
                <w:color w:val="auto"/>
              </w:rPr>
            </w:pPr>
          </w:p>
        </w:tc>
        <w:tc>
          <w:tcPr>
            <w:tcW w:w="86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78"/>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700" w:type="dxa"/>
            <w:vAlign w:val="bottom"/>
          </w:tcPr>
          <w:p>
            <w:pPr>
              <w:spacing w:after="0"/>
              <w:rPr>
                <w:sz w:val="24"/>
                <w:szCs w:val="24"/>
                <w:color w:val="auto"/>
              </w:rPr>
            </w:pPr>
          </w:p>
        </w:tc>
        <w:tc>
          <w:tcPr>
            <w:tcW w:w="86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24"/>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19"/>
                <w:szCs w:val="19"/>
                <w:color w:val="auto"/>
              </w:rPr>
            </w:pPr>
          </w:p>
        </w:tc>
        <w:tc>
          <w:tcPr>
            <w:tcW w:w="8640" w:type="dxa"/>
            <w:vAlign w:val="bottom"/>
            <w:gridSpan w:val="23"/>
          </w:tcPr>
          <w:p>
            <w:pPr>
              <w:spacing w:after="0"/>
              <w:rPr>
                <w:sz w:val="20"/>
                <w:szCs w:val="20"/>
                <w:color w:val="auto"/>
              </w:rPr>
            </w:pPr>
            <w:r>
              <w:rPr>
                <w:rFonts w:ascii="Times New Roman" w:cs="Times New Roman" w:eastAsia="Times New Roman" w:hAnsi="Times New Roman"/>
                <w:sz w:val="18"/>
                <w:szCs w:val="18"/>
                <w:color w:val="auto"/>
                <w:w w:val="98"/>
              </w:rPr>
              <w:t>Cover Page Interactive Data File - the cover page XBRL tags are embedded within the Inline XBRL document in Exhibit</w:t>
            </w:r>
          </w:p>
        </w:tc>
        <w:tc>
          <w:tcPr>
            <w:tcW w:w="0" w:type="dxa"/>
            <w:vAlign w:val="bottom"/>
          </w:tcPr>
          <w:p>
            <w:pPr>
              <w:spacing w:after="0"/>
              <w:rPr>
                <w:sz w:val="1"/>
                <w:szCs w:val="1"/>
                <w:color w:val="auto"/>
              </w:rPr>
            </w:pPr>
          </w:p>
        </w:tc>
      </w:tr>
      <w:tr>
        <w:trPr>
          <w:trHeight w:val="231"/>
        </w:trPr>
        <w:tc>
          <w:tcPr>
            <w:tcW w:w="1900" w:type="dxa"/>
            <w:vAlign w:val="bottom"/>
          </w:tcPr>
          <w:p>
            <w:pPr>
              <w:spacing w:after="0"/>
              <w:rPr>
                <w:sz w:val="20"/>
                <w:szCs w:val="20"/>
                <w:color w:val="auto"/>
              </w:rPr>
            </w:pPr>
          </w:p>
        </w:tc>
        <w:tc>
          <w:tcPr>
            <w:tcW w:w="15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*Pursuant to Item 601(a)(5) of Regulation S-K, the Schedules to this Exhibit have been omitted. A copy of the omitted schedules will be furnished to the Securities and Exchange Commission upon request.</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5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58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James River Group Holdings, Ltd.</w:t>
            </w:r>
          </w:p>
        </w:tc>
      </w:tr>
      <w:tr>
        <w:trPr>
          <w:trHeight w:val="44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August 6, 2024</w:t>
            </w:r>
          </w:p>
        </w:tc>
        <w:tc>
          <w:tcPr>
            <w:tcW w:w="2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380" w:type="dxa"/>
            <w:vAlign w:val="bottom"/>
          </w:tcPr>
          <w:p>
            <w:pPr>
              <w:spacing w:after="0"/>
              <w:rPr>
                <w:sz w:val="24"/>
                <w:szCs w:val="24"/>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Frank N. D’Orazio</w:t>
            </w:r>
          </w:p>
        </w:tc>
      </w:tr>
      <w:tr>
        <w:trPr>
          <w:trHeight w:val="213"/>
        </w:trPr>
        <w:tc>
          <w:tcPr>
            <w:tcW w:w="5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Frank N. D’Orazio</w:t>
            </w:r>
          </w:p>
        </w:tc>
      </w:tr>
      <w:tr>
        <w:trPr>
          <w:trHeight w:val="225"/>
        </w:trPr>
        <w:tc>
          <w:tcPr>
            <w:tcW w:w="5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1"/>
        </w:trPr>
        <w:tc>
          <w:tcPr>
            <w:tcW w:w="5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4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August 6, 2024</w:t>
            </w:r>
          </w:p>
        </w:tc>
        <w:tc>
          <w:tcPr>
            <w:tcW w:w="20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380" w:type="dxa"/>
            <w:vAlign w:val="bottom"/>
          </w:tcPr>
          <w:p>
            <w:pPr>
              <w:spacing w:after="0"/>
              <w:rPr>
                <w:sz w:val="24"/>
                <w:szCs w:val="24"/>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Sarah C. Doran</w:t>
            </w:r>
          </w:p>
        </w:tc>
      </w:tr>
      <w:tr>
        <w:trPr>
          <w:trHeight w:val="213"/>
        </w:trPr>
        <w:tc>
          <w:tcPr>
            <w:tcW w:w="5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Sarah C. Doran</w:t>
            </w:r>
          </w:p>
        </w:tc>
      </w:tr>
      <w:tr>
        <w:trPr>
          <w:trHeight w:val="225"/>
        </w:trPr>
        <w:tc>
          <w:tcPr>
            <w:tcW w:w="5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1"/>
        </w:trPr>
        <w:tc>
          <w:tcPr>
            <w:tcW w:w="5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54"/>
        </w:trPr>
        <w:tc>
          <w:tcPr>
            <w:tcW w:w="5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68</w:t>
            </w:r>
          </w:p>
        </w:tc>
        <w:tc>
          <w:tcPr>
            <w:tcW w:w="4180" w:type="dxa"/>
            <w:vAlign w:val="bottom"/>
          </w:tcPr>
          <w:p>
            <w:pPr>
              <w:spacing w:after="0"/>
              <w:rPr>
                <w:sz w:val="24"/>
                <w:szCs w:val="24"/>
                <w:color w:val="auto"/>
              </w:rPr>
            </w:pPr>
          </w:p>
        </w:tc>
      </w:tr>
    </w:tbl>
    <w:p>
      <w:pPr>
        <w:sectPr>
          <w:pgSz w:w="11900" w:h="16838" w:orient="portrait"/>
          <w:cols w:equalWidth="0" w:num="1">
            <w:col w:w="11040"/>
          </w:cols>
          <w:pgMar w:left="320" w:top="121" w:right="5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SECOND AMENDMENT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THIRD AMENDED AND RESTATED CREDIT AGREEMENT</w:t>
      </w:r>
    </w:p>
    <w:p>
      <w:pPr>
        <w:spacing w:after="0" w:line="3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THIS SECOND AMENDMENT TO THIRD AMENDED AND RESTATED CREDIT AGREEMENT (this “Second</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Amendment”) is made and entered into as of the 22nd day of May, 2024, by and among:</w:t>
      </w:r>
    </w:p>
    <w:p>
      <w:pPr>
        <w:spacing w:after="0" w:line="236" w:lineRule="exact"/>
        <w:rPr>
          <w:sz w:val="20"/>
          <w:szCs w:val="20"/>
          <w:color w:val="auto"/>
        </w:rPr>
      </w:pPr>
    </w:p>
    <w:p>
      <w:pPr>
        <w:ind w:left="1900" w:hanging="622"/>
        <w:spacing w:after="0"/>
        <w:tabs>
          <w:tab w:leader="none" w:pos="190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JAMES RIVER GROUP HOLDINGS, LTD., a Bermuda company (the “Borrower”);</w:t>
      </w:r>
    </w:p>
    <w:p>
      <w:pPr>
        <w:spacing w:after="0" w:line="222" w:lineRule="exact"/>
        <w:rPr>
          <w:rFonts w:ascii="Times New Roman" w:cs="Times New Roman" w:eastAsia="Times New Roman" w:hAnsi="Times New Roman"/>
          <w:sz w:val="21"/>
          <w:szCs w:val="21"/>
          <w:color w:val="auto"/>
        </w:rPr>
      </w:pPr>
    </w:p>
    <w:p>
      <w:pPr>
        <w:ind w:left="640" w:right="20" w:firstLine="638"/>
        <w:spacing w:after="0" w:line="285" w:lineRule="auto"/>
        <w:tabs>
          <w:tab w:leader="none" w:pos="1906"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FINANCIAL INSTITUTIONS listed as lenders on the signature pages hereto and their successors and assigns (each a “Lender” and, collectively, the “Lenders”); and</w:t>
      </w:r>
    </w:p>
    <w:p>
      <w:pPr>
        <w:spacing w:after="0" w:line="141" w:lineRule="exact"/>
        <w:rPr>
          <w:rFonts w:ascii="Times New Roman" w:cs="Times New Roman" w:eastAsia="Times New Roman" w:hAnsi="Times New Roman"/>
          <w:sz w:val="21"/>
          <w:szCs w:val="21"/>
          <w:color w:val="auto"/>
        </w:rPr>
      </w:pPr>
    </w:p>
    <w:p>
      <w:pPr>
        <w:ind w:left="640" w:firstLine="638"/>
        <w:spacing w:after="0" w:line="298" w:lineRule="auto"/>
        <w:tabs>
          <w:tab w:leader="none" w:pos="1912"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KEYBANK NATIONAL ASSOCIATION, a national banking association, in its capacity as “Administrative Agent” under the Credit Agreement (defined below).</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Recitals</w:t>
      </w:r>
      <w:r>
        <w:rPr>
          <w:rFonts w:ascii="Times New Roman" w:cs="Times New Roman" w:eastAsia="Times New Roman" w:hAnsi="Times New Roman"/>
          <w:sz w:val="21"/>
          <w:szCs w:val="21"/>
          <w:color w:val="auto"/>
        </w:rPr>
        <w:t>:</w:t>
      </w:r>
    </w:p>
    <w:p>
      <w:pPr>
        <w:spacing w:after="0" w:line="342" w:lineRule="exact"/>
        <w:rPr>
          <w:sz w:val="20"/>
          <w:szCs w:val="20"/>
          <w:color w:val="auto"/>
        </w:rPr>
      </w:pPr>
    </w:p>
    <w:p>
      <w:pPr>
        <w:jc w:val="both"/>
        <w:ind w:firstLine="642"/>
        <w:spacing w:after="0" w:line="496" w:lineRule="auto"/>
        <w:tabs>
          <w:tab w:leader="none" w:pos="1266"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the Lenders, the Administrative Agent and certain other parties are the parties to that certain Third Amended and Restated Credit Agreement dated as of July 7, 2023, as amended by that certain First Amendment to Third Amended and Restated Credit Agreement dated as of April 16, 2024 (as amended, supplemented, amended and restated or otherwise modified from time to time, including as amended hereby, the “Credit Agreement”). Capitalized terms used herein and not otherwise defined herein are defined in the Credit Agreement.</w:t>
      </w:r>
    </w:p>
    <w:p>
      <w:pPr>
        <w:spacing w:after="0" w:line="181" w:lineRule="exact"/>
        <w:rPr>
          <w:rFonts w:ascii="Times New Roman" w:cs="Times New Roman" w:eastAsia="Times New Roman" w:hAnsi="Times New Roman"/>
          <w:sz w:val="21"/>
          <w:szCs w:val="21"/>
          <w:color w:val="auto"/>
        </w:rPr>
      </w:pPr>
    </w:p>
    <w:p>
      <w:pPr>
        <w:ind w:left="1280" w:hanging="638"/>
        <w:spacing w:after="0"/>
        <w:tabs>
          <w:tab w:leader="none" w:pos="128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desires to pay down and decrease the commitment of certain unsubordinated Debt.</w:t>
      </w:r>
    </w:p>
    <w:p>
      <w:pPr>
        <w:spacing w:after="0" w:line="200" w:lineRule="exact"/>
        <w:rPr>
          <w:rFonts w:ascii="Times New Roman" w:cs="Times New Roman" w:eastAsia="Times New Roman" w:hAnsi="Times New Roman"/>
          <w:sz w:val="21"/>
          <w:szCs w:val="21"/>
          <w:color w:val="auto"/>
        </w:rPr>
      </w:pPr>
    </w:p>
    <w:p>
      <w:pPr>
        <w:spacing w:after="0" w:line="260" w:lineRule="exact"/>
        <w:rPr>
          <w:rFonts w:ascii="Times New Roman" w:cs="Times New Roman" w:eastAsia="Times New Roman" w:hAnsi="Times New Roman"/>
          <w:sz w:val="21"/>
          <w:szCs w:val="21"/>
          <w:color w:val="auto"/>
        </w:rPr>
      </w:pPr>
    </w:p>
    <w:p>
      <w:pPr>
        <w:ind w:firstLine="642"/>
        <w:spacing w:after="0" w:line="522" w:lineRule="auto"/>
        <w:tabs>
          <w:tab w:leader="none" w:pos="1268"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has requested that the Administrative Agent and the Lenders amend the Credit Agreement to allow such prepayments of unsubordinated Debt.</w:t>
      </w:r>
    </w:p>
    <w:p>
      <w:pPr>
        <w:spacing w:after="0" w:line="142" w:lineRule="exact"/>
        <w:rPr>
          <w:rFonts w:ascii="Times New Roman" w:cs="Times New Roman" w:eastAsia="Times New Roman" w:hAnsi="Times New Roman"/>
          <w:sz w:val="21"/>
          <w:szCs w:val="21"/>
          <w:color w:val="auto"/>
        </w:rPr>
      </w:pPr>
    </w:p>
    <w:p>
      <w:pPr>
        <w:ind w:firstLine="642"/>
        <w:spacing w:after="0" w:line="522" w:lineRule="auto"/>
        <w:tabs>
          <w:tab w:leader="none" w:pos="1266"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the Lenders, and the Administrative Agent have agreed to amend certain provisions of the Credit Agreement as more fully set forth below.</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00"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21"/>
          <w:szCs w:val="21"/>
          <w:u w:val="single" w:color="auto"/>
          <w:color w:val="auto"/>
        </w:rPr>
        <w:t>Agreements</w:t>
      </w:r>
      <w:r>
        <w:rPr>
          <w:rFonts w:ascii="Times New Roman" w:cs="Times New Roman" w:eastAsia="Times New Roman" w:hAnsi="Times New Roman"/>
          <w:sz w:val="21"/>
          <w:szCs w:val="21"/>
          <w:color w:val="auto"/>
        </w:rPr>
        <w:t>:</w:t>
      </w:r>
    </w:p>
    <w:p>
      <w:pPr>
        <w:spacing w:after="0" w:line="3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NOW, THEREFORE, in consideration of the foregoing Recitals and the mutual agreements hereinafter set forth, the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Borrower, the Lenders and the Administrative Agent, intending to be legally bound, hereby agree as follows:</w:t>
      </w:r>
    </w:p>
    <w:p>
      <w:pPr>
        <w:spacing w:after="0" w:line="200" w:lineRule="exact"/>
        <w:rPr>
          <w:sz w:val="20"/>
          <w:szCs w:val="20"/>
          <w:color w:val="auto"/>
        </w:rPr>
      </w:pPr>
    </w:p>
    <w:p>
      <w:pPr>
        <w:spacing w:after="0" w:line="261" w:lineRule="exact"/>
        <w:rPr>
          <w:sz w:val="20"/>
          <w:szCs w:val="20"/>
          <w:color w:val="auto"/>
        </w:rPr>
      </w:pPr>
    </w:p>
    <w:p>
      <w:pPr>
        <w:jc w:val="both"/>
        <w:ind w:firstLine="642"/>
        <w:spacing w:after="0" w:line="504" w:lineRule="auto"/>
        <w:tabs>
          <w:tab w:leader="none" w:pos="1272"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to the Credit Agreement</w:t>
      </w:r>
      <w:r>
        <w:rPr>
          <w:rFonts w:ascii="Times New Roman" w:cs="Times New Roman" w:eastAsia="Times New Roman" w:hAnsi="Times New Roman"/>
          <w:sz w:val="21"/>
          <w:szCs w:val="21"/>
          <w:color w:val="auto"/>
        </w:rPr>
        <w:t xml:space="preserve">. Subject to the terms and conditions of this Second Amendment, including, without limitation, Paragraph 2, below, </w:t>
      </w:r>
      <w:r>
        <w:rPr>
          <w:rFonts w:ascii="Times New Roman" w:cs="Times New Roman" w:eastAsia="Times New Roman" w:hAnsi="Times New Roman"/>
          <w:sz w:val="21"/>
          <w:szCs w:val="21"/>
          <w:u w:val="single" w:color="auto"/>
          <w:color w:val="auto"/>
        </w:rPr>
        <w:t>Section 6.01(c)</w:t>
      </w:r>
      <w:r>
        <w:rPr>
          <w:rFonts w:ascii="Times New Roman" w:cs="Times New Roman" w:eastAsia="Times New Roman" w:hAnsi="Times New Roman"/>
          <w:sz w:val="21"/>
          <w:szCs w:val="21"/>
          <w:color w:val="auto"/>
        </w:rPr>
        <w:t xml:space="preserve"> of the Credit Agreement is hereby amended and restated in its entirety as follows:</w:t>
      </w:r>
    </w:p>
    <w:p>
      <w:pPr>
        <w:spacing w:after="0" w:line="42" w:lineRule="exact"/>
        <w:rPr>
          <w:sz w:val="20"/>
          <w:szCs w:val="20"/>
          <w:color w:val="auto"/>
        </w:rPr>
      </w:pPr>
    </w:p>
    <w:p>
      <w:pPr>
        <w:jc w:val="both"/>
        <w:ind w:firstLine="642"/>
        <w:spacing w:after="0" w:line="267" w:lineRule="auto"/>
        <w:tabs>
          <w:tab w:leader="none" w:pos="1079"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Parent shall not, and shall not permit any of its Subsidiaries to, make or offer to make (or give any notice in respect thereof) any voluntary or optional payment or prepayment on or redemption, retirement, defeasance, or acquisition for value of any Subordinated Debt.</w:t>
      </w:r>
    </w:p>
    <w:p>
      <w:pPr>
        <w:spacing w:after="0" w:line="294" w:lineRule="exact"/>
        <w:rPr>
          <w:sz w:val="20"/>
          <w:szCs w:val="20"/>
          <w:color w:val="auto"/>
        </w:rPr>
      </w:pPr>
    </w:p>
    <w:p>
      <w:pPr>
        <w:jc w:val="both"/>
        <w:ind w:firstLine="642"/>
        <w:spacing w:after="0" w:line="504" w:lineRule="auto"/>
        <w:tabs>
          <w:tab w:leader="none" w:pos="1272"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Effective Date; Conditions Precedent</w:t>
      </w:r>
      <w:r>
        <w:rPr>
          <w:rFonts w:ascii="Times New Roman" w:cs="Times New Roman" w:eastAsia="Times New Roman" w:hAnsi="Times New Roman"/>
          <w:sz w:val="21"/>
          <w:szCs w:val="21"/>
          <w:color w:val="auto"/>
        </w:rPr>
        <w:t>. The amendments set forth in Paragraph 1, above, shall not be effective unless and until the date on which all of the following conditions precedent have been satisfied (such date of effectiveness being the “Second Amendment Effective Date”):</w:t>
      </w:r>
    </w:p>
    <w:p>
      <w:pPr>
        <w:spacing w:after="0" w:line="161" w:lineRule="exact"/>
        <w:rPr>
          <w:sz w:val="20"/>
          <w:szCs w:val="20"/>
          <w:color w:val="auto"/>
        </w:rPr>
      </w:pPr>
    </w:p>
    <w:p>
      <w:pPr>
        <w:jc w:val="both"/>
        <w:ind w:firstLine="642"/>
        <w:spacing w:after="0" w:line="487" w:lineRule="auto"/>
        <w:tabs>
          <w:tab w:leader="none" w:pos="1269"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Borrower’s Certifications</w:t>
      </w:r>
      <w:r>
        <w:rPr>
          <w:rFonts w:ascii="Times New Roman" w:cs="Times New Roman" w:eastAsia="Times New Roman" w:hAnsi="Times New Roman"/>
          <w:sz w:val="21"/>
          <w:szCs w:val="21"/>
          <w:color w:val="auto"/>
        </w:rPr>
        <w:t>. On the Second Amendment Effective Date, after giving effect to the amendment set forth in Paragraph 1, above, the Borrower hereby certifies that (i) no Default exists, (ii) the representations and warranties of the Borrower under Article 3 of the Credit Agreement are true and correct in all material respects as of the Second Amendment Effective Date (unless and to the extent that any such representation and warranty is stated to relate solely to an earlier date, in which case such representation and warranty shall have been true and correct in all material respects as of such earlier date), and</w:t>
      </w:r>
    </w:p>
    <w:p>
      <w:pPr>
        <w:spacing w:after="0" w:line="1" w:lineRule="exact"/>
        <w:rPr>
          <w:rFonts w:ascii="Times New Roman" w:cs="Times New Roman" w:eastAsia="Times New Roman" w:hAnsi="Times New Roman"/>
          <w:sz w:val="21"/>
          <w:szCs w:val="21"/>
          <w:color w:val="auto"/>
        </w:rPr>
      </w:pPr>
    </w:p>
    <w:p>
      <w:pPr>
        <w:ind w:firstLine="6"/>
        <w:spacing w:after="0" w:line="535" w:lineRule="auto"/>
        <w:tabs>
          <w:tab w:leader="none" w:pos="372"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execution, delivery and performance of this Second Amendment has been authorized by all necessary corporate or company action.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18" w:right="339" w:bottom="1440" w:gutter="0" w:footer="0" w:header="0"/>
        </w:sectPr>
      </w:pPr>
    </w:p>
    <w:bookmarkStart w:id="70" w:name="page71"/>
    <w:bookmarkEnd w:id="70"/>
    <w:p>
      <w:pPr>
        <w:jc w:val="both"/>
        <w:ind w:firstLine="642"/>
        <w:spacing w:after="0" w:line="504" w:lineRule="auto"/>
        <w:tabs>
          <w:tab w:leader="none" w:pos="1267"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Second Amendment</w:t>
      </w:r>
      <w:r>
        <w:rPr>
          <w:rFonts w:ascii="Times New Roman" w:cs="Times New Roman" w:eastAsia="Times New Roman" w:hAnsi="Times New Roman"/>
          <w:sz w:val="21"/>
          <w:szCs w:val="21"/>
          <w:color w:val="auto"/>
        </w:rPr>
        <w:t>. The Administrative Agent or the Special Counsel (defined below) shall have received from the Borrower and each Lender party hereto (which constitute the Required Lenders) a counterpart of this Second Amendment signed on behalf of such party.</w:t>
      </w:r>
    </w:p>
    <w:p>
      <w:pPr>
        <w:spacing w:after="0" w:line="175" w:lineRule="exact"/>
        <w:rPr>
          <w:sz w:val="20"/>
          <w:szCs w:val="20"/>
          <w:color w:val="auto"/>
        </w:rPr>
      </w:pPr>
    </w:p>
    <w:p>
      <w:pPr>
        <w:ind w:firstLine="642"/>
        <w:spacing w:after="0" w:line="522" w:lineRule="auto"/>
        <w:tabs>
          <w:tab w:leader="none" w:pos="1272"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Other Modifications</w:t>
      </w:r>
      <w:r>
        <w:rPr>
          <w:rFonts w:ascii="Times New Roman" w:cs="Times New Roman" w:eastAsia="Times New Roman" w:hAnsi="Times New Roman"/>
          <w:sz w:val="21"/>
          <w:szCs w:val="21"/>
          <w:color w:val="auto"/>
        </w:rPr>
        <w:t>. Except as expressly provided in this Second Amendment, all of the terms and conditions of the Credit Agreement and the other Loan Documents remain unchanged and in full force and effect.</w:t>
      </w:r>
    </w:p>
    <w:p>
      <w:pPr>
        <w:spacing w:after="0" w:line="142" w:lineRule="exact"/>
        <w:rPr>
          <w:rFonts w:ascii="Times New Roman" w:cs="Times New Roman" w:eastAsia="Times New Roman" w:hAnsi="Times New Roman"/>
          <w:sz w:val="21"/>
          <w:szCs w:val="21"/>
          <w:color w:val="auto"/>
        </w:rPr>
      </w:pPr>
    </w:p>
    <w:p>
      <w:pPr>
        <w:jc w:val="both"/>
        <w:ind w:firstLine="642"/>
        <w:spacing w:after="0" w:line="496" w:lineRule="auto"/>
        <w:tabs>
          <w:tab w:leader="none" w:pos="1272"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Confirmation of Obligations</w:t>
      </w:r>
      <w:r>
        <w:rPr>
          <w:rFonts w:ascii="Times New Roman" w:cs="Times New Roman" w:eastAsia="Times New Roman" w:hAnsi="Times New Roman"/>
          <w:sz w:val="21"/>
          <w:szCs w:val="21"/>
          <w:color w:val="auto"/>
        </w:rPr>
        <w:t>. The Borrower hereby affirms as of the date hereof all of its respective Debt and other obligations to each of the Lender Parties under and pursuant to the Credit Agreement and each of the other Loan Documents and that such Debt and other obligations are owed to each of the Lender Parties according to their respective terms. The Borrower hereby affirms as of the date hereof that there are no claims or defenses to the enforcement by the Lender Parties of the Debt and other obligations of the Borrower to each of them under and pursuant to the Credit Agreement or any of the other Loan Documents.</w:t>
      </w:r>
    </w:p>
    <w:p>
      <w:pPr>
        <w:spacing w:after="0" w:line="167" w:lineRule="exact"/>
        <w:rPr>
          <w:rFonts w:ascii="Times New Roman" w:cs="Times New Roman" w:eastAsia="Times New Roman" w:hAnsi="Times New Roman"/>
          <w:sz w:val="21"/>
          <w:szCs w:val="21"/>
          <w:color w:val="auto"/>
        </w:rPr>
      </w:pPr>
    </w:p>
    <w:p>
      <w:pPr>
        <w:jc w:val="both"/>
        <w:ind w:firstLine="642"/>
        <w:spacing w:after="0" w:line="499" w:lineRule="auto"/>
        <w:tabs>
          <w:tab w:leader="none" w:pos="1272"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Administrative Agent’s Expense</w:t>
      </w:r>
      <w:r>
        <w:rPr>
          <w:rFonts w:ascii="Times New Roman" w:cs="Times New Roman" w:eastAsia="Times New Roman" w:hAnsi="Times New Roman"/>
          <w:sz w:val="21"/>
          <w:szCs w:val="21"/>
          <w:color w:val="auto"/>
        </w:rPr>
        <w:t>. The Borrower agrees to reimburse the Administrative Agent promptly for its reasonable invoiced out-of-pocket costs and expenses incurred in connection with this Second Amendment and the transactions contemplated hereby, including, without limitation, the reasonable fees and expenses of the Squire Patton Boggs (US) LLP, special counsel to the Administrative Agent (the “Special Counsel”), as well as any other fees payable on or before the Second Amendment Effective Date pursuant to any fee letter or agreement with the Administrative Agent.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37" w:right="339" w:bottom="1440" w:gutter="0" w:footer="0" w:header="0"/>
        </w:sectPr>
      </w:pPr>
    </w:p>
    <w:bookmarkStart w:id="71" w:name="page72"/>
    <w:bookmarkEnd w:id="71"/>
    <w:p>
      <w:pPr>
        <w:jc w:val="both"/>
        <w:ind w:firstLine="642"/>
        <w:spacing w:after="0" w:line="503" w:lineRule="auto"/>
        <w:tabs>
          <w:tab w:leader="none" w:pos="1272"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 Binding Effect</w:t>
      </w:r>
      <w:r>
        <w:rPr>
          <w:rFonts w:ascii="Times New Roman" w:cs="Times New Roman" w:eastAsia="Times New Roman" w:hAnsi="Times New Roman"/>
          <w:sz w:val="21"/>
          <w:szCs w:val="21"/>
          <w:color w:val="auto"/>
        </w:rPr>
        <w:t>. THIS SECOND AMENDMENT SHALL BE GOVERNED BY AND CONSTRUED IN ACCORDANCE WITH THE LAWS OF THE STATE OF NEW YORK AND SHALL BE BINDING UPON AND INURE TO THE BENEFIT OF THE BORROWER, THE LENDERS AND THE ADMINISTRATIVE AGENT AND THEIR RESPECTIVE SUCCESSORS AND ASSIGNS.</w:t>
      </w:r>
    </w:p>
    <w:p>
      <w:pPr>
        <w:spacing w:after="0" w:line="161" w:lineRule="exact"/>
        <w:rPr>
          <w:rFonts w:ascii="Times New Roman" w:cs="Times New Roman" w:eastAsia="Times New Roman" w:hAnsi="Times New Roman"/>
          <w:sz w:val="21"/>
          <w:szCs w:val="21"/>
          <w:color w:val="auto"/>
        </w:rPr>
      </w:pPr>
    </w:p>
    <w:p>
      <w:pPr>
        <w:jc w:val="both"/>
        <w:ind w:firstLine="642"/>
        <w:spacing w:after="0" w:line="493" w:lineRule="auto"/>
        <w:tabs>
          <w:tab w:leader="none" w:pos="1272"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Second Amendment may be executed in any number of counterparts, each of which when so executed shall be deemed to be an original, but all such counterparts shall constitute one and the same instrument, and all signatures need not appear on any one counterpart. Any party hereto may execute and deliver a counterpart of this Second Amendment by delivering by facsimile or email transmission a signature page of this Second Amendment signed by such party, and any such facsimile or email signature shall be treated in all respects as having the same effect as an original signature. Any party delivering by facsimile or email transmission a counterpart executed by it shall promptly thereafter also deliver a manually signed counterpart of this Second Amendment.</w:t>
      </w:r>
    </w:p>
    <w:p>
      <w:pPr>
        <w:spacing w:after="0" w:line="52" w:lineRule="exact"/>
        <w:rPr>
          <w:rFonts w:ascii="Times New Roman" w:cs="Times New Roman" w:eastAsia="Times New Roman" w:hAnsi="Times New Roman"/>
          <w:sz w:val="21"/>
          <w:szCs w:val="21"/>
          <w:color w:val="auto"/>
        </w:rPr>
      </w:pPr>
    </w:p>
    <w:p>
      <w:pPr>
        <w:ind w:left="1280" w:hanging="638"/>
        <w:spacing w:after="0"/>
        <w:tabs>
          <w:tab w:leader="none" w:pos="12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355" w:lineRule="exact"/>
        <w:rPr>
          <w:sz w:val="20"/>
          <w:szCs w:val="20"/>
          <w:color w:val="auto"/>
        </w:rPr>
      </w:pPr>
    </w:p>
    <w:p>
      <w:pPr>
        <w:ind w:left="1280" w:hanging="638"/>
        <w:spacing w:after="0"/>
        <w:tabs>
          <w:tab w:leader="none" w:pos="128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effectiveness of this Second Amendment, this Second Amendment shall be a Loan Document.</w:t>
      </w:r>
    </w:p>
    <w:p>
      <w:pPr>
        <w:spacing w:after="0" w:line="200" w:lineRule="exact"/>
        <w:rPr>
          <w:rFonts w:ascii="Times New Roman" w:cs="Times New Roman" w:eastAsia="Times New Roman" w:hAnsi="Times New Roman"/>
          <w:sz w:val="21"/>
          <w:szCs w:val="21"/>
          <w:color w:val="auto"/>
        </w:rPr>
      </w:pPr>
    </w:p>
    <w:p>
      <w:pPr>
        <w:spacing w:after="0" w:line="260" w:lineRule="exact"/>
        <w:rPr>
          <w:rFonts w:ascii="Times New Roman" w:cs="Times New Roman" w:eastAsia="Times New Roman" w:hAnsi="Times New Roman"/>
          <w:sz w:val="21"/>
          <w:szCs w:val="21"/>
          <w:color w:val="auto"/>
        </w:rPr>
      </w:pPr>
    </w:p>
    <w:p>
      <w:pPr>
        <w:jc w:val="both"/>
        <w:ind w:firstLine="642"/>
        <w:spacing w:after="0" w:line="504" w:lineRule="auto"/>
        <w:tabs>
          <w:tab w:leader="none" w:pos="1267"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invalidity, illegality, or unenforceability of any provision in or Obligation under this Second Amendment in any jurisdiction shall not affect or impair the validity, legality, or enforceability of the remaining provisions or obligations under this Second Amendment or of such provision or obligation in any other jurisdiction.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37" w:right="339" w:bottom="1440" w:gutter="0" w:footer="0" w:header="0"/>
        </w:sectPr>
      </w:pPr>
    </w:p>
    <w:bookmarkStart w:id="72" w:name="page73"/>
    <w:bookmarkEnd w:id="72"/>
    <w:p>
      <w:pPr>
        <w:jc w:val="both"/>
        <w:ind w:firstLine="642"/>
        <w:spacing w:after="0" w:line="492" w:lineRule="auto"/>
        <w:tabs>
          <w:tab w:leader="none" w:pos="1269"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Second Amendment and all other agreements and documents executed in connection herewith have been prepared through the joint efforts of all of the parties. Neither the provisions of this Second Amendment or any such other agreements and documents nor any alleged ambiguity shall be interpreted or resolved against any party on the ground that such party’s counsel drafted this Second Amendment or such other agreements and documents, or based on any other rule of strict construction. Each of the parties hereto represents and declares that such party has carefully read this Second Amendment and all other agreements and documents executed in connection herewith and therewith, and that such party knows the contents thereof and signs the same freely and voluntarily. The parties hereby acknowledge that they have been represented by legal counsel of their own choosing in negotiations for and preparation of this Second Amendment and all other agreements and documents executed in connection therewith and that each of them has read the same and had their contents fully explained by such counsel and is fully aware of their contents and legal effect.</w:t>
      </w:r>
    </w:p>
    <w:p>
      <w:pPr>
        <w:spacing w:after="0" w:line="177" w:lineRule="exact"/>
        <w:rPr>
          <w:sz w:val="20"/>
          <w:szCs w:val="20"/>
          <w:color w:val="auto"/>
        </w:rPr>
      </w:pPr>
    </w:p>
    <w:p>
      <w:pPr>
        <w:jc w:val="both"/>
        <w:ind w:firstLine="642"/>
        <w:spacing w:after="0" w:line="499" w:lineRule="auto"/>
        <w:tabs>
          <w:tab w:leader="none" w:pos="1272"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EACH OF THE PARTIES TO THIS SECOND AMENDMENT HEREBY IRREVOCABLY WAIVES ALL RIGHT TO A TRIAL BY JURY IN ANY ACTION, PROCEEDING OR COUNTERCLAIM (WHETHER SOUNDING IN CONTRACT, TORT OR OTHERWISE) ARISING OUT OF OR RELATING TO THIS SECOND AMENDMENT, THE OTHER LOAN DOCUMENTS OR THE TRANSACTIONS CONTEMPLATED HEREBY OR THEREBY. EACH PARTY HERETO HEREBY (A) CERTIFIES THAT NO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37" w:right="339" w:bottom="1440" w:gutter="0" w:footer="0" w:header="0"/>
        </w:sectPr>
      </w:pPr>
    </w:p>
    <w:bookmarkStart w:id="73" w:name="page74"/>
    <w:bookmarkEnd w:id="73"/>
    <w:p>
      <w:pPr>
        <w:jc w:val="both"/>
        <w:spacing w:after="0" w:line="499" w:lineRule="auto"/>
        <w:rPr>
          <w:sz w:val="20"/>
          <w:szCs w:val="20"/>
          <w:color w:val="auto"/>
        </w:rPr>
      </w:pPr>
      <w:r>
        <w:rPr>
          <w:rFonts w:ascii="Times New Roman" w:cs="Times New Roman" w:eastAsia="Times New Roman" w:hAnsi="Times New Roman"/>
          <w:sz w:val="21"/>
          <w:szCs w:val="21"/>
          <w:color w:val="auto"/>
        </w:rPr>
        <w:t>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SECOND AMENDMENT BY, AMONG OTHER THINGS, THE MUTUAL WAIVERS AND CERTIFICATION IN THIS SECTION.</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37" w:right="339" w:bottom="1440" w:gutter="0" w:footer="0" w:header="0"/>
        </w:sectPr>
      </w:pPr>
    </w:p>
    <w:bookmarkStart w:id="74" w:name="page75"/>
    <w:bookmarkEnd w:id="74"/>
    <w:p>
      <w:pPr>
        <w:spacing w:after="0" w:line="2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IN WITNESS WHEREOF, the Borrower and the Administrative Agent have hereunto set their hands as of the date first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above written.</w:t>
      </w:r>
    </w:p>
    <w:p>
      <w:pPr>
        <w:spacing w:after="0" w:line="36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u w:val="single" w:color="auto"/>
          <w:color w:val="auto"/>
        </w:rPr>
        <w:t>BORROWER</w:t>
      </w:r>
    </w:p>
    <w:p>
      <w:pPr>
        <w:spacing w:after="0" w:line="28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JAMES RIVER GROUP HOLDINGS, LTD.</w:t>
      </w:r>
    </w:p>
    <w:p>
      <w:pPr>
        <w:spacing w:after="0" w:line="200" w:lineRule="exact"/>
        <w:rPr>
          <w:sz w:val="20"/>
          <w:szCs w:val="20"/>
          <w:color w:val="auto"/>
        </w:rPr>
      </w:pPr>
    </w:p>
    <w:p>
      <w:pPr>
        <w:spacing w:after="0" w:line="35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By: /s/ Sarah Doran</w:t>
      </w:r>
    </w:p>
    <w:p>
      <w:pPr>
        <w:spacing w:after="0" w:line="3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color w:val="auto"/>
        </w:rPr>
        <w:t>Name: Sarah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4072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4072255" cy="8255"/>
                    </a:xfrm>
                    <a:prstGeom prst="rect">
                      <a:avLst/>
                    </a:prstGeom>
                    <a:noFill/>
                  </pic:spPr>
                </pic:pic>
              </a:graphicData>
            </a:graphic>
          </wp:anchor>
        </w:drawing>
      </w:r>
    </w:p>
    <w:p>
      <w:pPr>
        <w:spacing w:after="0" w:line="1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1"/>
          <w:szCs w:val="21"/>
          <w:color w:val="auto"/>
        </w:rPr>
        <w:t>Signature Page to</w:t>
      </w:r>
    </w:p>
    <w:p>
      <w:pPr>
        <w:spacing w:after="0" w:line="3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1"/>
          <w:szCs w:val="21"/>
          <w:color w:val="auto"/>
        </w:rPr>
        <w:t>Second Amendment to</w:t>
      </w:r>
    </w:p>
    <w:p>
      <w:pPr>
        <w:spacing w:after="0" w:line="1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1"/>
          <w:szCs w:val="21"/>
          <w:color w:val="auto"/>
        </w:rPr>
        <w:t>Third Amended and Restated Credit Agreement</w:t>
      </w:r>
    </w:p>
    <w:p>
      <w:pPr>
        <w:sectPr>
          <w:pgSz w:w="11900" w:h="16838" w:orient="portrait"/>
          <w:cols w:equalWidth="0" w:num="1">
            <w:col w:w="10800"/>
          </w:cols>
          <w:pgMar w:left="320" w:top="1440" w:right="779" w:bottom="1440" w:gutter="0" w:footer="0" w:header="0"/>
        </w:sectPr>
      </w:pPr>
    </w:p>
    <w:bookmarkStart w:id="75" w:name="page76"/>
    <w:bookmarkEnd w:id="75"/>
    <w:p>
      <w:pPr>
        <w:spacing w:after="0" w:line="170"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1"/>
          <w:szCs w:val="21"/>
          <w:u w:val="single" w:color="auto"/>
          <w:color w:val="auto"/>
        </w:rPr>
        <w:t>ADMINISTRATIVE AGENT</w:t>
      </w:r>
    </w:p>
    <w:p>
      <w:pPr>
        <w:spacing w:after="0" w:line="28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1"/>
          <w:szCs w:val="21"/>
          <w:color w:val="auto"/>
        </w:rPr>
        <w:t>KEYBANK NATIONAL ASSOCIATION, as</w:t>
      </w:r>
    </w:p>
    <w:p>
      <w:pPr>
        <w:spacing w:after="0" w:line="3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1"/>
          <w:szCs w:val="21"/>
          <w:color w:val="auto"/>
        </w:rPr>
        <w:t>Administrative Agent</w:t>
      </w:r>
    </w:p>
    <w:p>
      <w:pPr>
        <w:spacing w:after="0" w:line="200" w:lineRule="exact"/>
        <w:rPr>
          <w:sz w:val="20"/>
          <w:szCs w:val="20"/>
          <w:color w:val="auto"/>
        </w:rPr>
      </w:pPr>
    </w:p>
    <w:p>
      <w:pPr>
        <w:spacing w:after="0" w:line="34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1"/>
          <w:szCs w:val="21"/>
          <w:color w:val="auto"/>
        </w:rPr>
        <w:t>By: /s/ Ashley Braniecki</w:t>
      </w:r>
    </w:p>
    <w:p>
      <w:pPr>
        <w:spacing w:after="0" w:line="3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Name: Ashley Braniecki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1631315</wp:posOffset>
            </wp:positionH>
            <wp:positionV relativeFrom="paragraph">
              <wp:posOffset>-152400</wp:posOffset>
            </wp:positionV>
            <wp:extent cx="4072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4072255" cy="8255"/>
                    </a:xfrm>
                    <a:prstGeom prst="rect">
                      <a:avLst/>
                    </a:prstGeom>
                    <a:noFill/>
                  </pic:spPr>
                </pic:pic>
              </a:graphicData>
            </a:graphic>
          </wp:anchor>
        </w:drawing>
      </w:r>
    </w:p>
    <w:p>
      <w:pPr>
        <w:spacing w:after="0" w:line="15"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Title: Senior Vice President</w:t>
      </w:r>
    </w:p>
    <w:p>
      <w:pPr>
        <w:spacing w:after="0" w:line="200" w:lineRule="exact"/>
        <w:rPr>
          <w:sz w:val="20"/>
          <w:szCs w:val="20"/>
          <w:color w:val="auto"/>
        </w:rPr>
      </w:pPr>
    </w:p>
    <w:p>
      <w:pPr>
        <w:spacing w:after="0" w:line="34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1"/>
          <w:szCs w:val="21"/>
          <w:u w:val="single" w:color="auto"/>
          <w:color w:val="auto"/>
        </w:rPr>
        <w:t>LENDERS</w:t>
      </w:r>
    </w:p>
    <w:p>
      <w:pPr>
        <w:spacing w:after="0" w:line="28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1"/>
          <w:szCs w:val="21"/>
          <w:color w:val="auto"/>
        </w:rPr>
        <w:t>KEYBANK NATIONAL ASSOCIATION,</w:t>
      </w:r>
    </w:p>
    <w:p>
      <w:pPr>
        <w:spacing w:after="0" w:line="3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1"/>
          <w:szCs w:val="21"/>
          <w:color w:val="auto"/>
        </w:rPr>
        <w:t>as Lender</w:t>
      </w:r>
    </w:p>
    <w:p>
      <w:pPr>
        <w:spacing w:after="0" w:line="200" w:lineRule="exact"/>
        <w:rPr>
          <w:sz w:val="20"/>
          <w:szCs w:val="20"/>
          <w:color w:val="auto"/>
        </w:rPr>
      </w:pPr>
    </w:p>
    <w:p>
      <w:pPr>
        <w:spacing w:after="0" w:line="34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1"/>
          <w:szCs w:val="21"/>
          <w:color w:val="auto"/>
        </w:rPr>
        <w:t>By: /s/ Ashley Braniecki</w:t>
      </w:r>
    </w:p>
    <w:p>
      <w:pPr>
        <w:spacing w:after="0" w:line="3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1"/>
          <w:szCs w:val="21"/>
          <w:color w:val="auto"/>
        </w:rPr>
        <w:t>Name: Ashley Braniecki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1631315</wp:posOffset>
            </wp:positionH>
            <wp:positionV relativeFrom="paragraph">
              <wp:posOffset>-152400</wp:posOffset>
            </wp:positionV>
            <wp:extent cx="4072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4072255" cy="8255"/>
                    </a:xfrm>
                    <a:prstGeom prst="rect">
                      <a:avLst/>
                    </a:prstGeom>
                    <a:noFill/>
                  </pic:spPr>
                </pic:pic>
              </a:graphicData>
            </a:graphic>
          </wp:anchor>
        </w:drawing>
      </w:r>
    </w:p>
    <w:p>
      <w:pPr>
        <w:spacing w:after="0" w:line="1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1"/>
          <w:szCs w:val="21"/>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Second Amendment to</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Third Amended and Restated Credit Agreement</w:t>
      </w:r>
    </w:p>
    <w:p>
      <w:pPr>
        <w:sectPr>
          <w:pgSz w:w="11900" w:h="16838" w:orient="portrait"/>
          <w:cols w:equalWidth="0" w:num="1">
            <w:col w:w="9019"/>
          </w:cols>
          <w:pgMar w:left="1440" w:top="1440" w:right="1440" w:bottom="1440" w:gutter="0" w:footer="0" w:header="0"/>
        </w:sectPr>
      </w:pPr>
    </w:p>
    <w:bookmarkStart w:id="76" w:name="page77"/>
    <w:bookmarkEnd w:id="76"/>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[Lender Signatures Continued]</w:t>
      </w:r>
    </w:p>
    <w:p>
      <w:pPr>
        <w:spacing w:after="0" w:line="26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TRUIST BANK,</w:t>
      </w:r>
    </w:p>
    <w:p>
      <w:pPr>
        <w:spacing w:after="0" w:line="3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as Lender</w:t>
      </w:r>
    </w:p>
    <w:p>
      <w:pPr>
        <w:spacing w:after="0" w:line="200" w:lineRule="exact"/>
        <w:rPr>
          <w:sz w:val="20"/>
          <w:szCs w:val="20"/>
          <w:color w:val="auto"/>
        </w:rPr>
      </w:pPr>
    </w:p>
    <w:p>
      <w:pPr>
        <w:spacing w:after="0" w:line="34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By: /s/ Richard W. Jantzen, III</w:t>
      </w:r>
    </w:p>
    <w:p>
      <w:pPr>
        <w:spacing w:after="0" w:line="37" w:lineRule="exact"/>
        <w:rPr>
          <w:sz w:val="20"/>
          <w:szCs w:val="20"/>
          <w:color w:val="auto"/>
        </w:rPr>
      </w:pPr>
    </w:p>
    <w:p>
      <w:pPr>
        <w:jc w:val="right"/>
        <w:ind w:right="2339"/>
        <w:spacing w:after="0"/>
        <w:rPr>
          <w:sz w:val="20"/>
          <w:szCs w:val="20"/>
          <w:color w:val="auto"/>
        </w:rPr>
      </w:pPr>
      <w:r>
        <w:rPr>
          <w:rFonts w:ascii="Times New Roman" w:cs="Times New Roman" w:eastAsia="Times New Roman" w:hAnsi="Times New Roman"/>
          <w:sz w:val="21"/>
          <w:szCs w:val="21"/>
          <w:color w:val="auto"/>
        </w:rPr>
        <w:t>Name: Richard W. Jantzen,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2355215</wp:posOffset>
            </wp:positionH>
            <wp:positionV relativeFrom="paragraph">
              <wp:posOffset>-152400</wp:posOffset>
            </wp:positionV>
            <wp:extent cx="4072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4072255" cy="8255"/>
                    </a:xfrm>
                    <a:prstGeom prst="rect">
                      <a:avLst/>
                    </a:prstGeom>
                    <a:noFill/>
                  </pic:spPr>
                </pic:pic>
              </a:graphicData>
            </a:graphic>
          </wp:anchor>
        </w:drawing>
      </w:r>
    </w:p>
    <w:p>
      <w:pPr>
        <w:spacing w:after="0" w:line="1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Second Amendment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Third Amended and Restated Credit Agreement</w:t>
      </w:r>
    </w:p>
    <w:p>
      <w:pPr>
        <w:sectPr>
          <w:pgSz w:w="11900" w:h="16838" w:orient="portrait"/>
          <w:cols w:equalWidth="0" w:num="1">
            <w:col w:w="9019"/>
          </w:cols>
          <w:pgMar w:left="1440" w:top="1440" w:right="1440" w:bottom="1440" w:gutter="0" w:footer="0" w:header="0"/>
        </w:sectPr>
      </w:pPr>
    </w:p>
    <w:bookmarkStart w:id="77" w:name="page78"/>
    <w:bookmarkEnd w:id="77"/>
    <w:p>
      <w:pPr>
        <w:spacing w:after="0" w:line="14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1"/>
          <w:szCs w:val="21"/>
          <w:color w:val="auto"/>
        </w:rPr>
        <w:t>[Lender Signatures Continued]</w:t>
      </w:r>
    </w:p>
    <w:p>
      <w:pPr>
        <w:spacing w:after="0" w:line="26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FIRST HORIZON BANK,</w:t>
      </w:r>
    </w:p>
    <w:p>
      <w:pPr>
        <w:spacing w:after="0" w:line="3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as Lender</w:t>
      </w:r>
    </w:p>
    <w:p>
      <w:pPr>
        <w:spacing w:after="0" w:line="200" w:lineRule="exact"/>
        <w:rPr>
          <w:sz w:val="20"/>
          <w:szCs w:val="20"/>
          <w:color w:val="auto"/>
        </w:rPr>
      </w:pPr>
    </w:p>
    <w:p>
      <w:pPr>
        <w:spacing w:after="0" w:line="34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By: /s/ Robert C. Mason</w:t>
      </w:r>
    </w:p>
    <w:p>
      <w:pPr>
        <w:spacing w:after="0" w:line="3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1"/>
          <w:szCs w:val="21"/>
          <w:color w:val="auto"/>
        </w:rPr>
        <w:t>Name: Robert C. Mason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1993265</wp:posOffset>
            </wp:positionH>
            <wp:positionV relativeFrom="paragraph">
              <wp:posOffset>-152400</wp:posOffset>
            </wp:positionV>
            <wp:extent cx="4072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4072255" cy="8255"/>
                    </a:xfrm>
                    <a:prstGeom prst="rect">
                      <a:avLst/>
                    </a:prstGeom>
                    <a:noFill/>
                  </pic:spPr>
                </pic:pic>
              </a:graphicData>
            </a:graphic>
          </wp:anchor>
        </w:drawing>
      </w:r>
    </w:p>
    <w:p>
      <w:pPr>
        <w:spacing w:after="0" w:line="1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1"/>
          <w:szCs w:val="21"/>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Second Amendment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Third Amended and Restated Credit Agreement</w:t>
      </w:r>
    </w:p>
    <w:p>
      <w:pPr>
        <w:sectPr>
          <w:pgSz w:w="11900" w:h="16838" w:orient="portrait"/>
          <w:cols w:equalWidth="0" w:num="1">
            <w:col w:w="9019"/>
          </w:cols>
          <w:pgMar w:left="1440" w:top="1440" w:right="1440" w:bottom="1440" w:gutter="0" w:footer="0" w:header="0"/>
        </w:sectPr>
      </w:pPr>
    </w:p>
    <w:bookmarkStart w:id="78" w:name="page79"/>
    <w:bookmarkEnd w:id="78"/>
    <w:p>
      <w:pPr>
        <w:spacing w:after="0" w:line="14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1"/>
          <w:szCs w:val="21"/>
          <w:color w:val="auto"/>
        </w:rPr>
        <w:t>[Lender Signatures Continued]</w:t>
      </w:r>
    </w:p>
    <w:p>
      <w:pPr>
        <w:spacing w:after="0" w:line="26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ASSOCIATED BANK, N.A.,</w:t>
      </w:r>
    </w:p>
    <w:p>
      <w:pPr>
        <w:spacing w:after="0" w:line="3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as Lender</w:t>
      </w:r>
    </w:p>
    <w:p>
      <w:pPr>
        <w:spacing w:after="0" w:line="200" w:lineRule="exact"/>
        <w:rPr>
          <w:sz w:val="20"/>
          <w:szCs w:val="20"/>
          <w:color w:val="auto"/>
        </w:rPr>
      </w:pPr>
    </w:p>
    <w:p>
      <w:pPr>
        <w:spacing w:after="0" w:line="34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By: /s/ Daniel R. Raynor</w:t>
      </w:r>
    </w:p>
    <w:p>
      <w:pPr>
        <w:spacing w:after="0" w:line="3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1"/>
          <w:szCs w:val="21"/>
          <w:color w:val="auto"/>
        </w:rPr>
        <w:t>Name: Daniel R. Raynor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1993265</wp:posOffset>
            </wp:positionH>
            <wp:positionV relativeFrom="paragraph">
              <wp:posOffset>-152400</wp:posOffset>
            </wp:positionV>
            <wp:extent cx="4072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4072255" cy="8255"/>
                    </a:xfrm>
                    <a:prstGeom prst="rect">
                      <a:avLst/>
                    </a:prstGeom>
                    <a:noFill/>
                  </pic:spPr>
                </pic:pic>
              </a:graphicData>
            </a:graphic>
          </wp:anchor>
        </w:drawing>
      </w:r>
    </w:p>
    <w:p>
      <w:pPr>
        <w:spacing w:after="0" w:line="1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1"/>
          <w:szCs w:val="21"/>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Second Amendment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Third Amended and Restated Credit Agreement</w:t>
      </w:r>
    </w:p>
    <w:p>
      <w:pPr>
        <w:sectPr>
          <w:pgSz w:w="11900" w:h="16838" w:orient="portrait"/>
          <w:cols w:equalWidth="0" w:num="1">
            <w:col w:w="9019"/>
          </w:cols>
          <w:pgMar w:left="1440" w:top="1440" w:right="1440" w:bottom="1440" w:gutter="0" w:footer="0" w:header="0"/>
        </w:sectPr>
      </w:pPr>
    </w:p>
    <w:bookmarkStart w:id="79" w:name="page80"/>
    <w:bookmarkEnd w:id="79"/>
    <w:p>
      <w:pPr>
        <w:spacing w:after="0" w:line="14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1"/>
          <w:szCs w:val="21"/>
          <w:color w:val="auto"/>
        </w:rPr>
        <w:t>[Lender Signatures Continued]</w:t>
      </w:r>
    </w:p>
    <w:p>
      <w:pPr>
        <w:spacing w:after="0" w:line="26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THE BANK OF N.T. BUTTERFIELD &amp; SON</w:t>
      </w:r>
    </w:p>
    <w:p>
      <w:pPr>
        <w:spacing w:after="0" w:line="3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LIMITED, as Lender</w:t>
      </w:r>
    </w:p>
    <w:p>
      <w:pPr>
        <w:spacing w:after="0" w:line="200" w:lineRule="exact"/>
        <w:rPr>
          <w:sz w:val="20"/>
          <w:szCs w:val="20"/>
          <w:color w:val="auto"/>
        </w:rPr>
      </w:pPr>
    </w:p>
    <w:p>
      <w:pPr>
        <w:spacing w:after="0" w:line="34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By: /s/ Jordache Rawson</w:t>
      </w:r>
    </w:p>
    <w:p>
      <w:pPr>
        <w:spacing w:after="0" w:line="3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1"/>
          <w:szCs w:val="21"/>
          <w:color w:val="auto"/>
        </w:rPr>
        <w:t>Name: Jordache Rawson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1993265</wp:posOffset>
            </wp:positionH>
            <wp:positionV relativeFrom="paragraph">
              <wp:posOffset>-152400</wp:posOffset>
            </wp:positionV>
            <wp:extent cx="4072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4072255" cy="8255"/>
                    </a:xfrm>
                    <a:prstGeom prst="rect">
                      <a:avLst/>
                    </a:prstGeom>
                    <a:noFill/>
                  </pic:spPr>
                </pic:pic>
              </a:graphicData>
            </a:graphic>
          </wp:anchor>
        </w:drawing>
      </w:r>
    </w:p>
    <w:p>
      <w:pPr>
        <w:spacing w:after="0" w:line="1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1"/>
          <w:szCs w:val="21"/>
          <w:color w:val="auto"/>
        </w:rPr>
        <w:t>Title: Senior Vice President</w:t>
      </w:r>
    </w:p>
    <w:p>
      <w:pPr>
        <w:spacing w:after="0" w:line="200" w:lineRule="exact"/>
        <w:rPr>
          <w:sz w:val="20"/>
          <w:szCs w:val="20"/>
          <w:color w:val="auto"/>
        </w:rPr>
      </w:pPr>
    </w:p>
    <w:p>
      <w:pPr>
        <w:spacing w:after="0" w:line="34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And: /s/ Steven McGuinness</w:t>
      </w:r>
    </w:p>
    <w:p>
      <w:pPr>
        <w:spacing w:after="0" w:line="3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Name: Steven McGuinness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1993265</wp:posOffset>
            </wp:positionH>
            <wp:positionV relativeFrom="paragraph">
              <wp:posOffset>-152400</wp:posOffset>
            </wp:positionV>
            <wp:extent cx="4072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4072255" cy="8255"/>
                    </a:xfrm>
                    <a:prstGeom prst="rect">
                      <a:avLst/>
                    </a:prstGeom>
                    <a:noFill/>
                  </pic:spPr>
                </pic:pic>
              </a:graphicData>
            </a:graphic>
          </wp:anchor>
        </w:drawing>
      </w:r>
    </w:p>
    <w:p>
      <w:pPr>
        <w:spacing w:after="0" w:line="1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Title: Bermuda Chief Credit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Second Amendment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Third Amended and Restated Credit Agreement</w:t>
      </w:r>
    </w:p>
    <w:p>
      <w:pPr>
        <w:sectPr>
          <w:pgSz w:w="11900" w:h="16838" w:orient="portrait"/>
          <w:cols w:equalWidth="0" w:num="1">
            <w:col w:w="9019"/>
          </w:cols>
          <w:pgMar w:left="1440" w:top="1440" w:right="1440" w:bottom="1440" w:gutter="0" w:footer="0" w:header="0"/>
        </w:sectPr>
      </w:pPr>
    </w:p>
    <w:bookmarkStart w:id="80" w:name="page81"/>
    <w:bookmarkEnd w:id="80"/>
    <w:p>
      <w:pPr>
        <w:spacing w:after="0" w:line="14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1"/>
          <w:szCs w:val="21"/>
          <w:color w:val="auto"/>
        </w:rPr>
        <w:t>[Lender Signatures Continued]</w:t>
      </w:r>
    </w:p>
    <w:p>
      <w:pPr>
        <w:spacing w:after="0" w:line="26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FIRST NATIONAL BANK OF PENNSYLVANIA,</w:t>
      </w:r>
    </w:p>
    <w:p>
      <w:pPr>
        <w:spacing w:after="0" w:line="4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as Lender</w:t>
      </w:r>
    </w:p>
    <w:p>
      <w:pPr>
        <w:spacing w:after="0" w:line="200" w:lineRule="exact"/>
        <w:rPr>
          <w:sz w:val="20"/>
          <w:szCs w:val="20"/>
          <w:color w:val="auto"/>
        </w:rPr>
      </w:pPr>
    </w:p>
    <w:p>
      <w:pPr>
        <w:spacing w:after="0" w:line="34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By: /s/ John McGeary</w:t>
      </w:r>
    </w:p>
    <w:p>
      <w:pPr>
        <w:spacing w:after="0" w:line="3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1"/>
          <w:szCs w:val="21"/>
          <w:color w:val="auto"/>
        </w:rPr>
        <w:t>Name: John McGeary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1993265</wp:posOffset>
            </wp:positionH>
            <wp:positionV relativeFrom="paragraph">
              <wp:posOffset>-152400</wp:posOffset>
            </wp:positionV>
            <wp:extent cx="4072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4072255" cy="8255"/>
                    </a:xfrm>
                    <a:prstGeom prst="rect">
                      <a:avLst/>
                    </a:prstGeom>
                    <a:noFill/>
                  </pic:spPr>
                </pic:pic>
              </a:graphicData>
            </a:graphic>
          </wp:anchor>
        </w:drawing>
      </w:r>
    </w:p>
    <w:p>
      <w:pPr>
        <w:spacing w:after="0" w:line="1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1"/>
          <w:szCs w:val="21"/>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Second Amendment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Third Amended and Restated Credit Agreement</w:t>
      </w:r>
    </w:p>
    <w:p>
      <w:pPr>
        <w:sectPr>
          <w:pgSz w:w="11900" w:h="16838" w:orient="portrait"/>
          <w:cols w:equalWidth="0" w:num="1">
            <w:col w:w="9019"/>
          </w:cols>
          <w:pgMar w:left="1440" w:top="1440" w:right="1440" w:bottom="1440" w:gutter="0" w:footer="0" w:header="0"/>
        </w:sectPr>
      </w:pPr>
    </w:p>
    <w:bookmarkStart w:id="81" w:name="page82"/>
    <w:bookmarkEnd w:id="81"/>
    <w:p>
      <w:pPr>
        <w:spacing w:after="0" w:line="14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1"/>
          <w:szCs w:val="21"/>
          <w:color w:val="auto"/>
        </w:rPr>
        <w:t>[Lender Signatures Continued]</w:t>
      </w:r>
    </w:p>
    <w:p>
      <w:pPr>
        <w:spacing w:after="0" w:line="26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CITIBANK, N.A.,</w:t>
      </w:r>
    </w:p>
    <w:p>
      <w:pPr>
        <w:spacing w:after="0" w:line="3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as Lender</w:t>
      </w:r>
    </w:p>
    <w:p>
      <w:pPr>
        <w:spacing w:after="0" w:line="200" w:lineRule="exact"/>
        <w:rPr>
          <w:sz w:val="20"/>
          <w:szCs w:val="20"/>
          <w:color w:val="auto"/>
        </w:rPr>
      </w:pPr>
    </w:p>
    <w:p>
      <w:pPr>
        <w:spacing w:after="0" w:line="34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By: /s/ Robert Chesley</w:t>
      </w:r>
    </w:p>
    <w:p>
      <w:pPr>
        <w:spacing w:after="0" w:line="3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1"/>
          <w:szCs w:val="21"/>
          <w:color w:val="auto"/>
        </w:rPr>
        <w:t>Name: Robert Chesley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1993265</wp:posOffset>
            </wp:positionH>
            <wp:positionV relativeFrom="paragraph">
              <wp:posOffset>-152400</wp:posOffset>
            </wp:positionV>
            <wp:extent cx="4072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4072255" cy="8255"/>
                    </a:xfrm>
                    <a:prstGeom prst="rect">
                      <a:avLst/>
                    </a:prstGeom>
                    <a:noFill/>
                  </pic:spPr>
                </pic:pic>
              </a:graphicData>
            </a:graphic>
          </wp:anchor>
        </w:drawing>
      </w:r>
    </w:p>
    <w:p>
      <w:pPr>
        <w:spacing w:after="0" w:line="15" w:lineRule="exact"/>
        <w:rPr>
          <w:sz w:val="20"/>
          <w:szCs w:val="20"/>
          <w:color w:val="auto"/>
        </w:rPr>
      </w:pPr>
    </w:p>
    <w:p>
      <w:pPr>
        <w:jc w:val="right"/>
        <w:ind w:right="1879"/>
        <w:spacing w:after="0"/>
        <w:rPr>
          <w:sz w:val="20"/>
          <w:szCs w:val="20"/>
          <w:color w:val="auto"/>
        </w:rPr>
      </w:pPr>
      <w:r>
        <w:rPr>
          <w:rFonts w:ascii="Times New Roman" w:cs="Times New Roman" w:eastAsia="Times New Roman" w:hAnsi="Times New Roman"/>
          <w:sz w:val="21"/>
          <w:szCs w:val="21"/>
          <w:color w:val="auto"/>
        </w:rPr>
        <w:t>Title: Vice President &amp;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Second Amendment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Third Amended and Restated Credit Agreement</w:t>
      </w:r>
    </w:p>
    <w:p>
      <w:pPr>
        <w:sectPr>
          <w:pgSz w:w="11900" w:h="16838" w:orient="portrait"/>
          <w:cols w:equalWidth="0" w:num="1">
            <w:col w:w="9019"/>
          </w:cols>
          <w:pgMar w:left="1440" w:top="1440" w:right="1440"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Frank N. D’Orazio, certify that:</w:t>
      </w:r>
    </w:p>
    <w:p>
      <w:pPr>
        <w:spacing w:after="0" w:line="111" w:lineRule="exact"/>
        <w:rPr>
          <w:sz w:val="20"/>
          <w:szCs w:val="20"/>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James River Group Holdings, Ltd.;</w:t>
      </w:r>
    </w:p>
    <w:p>
      <w:pPr>
        <w:spacing w:after="0" w:line="111"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Times New Roman" w:cs="Times New Roman" w:eastAsia="Times New Roman" w:hAnsi="Times New Roman"/>
          <w:sz w:val="18"/>
          <w:szCs w:val="18"/>
          <w:color w:val="auto"/>
        </w:rPr>
      </w:pPr>
    </w:p>
    <w:p>
      <w:pPr>
        <w:ind w:left="640" w:right="280" w:hanging="316"/>
        <w:spacing w:after="0" w:line="274"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ind w:left="1280" w:right="120" w:hanging="320"/>
        <w:spacing w:after="0" w:line="259" w:lineRule="auto"/>
        <w:tabs>
          <w:tab w:leader="none" w:pos="127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280" w:right="260" w:hanging="320"/>
        <w:spacing w:after="0" w:line="259" w:lineRule="auto"/>
        <w:tabs>
          <w:tab w:leader="none" w:pos="127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280" w:right="420" w:hanging="320"/>
        <w:spacing w:after="0" w:line="304" w:lineRule="auto"/>
        <w:tabs>
          <w:tab w:leader="none" w:pos="1277"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 w:lineRule="exact"/>
        <w:rPr>
          <w:rFonts w:ascii="Times New Roman" w:cs="Times New Roman" w:eastAsia="Times New Roman" w:hAnsi="Times New Roman"/>
          <w:sz w:val="17"/>
          <w:szCs w:val="17"/>
          <w:color w:val="auto"/>
        </w:rPr>
      </w:pPr>
    </w:p>
    <w:p>
      <w:pPr>
        <w:ind w:left="1280" w:right="120" w:hanging="320"/>
        <w:spacing w:after="0" w:line="259" w:lineRule="auto"/>
        <w:tabs>
          <w:tab w:leader="none" w:pos="127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1280" w:right="660" w:hanging="320"/>
        <w:spacing w:after="0" w:line="304" w:lineRule="auto"/>
        <w:tabs>
          <w:tab w:leader="none" w:pos="1277"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4" w:lineRule="exact"/>
        <w:rPr>
          <w:rFonts w:ascii="Times New Roman" w:cs="Times New Roman" w:eastAsia="Times New Roman" w:hAnsi="Times New Roman"/>
          <w:sz w:val="17"/>
          <w:szCs w:val="17"/>
          <w:color w:val="auto"/>
        </w:rPr>
      </w:pPr>
    </w:p>
    <w:p>
      <w:pPr>
        <w:ind w:left="1280" w:right="360" w:hanging="320"/>
        <w:spacing w:after="0" w:line="274" w:lineRule="auto"/>
        <w:tabs>
          <w:tab w:leader="none" w:pos="127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2024</w:t>
      </w:r>
    </w:p>
    <w:p>
      <w:pPr>
        <w:spacing w:after="0" w:line="3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Frank N. D’Orazio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14605</wp:posOffset>
            </wp:positionV>
            <wp:extent cx="355028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Frank N. D’Orazio</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74"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Sarah C. Doran, certify that:</w:t>
      </w:r>
    </w:p>
    <w:p>
      <w:pPr>
        <w:spacing w:after="0" w:line="111" w:lineRule="exact"/>
        <w:rPr>
          <w:sz w:val="20"/>
          <w:szCs w:val="20"/>
          <w:color w:val="auto"/>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James River Group Holdings, Ltd.;</w:t>
      </w:r>
    </w:p>
    <w:p>
      <w:pPr>
        <w:spacing w:after="0" w:line="111"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Times New Roman" w:cs="Times New Roman" w:eastAsia="Times New Roman" w:hAnsi="Times New Roman"/>
          <w:sz w:val="18"/>
          <w:szCs w:val="18"/>
          <w:color w:val="auto"/>
        </w:rPr>
      </w:pPr>
    </w:p>
    <w:p>
      <w:pPr>
        <w:ind w:left="640" w:right="280" w:hanging="316"/>
        <w:spacing w:after="0" w:line="274" w:lineRule="auto"/>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ind w:left="1280" w:right="120" w:hanging="320"/>
        <w:spacing w:after="0" w:line="259" w:lineRule="auto"/>
        <w:tabs>
          <w:tab w:leader="none" w:pos="127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280" w:right="260" w:hanging="320"/>
        <w:spacing w:after="0" w:line="259" w:lineRule="auto"/>
        <w:tabs>
          <w:tab w:leader="none" w:pos="127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280" w:right="420" w:hanging="320"/>
        <w:spacing w:after="0" w:line="304" w:lineRule="auto"/>
        <w:tabs>
          <w:tab w:leader="none" w:pos="1277"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 w:lineRule="exact"/>
        <w:rPr>
          <w:rFonts w:ascii="Times New Roman" w:cs="Times New Roman" w:eastAsia="Times New Roman" w:hAnsi="Times New Roman"/>
          <w:sz w:val="17"/>
          <w:szCs w:val="17"/>
          <w:color w:val="auto"/>
        </w:rPr>
      </w:pPr>
    </w:p>
    <w:p>
      <w:pPr>
        <w:ind w:left="1280" w:right="120" w:hanging="320"/>
        <w:spacing w:after="0" w:line="259" w:lineRule="auto"/>
        <w:tabs>
          <w:tab w:leader="none" w:pos="127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1280" w:right="660" w:hanging="320"/>
        <w:spacing w:after="0" w:line="304" w:lineRule="auto"/>
        <w:tabs>
          <w:tab w:leader="none" w:pos="1277"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4" w:lineRule="exact"/>
        <w:rPr>
          <w:rFonts w:ascii="Times New Roman" w:cs="Times New Roman" w:eastAsia="Times New Roman" w:hAnsi="Times New Roman"/>
          <w:sz w:val="17"/>
          <w:szCs w:val="17"/>
          <w:color w:val="auto"/>
        </w:rPr>
      </w:pPr>
    </w:p>
    <w:p>
      <w:pPr>
        <w:ind w:left="1280" w:right="360" w:hanging="320"/>
        <w:spacing w:after="0" w:line="274" w:lineRule="auto"/>
        <w:tabs>
          <w:tab w:leader="none" w:pos="127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2024</w:t>
      </w:r>
    </w:p>
    <w:p>
      <w:pPr>
        <w:spacing w:after="0" w:line="3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14605</wp:posOffset>
            </wp:positionV>
            <wp:extent cx="35420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3542030" cy="8255"/>
                    </a:xfrm>
                    <a:prstGeom prst="rect">
                      <a:avLst/>
                    </a:prstGeom>
                    <a:noFill/>
                  </pic:spPr>
                </pic:pic>
              </a:graphicData>
            </a:graphic>
          </wp:anchor>
        </w:drawing>
      </w:r>
    </w:p>
    <w:p>
      <w:pPr>
        <w:spacing w:after="0" w:line="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Sarah C. Doran</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74"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04" w:lineRule="exact"/>
        <w:rPr>
          <w:sz w:val="20"/>
          <w:szCs w:val="20"/>
          <w:color w:val="auto"/>
        </w:rPr>
      </w:pPr>
    </w:p>
    <w:p>
      <w:pPr>
        <w:jc w:val="both"/>
        <w:ind w:right="140" w:firstLine="636"/>
        <w:spacing w:after="0" w:line="255" w:lineRule="auto"/>
        <w:rPr>
          <w:sz w:val="20"/>
          <w:szCs w:val="20"/>
          <w:color w:val="auto"/>
        </w:rPr>
      </w:pPr>
      <w:r>
        <w:rPr>
          <w:rFonts w:ascii="Times New Roman" w:cs="Times New Roman" w:eastAsia="Times New Roman" w:hAnsi="Times New Roman"/>
          <w:sz w:val="18"/>
          <w:szCs w:val="18"/>
          <w:color w:val="auto"/>
        </w:rPr>
        <w:t>In connection with the quarterly report of James River Group Holdings, Ltd. (the “Company”) on Form 10-Q for the period ended June 30, 2024 as filed with the Securities and Exchange Commission on the date hereof  (the “Report”), we, Frank N. D’Orazio, Chief Executive Officer of the Company, and Sarah C. Doran, Chief Financial Officer of the Company, certify, to the best of our knowledge, pursuant to 18 U.S.C. §1350, as adopted pursuant to §906 of the Sarbanes-Oxley Act of 2002, that:</w:t>
      </w:r>
    </w:p>
    <w:p>
      <w:pPr>
        <w:spacing w:after="0" w:line="74" w:lineRule="exact"/>
        <w:rPr>
          <w:sz w:val="20"/>
          <w:szCs w:val="20"/>
          <w:color w:val="auto"/>
        </w:rPr>
      </w:pPr>
    </w:p>
    <w:p>
      <w:pPr>
        <w:ind w:left="640" w:hanging="634"/>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1"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Frank N. D’Orazio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591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Frank N. D’Orazio</w:t>
      </w:r>
    </w:p>
    <w:p>
      <w:pPr>
        <w:spacing w:after="0" w:line="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August 6, 2024</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591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Sarah C. Doran</w:t>
      </w:r>
    </w:p>
    <w:p>
      <w:pPr>
        <w:spacing w:after="0" w:line="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August 6, 2024</w:t>
      </w: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1)"/>
      <w:numFmt w:val="lowerLetter"/>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1."/>
      <w:numFmt w:val="decimal"/>
      <w:start w:val="3"/>
    </w:lvl>
  </w:abstractNum>
  <w:abstractNum w:abstractNumId="8">
    <w:nsid w:val="4353D0CD"/>
    <w:multiLevelType w:val="hybridMultilevel"/>
    <w:lvl w:ilvl="0">
      <w:lvlJc w:val="left"/>
      <w:lvlText w:val="%1)"/>
      <w:numFmt w:val="lowerLetter"/>
      <w:start w:val="1"/>
    </w:lvl>
  </w:abstractNum>
  <w:abstractNum w:abstractNumId="9">
    <w:nsid w:val="B03E0C6"/>
    <w:multiLevelType w:val="hybridMultilevel"/>
    <w:lvl w:ilvl="0">
      <w:lvlJc w:val="left"/>
      <w:lvlText w:val="%1)"/>
      <w:numFmt w:val="lowerLetter"/>
      <w:start w:val="4"/>
    </w:lvl>
    <w:lvl w:ilvl="1">
      <w:lvlJc w:val="left"/>
      <w:lvlText w:val="%2."/>
      <w:numFmt w:val="decimal"/>
      <w:start w:val="4"/>
    </w:lvl>
  </w:abstractNum>
  <w:abstractNum w:abstractNumId="10">
    <w:nsid w:val="189A769B"/>
    <w:multiLevelType w:val="hybridMultilevel"/>
    <w:lvl w:ilvl="0">
      <w:lvlJc w:val="left"/>
      <w:lvlText w:val="%1."/>
      <w:numFmt w:val="decimal"/>
      <w:start w:val="7"/>
    </w:lvl>
  </w:abstractNum>
  <w:abstractNum w:abstractNumId="11">
    <w:nsid w:val="54E49EB4"/>
    <w:multiLevelType w:val="hybridMultilevel"/>
    <w:lvl w:ilvl="0">
      <w:lvlJc w:val="left"/>
      <w:lvlText w:val="%1."/>
      <w:numFmt w:val="decimal"/>
      <w:start w:val="8"/>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1)"/>
      <w:numFmt w:val="decimal"/>
      <w:start w:val="2"/>
    </w:lvl>
  </w:abstractNum>
  <w:abstractNum w:abstractNumId="16">
    <w:nsid w:val="3A95F874"/>
    <w:multiLevelType w:val="hybridMultilevel"/>
    <w:lvl w:ilvl="0">
      <w:lvlJc w:val="left"/>
      <w:lvlText w:val="%1."/>
      <w:numFmt w:val="decimal"/>
      <w:start w:val="14"/>
    </w:lvl>
  </w:abstractNum>
  <w:abstractNum w:abstractNumId="17">
    <w:nsid w:val="8138641"/>
    <w:multiLevelType w:val="hybridMultilevel"/>
    <w:lvl w:ilvl="0">
      <w:lvlJc w:val="left"/>
      <w:lvlText w:val="(%1)"/>
      <w:numFmt w:val="lowerLetter"/>
      <w:start w:val="2"/>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1)"/>
      <w:numFmt w:val="lowerLetter"/>
      <w:start w:val="2"/>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lowerRoman"/>
      <w:start w:val="1"/>
    </w:lvl>
  </w:abstractNum>
  <w:abstractNum w:abstractNumId="27">
    <w:nsid w:val="5577F8E1"/>
    <w:multiLevelType w:val="hybridMultilevel"/>
    <w:lvl w:ilvl="0">
      <w:lvlJc w:val="left"/>
      <w:lvlText w:val="%1."/>
      <w:numFmt w:val="upperLetter"/>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lowerLetter"/>
      <w:start w:val="3"/>
    </w:lvl>
  </w:abstractNum>
  <w:abstractNum w:abstractNumId="30">
    <w:nsid w:val="3804823E"/>
    <w:multiLevelType w:val="hybridMultilevel"/>
    <w:lvl w:ilvl="0">
      <w:lvlJc w:val="left"/>
      <w:lvlText w:val="%1."/>
      <w:numFmt w:val="decimal"/>
      <w:start w:val="2"/>
    </w:lvl>
  </w:abstractNum>
  <w:abstractNum w:abstractNumId="31">
    <w:nsid w:val="77465F01"/>
    <w:multiLevelType w:val="hybridMultilevel"/>
    <w:lvl w:ilvl="0">
      <w:lvlJc w:val="left"/>
      <w:lvlText w:val="%1"/>
      <w:numFmt w:val="lowerLetter"/>
      <w:start w:val="1"/>
    </w:lvl>
    <w:lvl w:ilvl="1">
      <w:lvlJc w:val="left"/>
      <w:lvlText w:val="(%2)"/>
      <w:numFmt w:val="lowerLetter"/>
      <w:start w:val="1"/>
    </w:lvl>
  </w:abstractNum>
  <w:abstractNum w:abstractNumId="32">
    <w:nsid w:val="7724C67E"/>
    <w:multiLevelType w:val="hybridMultilevel"/>
    <w:lvl w:ilvl="0">
      <w:lvlJc w:val="left"/>
      <w:lvlText w:val="(%1)"/>
      <w:numFmt w:val="lowerLetter"/>
      <w:start w:val="61"/>
    </w:lvl>
    <w:lvl w:ilvl="1">
      <w:lvlJc w:val="left"/>
      <w:lvlText w:val="%2"/>
      <w:numFmt w:val="lowerLetter"/>
      <w:start w:val="1"/>
    </w:lvl>
  </w:abstractNum>
  <w:abstractNum w:abstractNumId="33">
    <w:nsid w:val="5C482A97"/>
    <w:multiLevelType w:val="hybridMultilevel"/>
    <w:lvl w:ilvl="0">
      <w:lvlJc w:val="left"/>
      <w:lvlText w:val="(%1)"/>
      <w:numFmt w:val="lowerLetter"/>
      <w:start w:val="2"/>
    </w:lvl>
  </w:abstractNum>
  <w:abstractNum w:abstractNumId="34">
    <w:nsid w:val="2463B9EA"/>
    <w:multiLevelType w:val="hybridMultilevel"/>
    <w:lvl w:ilvl="0">
      <w:lvlJc w:val="left"/>
      <w:lvlText w:val="%1."/>
      <w:numFmt w:val="decimal"/>
      <w:start w:val="3"/>
    </w:lvl>
  </w:abstractNum>
  <w:abstractNum w:abstractNumId="35">
    <w:nsid w:val="5E884ADC"/>
    <w:multiLevelType w:val="hybridMultilevel"/>
    <w:lvl w:ilvl="0">
      <w:lvlJc w:val="left"/>
      <w:lvlText w:val="%1."/>
      <w:numFmt w:val="decimal"/>
      <w:start w:val="6"/>
    </w:lvl>
  </w:abstractNum>
  <w:abstractNum w:abstractNumId="36">
    <w:nsid w:val="51EAD36B"/>
    <w:multiLevelType w:val="hybridMultilevel"/>
    <w:lvl w:ilvl="0">
      <w:lvlJc w:val="left"/>
      <w:lvlText w:val="(%1)"/>
      <w:numFmt w:val="lowerLetter"/>
      <w:start w:val="1"/>
    </w:lvl>
  </w:abstractNum>
  <w:abstractNum w:abstractNumId="37">
    <w:nsid w:val="2D517796"/>
    <w:multiLevelType w:val="hybridMultilevel"/>
    <w:lvl w:ilvl="0">
      <w:lvlJc w:val="left"/>
      <w:lvlText w:val="(%1)"/>
      <w:numFmt w:val="lowerLetter"/>
      <w:start w:val="3"/>
    </w:lvl>
  </w:abstractNum>
  <w:abstractNum w:abstractNumId="38">
    <w:nsid w:val="580BD78F"/>
    <w:multiLevelType w:val="hybridMultilevel"/>
    <w:lvl w:ilvl="0">
      <w:lvlJc w:val="left"/>
      <w:lvlText w:val="%1."/>
      <w:numFmt w:val="decimal"/>
      <w:start w:val="9"/>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85" Type="http://schemas.openxmlformats.org/officeDocument/2006/relationships/hyperlink" Target="https://www.sec.gov/Archives/edgar/data/1620459/000110465924049970/tm2412304d1_ex10-1.htm" TargetMode="External"/><Relationship Id="rId86" Type="http://schemas.openxmlformats.org/officeDocument/2006/relationships/hyperlink" Target="https://www.sec.gov/Archives/edgar/data/1620459/000110465924049970/tm2412304d1_ex10-2.htm" TargetMode="External"/><Relationship Id="rId87" Type="http://schemas.openxmlformats.org/officeDocument/2006/relationships/hyperlink" Target="https://www.sec.gov/Archives/edgar/data/1620459/000162045924000095/exhibit101-combinedlptand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2024-08-06T15:49:52Z</dcterms:created>
  <dcterms:modified xsi:type="dcterms:W3CDTF">2024-08-06T15:49:52Z</dcterms:modified>
</cp:coreProperties>
</file>