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483235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440055</wp:posOffset>
            </wp:positionV>
            <wp:extent cx="70891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4"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ended March 31, 2021</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4"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from _______ to _______</w:t>
      </w:r>
    </w:p>
    <w:p>
      <w:pPr>
        <w:spacing w:after="0" w:line="29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328"/>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Bermuda</w:t>
            </w:r>
          </w:p>
        </w:tc>
        <w:tc>
          <w:tcPr>
            <w:tcW w:w="5520" w:type="dxa"/>
            <w:vAlign w:val="bottom"/>
          </w:tcPr>
          <w:p>
            <w:pPr>
              <w:jc w:val="center"/>
              <w:ind w:left="4279"/>
              <w:spacing w:after="0"/>
              <w:rPr>
                <w:sz w:val="20"/>
                <w:szCs w:val="20"/>
                <w:color w:val="auto"/>
              </w:rPr>
            </w:pPr>
            <w:r>
              <w:rPr>
                <w:rFonts w:ascii="Arial" w:cs="Arial" w:eastAsia="Arial" w:hAnsi="Arial"/>
                <w:sz w:val="18"/>
                <w:szCs w:val="18"/>
                <w:b w:val="1"/>
                <w:bCs w:val="1"/>
                <w:color w:val="auto"/>
                <w:w w:val="91"/>
              </w:rPr>
              <w:t>98-0585280</w:t>
            </w:r>
          </w:p>
        </w:tc>
      </w:tr>
      <w:tr>
        <w:trPr>
          <w:trHeight w:val="144"/>
        </w:trPr>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5520" w:type="dxa"/>
            <w:vAlign w:val="bottom"/>
          </w:tcPr>
          <w:p>
            <w:pPr>
              <w:jc w:val="center"/>
              <w:ind w:left="4319"/>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00" w:type="dxa"/>
            <w:vAlign w:val="bottom"/>
          </w:tcPr>
          <w:p>
            <w:pPr>
              <w:spacing w:after="0"/>
              <w:rPr>
                <w:sz w:val="20"/>
                <w:szCs w:val="20"/>
                <w:color w:val="auto"/>
              </w:rPr>
            </w:pPr>
            <w:r>
              <w:rPr>
                <w:rFonts w:ascii="Arial" w:cs="Arial" w:eastAsia="Arial" w:hAnsi="Arial"/>
                <w:sz w:val="14"/>
                <w:szCs w:val="14"/>
                <w:b w:val="1"/>
                <w:bCs w:val="1"/>
                <w:color w:val="auto"/>
                <w:w w:val="94"/>
              </w:rPr>
              <w:t>incorporation or organization)</w:t>
            </w:r>
          </w:p>
        </w:tc>
        <w:tc>
          <w:tcPr>
            <w:tcW w:w="5520" w:type="dxa"/>
            <w:vAlign w:val="bottom"/>
          </w:tcPr>
          <w:p>
            <w:pPr>
              <w:jc w:val="center"/>
              <w:ind w:left="431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5" w:lineRule="exact"/>
        <w:rPr>
          <w:sz w:val="24"/>
          <w:szCs w:val="24"/>
          <w:color w:val="auto"/>
        </w:rPr>
      </w:pPr>
    </w:p>
    <w:p>
      <w:pPr>
        <w:jc w:val="center"/>
        <w:ind w:left="480" w:right="2660"/>
        <w:spacing w:after="0" w:line="275"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28"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(441) 278-4580</w:t>
      </w:r>
    </w:p>
    <w:p>
      <w:pPr>
        <w:spacing w:after="0" w:line="27"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380" w:type="dxa"/>
            <w:vAlign w:val="bottom"/>
          </w:tcPr>
          <w:p>
            <w:pPr>
              <w:spacing w:after="0"/>
              <w:rPr>
                <w:sz w:val="18"/>
                <w:szCs w:val="18"/>
                <w:color w:val="auto"/>
              </w:rPr>
            </w:pP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91"/>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Names of each exchange on which registered</w:t>
            </w:r>
          </w:p>
        </w:tc>
      </w:tr>
      <w:tr>
        <w:trPr>
          <w:trHeight w:val="20"/>
        </w:trPr>
        <w:tc>
          <w:tcPr>
            <w:tcW w:w="10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r>
      <w:tr>
        <w:trPr>
          <w:trHeight w:val="290"/>
        </w:trPr>
        <w:tc>
          <w:tcPr>
            <w:tcW w:w="36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Common Shares, par value $0.0002 per share</w:t>
            </w:r>
          </w:p>
        </w:tc>
        <w:tc>
          <w:tcPr>
            <w:tcW w:w="180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JRVR</w:t>
            </w:r>
          </w:p>
        </w:tc>
        <w:tc>
          <w:tcPr>
            <w:tcW w:w="3260" w:type="dxa"/>
            <w:vAlign w:val="bottom"/>
          </w:tcPr>
          <w:p>
            <w:pPr>
              <w:jc w:val="center"/>
              <w:spacing w:after="0"/>
              <w:rPr>
                <w:sz w:val="20"/>
                <w:szCs w:val="20"/>
                <w:color w:val="auto"/>
              </w:rPr>
            </w:pPr>
            <w:r>
              <w:rPr>
                <w:rFonts w:ascii="Arial" w:cs="Arial" w:eastAsia="Arial" w:hAnsi="Arial"/>
                <w:sz w:val="18"/>
                <w:szCs w:val="18"/>
                <w:color w:val="auto"/>
                <w:w w:val="96"/>
              </w:rPr>
              <w:t>NASDAQ  Global Select Market</w:t>
            </w:r>
          </w:p>
        </w:tc>
      </w:tr>
    </w:tbl>
    <w:p>
      <w:pPr>
        <w:spacing w:after="0" w:line="9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20"/>
        <w:spacing w:after="0" w:line="184" w:lineRule="exact"/>
        <w:tabs>
          <w:tab w:leader="none" w:pos="1960" w:val="left"/>
          <w:tab w:leader="none" w:pos="2160" w:val="left"/>
          <w:tab w:leader="none" w:pos="366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380" w:val="left"/>
          <w:tab w:leader="none" w:pos="780" w:val="left"/>
          <w:tab w:leader="none" w:pos="11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April 30, 2021: 30,774,930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456565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gridSpan w:val="5"/>
          </w:tcPr>
          <w:p>
            <w:pPr>
              <w:jc w:val="center"/>
              <w:ind w:left="132"/>
              <w:spacing w:after="0"/>
              <w:rPr>
                <w:sz w:val="20"/>
                <w:szCs w:val="20"/>
                <w:color w:val="auto"/>
              </w:rPr>
            </w:pPr>
            <w:r>
              <w:rPr>
                <w:rFonts w:ascii="Arial" w:cs="Arial" w:eastAsia="Arial" w:hAnsi="Arial"/>
                <w:sz w:val="14"/>
                <w:szCs w:val="14"/>
                <w:b w:val="1"/>
                <w:bCs w:val="1"/>
                <w:color w:val="auto"/>
                <w:w w:val="83"/>
              </w:rPr>
              <w:t>Page</w:t>
            </w:r>
          </w:p>
        </w:tc>
      </w:t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5"/>
          </w:tcPr>
          <w:p>
            <w:pPr>
              <w:jc w:val="center"/>
              <w:ind w:left="132"/>
              <w:spacing w:after="0"/>
              <w:rPr>
                <w:sz w:val="20"/>
                <w:szCs w:val="20"/>
                <w:color w:val="auto"/>
              </w:rPr>
            </w:pPr>
            <w:r>
              <w:rPr>
                <w:rFonts w:ascii="Arial" w:cs="Arial" w:eastAsia="Arial" w:hAnsi="Arial"/>
                <w:sz w:val="14"/>
                <w:szCs w:val="14"/>
                <w:b w:val="1"/>
                <w:bCs w:val="1"/>
                <w:color w:val="auto"/>
                <w:w w:val="98"/>
              </w:rPr>
              <w:t>Number</w:t>
            </w:r>
          </w:p>
        </w:tc>
      </w:tr>
      <w:tr>
        <w:trPr>
          <w:trHeight w:val="211"/>
        </w:trPr>
        <w:tc>
          <w:tcPr>
            <w:tcW w:w="20" w:type="dxa"/>
            <w:vAlign w:val="bottom"/>
            <w:shd w:val="clear" w:color="auto" w:fill="CCEEFF"/>
          </w:tcPr>
          <w:p>
            <w:pPr>
              <w:spacing w:after="0"/>
              <w:rPr>
                <w:sz w:val="18"/>
                <w:szCs w:val="18"/>
                <w:color w:val="auto"/>
              </w:rPr>
            </w:pPr>
          </w:p>
        </w:tc>
        <w:tc>
          <w:tcPr>
            <w:tcW w:w="10160" w:type="dxa"/>
            <w:vAlign w:val="bottom"/>
            <w:gridSpan w:val="23"/>
            <w:shd w:val="clear" w:color="auto" w:fill="CCEEFF"/>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w:t>
              </w:r>
            </w:hyperlink>
            <w:r>
              <w:rPr>
                <w:rFonts w:ascii="Arial" w:cs="Arial" w:eastAsia="Arial" w:hAnsi="Arial"/>
                <w:sz w:val="18"/>
                <w:szCs w:val="18"/>
                <w:color w:val="0000FF"/>
              </w:rPr>
              <w:t xml:space="preserve">Sheets—March </w:t>
            </w:r>
            <w:hyperlink w:anchor="page5">
              <w:r>
                <w:rPr>
                  <w:rFonts w:ascii="Arial" w:cs="Arial" w:eastAsia="Arial" w:hAnsi="Arial"/>
                  <w:sz w:val="18"/>
                  <w:szCs w:val="18"/>
                  <w:color w:val="0000FF"/>
                </w:rPr>
                <w:t>31, 2021 and December 31, 2020</w:t>
              </w:r>
            </w:hyperlink>
          </w:p>
        </w:tc>
        <w:tc>
          <w:tcPr>
            <w:tcW w:w="740" w:type="dxa"/>
            <w:vAlign w:val="bottom"/>
            <w:gridSpan w:val="4"/>
            <w:shd w:val="clear" w:color="auto" w:fill="CCEEFF"/>
          </w:tcPr>
          <w:p>
            <w:pPr>
              <w:jc w:val="center"/>
              <w:ind w:left="452"/>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3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w w:val="95"/>
              </w:rPr>
            </w:pPr>
            <w:hyperlink w:anchor="page6">
              <w:r>
                <w:rPr>
                  <w:rFonts w:ascii="Arial" w:cs="Arial" w:eastAsia="Arial" w:hAnsi="Arial"/>
                  <w:sz w:val="18"/>
                  <w:szCs w:val="18"/>
                  <w:color w:val="0000FF"/>
                  <w:w w:val="95"/>
                </w:rPr>
                <w:t>Condensed Consolidated Statements of Loss and Comprehensive Loss—Three Months Ended March 31, 2021 and 2020</w:t>
              </w:r>
            </w:hyperlink>
          </w:p>
        </w:tc>
        <w:tc>
          <w:tcPr>
            <w:tcW w:w="740" w:type="dxa"/>
            <w:vAlign w:val="bottom"/>
            <w:gridSpan w:val="4"/>
            <w:shd w:val="clear" w:color="auto" w:fill="CCEEFF"/>
          </w:tcPr>
          <w:p>
            <w:pPr>
              <w:jc w:val="center"/>
              <w:ind w:left="452"/>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3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1360" w:type="dxa"/>
            <w:vAlign w:val="bottom"/>
            <w:tcBorders>
              <w:top w:val="single" w:sz="8" w:color="0000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w w:val="93"/>
              </w:rPr>
            </w:pPr>
            <w:hyperlink w:anchor="page7">
              <w:r>
                <w:rPr>
                  <w:rFonts w:ascii="Arial" w:cs="Arial" w:eastAsia="Arial" w:hAnsi="Arial"/>
                  <w:sz w:val="18"/>
                  <w:szCs w:val="18"/>
                  <w:color w:val="0000FF"/>
                  <w:w w:val="93"/>
                </w:rPr>
                <w:t>Condensed Consolidated Statements of Changes in Shareholders’ Equity—Three Months Ended March 31, 2021 and 2020</w:t>
              </w:r>
            </w:hyperlink>
          </w:p>
        </w:tc>
        <w:tc>
          <w:tcPr>
            <w:tcW w:w="740" w:type="dxa"/>
            <w:vAlign w:val="bottom"/>
            <w:gridSpan w:val="4"/>
            <w:shd w:val="clear" w:color="auto" w:fill="CCEEFF"/>
          </w:tcPr>
          <w:p>
            <w:pPr>
              <w:jc w:val="center"/>
              <w:ind w:left="452"/>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3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13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 xml:space="preserve">Condensed Consolidated Statements of Cash </w:t>
              </w:r>
            </w:hyperlink>
            <w:r>
              <w:rPr>
                <w:rFonts w:ascii="Arial" w:cs="Arial" w:eastAsia="Arial" w:hAnsi="Arial"/>
                <w:sz w:val="18"/>
                <w:szCs w:val="18"/>
                <w:color w:val="0000FF"/>
              </w:rPr>
              <w:t xml:space="preserve">Flows—Three </w:t>
            </w:r>
            <w:hyperlink w:anchor="page8">
              <w:r>
                <w:rPr>
                  <w:rFonts w:ascii="Arial" w:cs="Arial" w:eastAsia="Arial" w:hAnsi="Arial"/>
                  <w:sz w:val="18"/>
                  <w:szCs w:val="18"/>
                  <w:color w:val="0000FF"/>
                </w:rPr>
                <w:t>Months Ended March 31, 2021 and 2020</w:t>
              </w:r>
            </w:hyperlink>
          </w:p>
        </w:tc>
        <w:tc>
          <w:tcPr>
            <w:tcW w:w="740" w:type="dxa"/>
            <w:vAlign w:val="bottom"/>
            <w:gridSpan w:val="4"/>
            <w:shd w:val="clear" w:color="auto" w:fill="CCEEFF"/>
          </w:tcPr>
          <w:p>
            <w:pPr>
              <w:jc w:val="center"/>
              <w:ind w:left="452"/>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9</w:t>
              </w:r>
            </w:hyperlink>
          </w:p>
        </w:tc>
        <w:tc>
          <w:tcPr>
            <w:tcW w:w="32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Item 2.</w:t>
              </w:r>
            </w:hyperlink>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 Operations</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28</w:t>
              </w:r>
            </w:hyperlink>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Critical Accounting Policies and Estimates</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29</w:t>
              </w:r>
            </w:hyperlink>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Item 3.</w:t>
              </w:r>
            </w:hyperlink>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49">
              <w:r>
                <w:rPr>
                  <w:rFonts w:ascii="Arial" w:cs="Arial" w:eastAsia="Arial" w:hAnsi="Arial"/>
                  <w:sz w:val="18"/>
                  <w:szCs w:val="18"/>
                  <w:color w:val="0000FF"/>
                </w:rPr>
                <w:t>Quantitative and Qualitative Disclosures About Market Risk</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Item 4.</w:t>
              </w:r>
            </w:hyperlink>
          </w:p>
        </w:tc>
        <w:tc>
          <w:tcPr>
            <w:tcW w:w="400" w:type="dxa"/>
            <w:vAlign w:val="bottom"/>
            <w:gridSpan w:val="3"/>
            <w:shd w:val="clear" w:color="auto" w:fill="CCEEFF"/>
          </w:tcPr>
          <w:p>
            <w:pPr>
              <w:spacing w:after="0"/>
              <w:rPr>
                <w:sz w:val="18"/>
                <w:szCs w:val="18"/>
                <w:color w:val="auto"/>
              </w:rPr>
            </w:pPr>
          </w:p>
        </w:tc>
        <w:tc>
          <w:tcPr>
            <w:tcW w:w="1780" w:type="dxa"/>
            <w:vAlign w:val="bottom"/>
            <w:gridSpan w:val="8"/>
            <w:shd w:val="clear" w:color="auto" w:fill="CCEEFF"/>
          </w:tcPr>
          <w:p>
            <w:pPr>
              <w:spacing w:after="0" w:line="189" w:lineRule="exact"/>
              <w:rPr>
                <w:rFonts w:ascii="Arial" w:cs="Arial" w:eastAsia="Arial" w:hAnsi="Arial"/>
                <w:sz w:val="18"/>
                <w:szCs w:val="18"/>
                <w:color w:val="0000FF"/>
                <w:w w:val="88"/>
              </w:rPr>
            </w:pPr>
            <w:hyperlink w:anchor="page50">
              <w:r>
                <w:rPr>
                  <w:rFonts w:ascii="Arial" w:cs="Arial" w:eastAsia="Arial" w:hAnsi="Arial"/>
                  <w:sz w:val="18"/>
                  <w:szCs w:val="18"/>
                  <w:color w:val="0000FF"/>
                  <w:w w:val="88"/>
                </w:rPr>
                <w:t>Controls and Procedures</w:t>
              </w:r>
            </w:hyperlink>
          </w:p>
        </w:tc>
        <w:tc>
          <w:tcPr>
            <w:tcW w:w="7460" w:type="dxa"/>
            <w:vAlign w:val="bottom"/>
            <w:gridSpan w:val="11"/>
            <w:shd w:val="clear" w:color="auto" w:fill="CCEEFF"/>
          </w:tcPr>
          <w:p>
            <w:pPr>
              <w:spacing w:after="0"/>
              <w:rPr>
                <w:sz w:val="18"/>
                <w:szCs w:val="18"/>
                <w:color w:val="auto"/>
              </w:rPr>
            </w:pPr>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160" w:type="dxa"/>
            <w:vAlign w:val="bottom"/>
            <w:gridSpan w:val="23"/>
            <w:shd w:val="clear" w:color="auto" w:fill="CCEEFF"/>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PART II. OTHER INFORMATION</w:t>
              </w:r>
            </w:hyperlink>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0">
              <w:r>
                <w:rPr>
                  <w:rFonts w:ascii="Arial" w:cs="Arial" w:eastAsia="Arial" w:hAnsi="Arial"/>
                  <w:sz w:val="18"/>
                  <w:szCs w:val="18"/>
                  <w:color w:val="0000FF"/>
                  <w:w w:val="90"/>
                </w:rPr>
                <w:t>Item 1.</w:t>
              </w:r>
            </w:hyperlink>
          </w:p>
        </w:tc>
        <w:tc>
          <w:tcPr>
            <w:tcW w:w="400" w:type="dxa"/>
            <w:vAlign w:val="bottom"/>
            <w:gridSpan w:val="3"/>
            <w:shd w:val="clear" w:color="auto" w:fill="CCEEFF"/>
          </w:tcPr>
          <w:p>
            <w:pPr>
              <w:spacing w:after="0"/>
              <w:rPr>
                <w:sz w:val="16"/>
                <w:szCs w:val="16"/>
                <w:color w:val="auto"/>
              </w:rPr>
            </w:pPr>
          </w:p>
        </w:tc>
        <w:tc>
          <w:tcPr>
            <w:tcW w:w="1340" w:type="dxa"/>
            <w:vAlign w:val="bottom"/>
            <w:gridSpan w:val="4"/>
            <w:shd w:val="clear" w:color="auto" w:fill="CCEEFF"/>
          </w:tcPr>
          <w:p>
            <w:pPr>
              <w:spacing w:after="0" w:line="189" w:lineRule="exact"/>
              <w:rPr>
                <w:rFonts w:ascii="Arial" w:cs="Arial" w:eastAsia="Arial" w:hAnsi="Arial"/>
                <w:sz w:val="18"/>
                <w:szCs w:val="18"/>
                <w:color w:val="0000FF"/>
                <w:w w:val="88"/>
              </w:rPr>
            </w:pPr>
            <w:hyperlink w:anchor="page50">
              <w:r>
                <w:rPr>
                  <w:rFonts w:ascii="Arial" w:cs="Arial" w:eastAsia="Arial" w:hAnsi="Arial"/>
                  <w:sz w:val="18"/>
                  <w:szCs w:val="18"/>
                  <w:color w:val="0000FF"/>
                  <w:w w:val="88"/>
                </w:rPr>
                <w:t>Legal Proceedings</w:t>
              </w:r>
            </w:hyperlink>
          </w:p>
        </w:tc>
        <w:tc>
          <w:tcPr>
            <w:tcW w:w="7900" w:type="dxa"/>
            <w:vAlign w:val="bottom"/>
            <w:gridSpan w:val="15"/>
            <w:shd w:val="clear" w:color="auto" w:fill="CCEEFF"/>
          </w:tcPr>
          <w:p>
            <w:pPr>
              <w:spacing w:after="0"/>
              <w:rPr>
                <w:sz w:val="16"/>
                <w:szCs w:val="16"/>
                <w:color w:val="auto"/>
              </w:rPr>
            </w:pPr>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Item 1A.</w:t>
              </w:r>
            </w:hyperlink>
          </w:p>
        </w:tc>
        <w:tc>
          <w:tcPr>
            <w:tcW w:w="9240" w:type="dxa"/>
            <w:vAlign w:val="bottom"/>
            <w:gridSpan w:val="19"/>
          </w:tcPr>
          <w:p>
            <w:pPr>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1060" w:type="dxa"/>
            <w:vAlign w:val="bottom"/>
            <w:gridSpan w:val="5"/>
          </w:tcPr>
          <w:p>
            <w:pPr>
              <w:jc w:val="center"/>
              <w:ind w:left="152"/>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51</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5">
              <w:r>
                <w:rPr>
                  <w:rFonts w:ascii="Arial" w:cs="Arial" w:eastAsia="Arial" w:hAnsi="Arial"/>
                  <w:sz w:val="18"/>
                  <w:szCs w:val="18"/>
                  <w:color w:val="0000FF"/>
                  <w:w w:val="90"/>
                </w:rPr>
                <w:t>Item 2.</w:t>
              </w:r>
            </w:hyperlink>
          </w:p>
        </w:tc>
        <w:tc>
          <w:tcPr>
            <w:tcW w:w="400" w:type="dxa"/>
            <w:vAlign w:val="bottom"/>
            <w:gridSpan w:val="3"/>
            <w:shd w:val="clear" w:color="auto" w:fill="CCEEFF"/>
          </w:tcPr>
          <w:p>
            <w:pPr>
              <w:spacing w:after="0"/>
              <w:rPr>
                <w:sz w:val="16"/>
                <w:szCs w:val="16"/>
                <w:color w:val="auto"/>
              </w:rPr>
            </w:pPr>
          </w:p>
        </w:tc>
        <w:tc>
          <w:tcPr>
            <w:tcW w:w="4360" w:type="dxa"/>
            <w:vAlign w:val="bottom"/>
            <w:gridSpan w:val="13"/>
            <w:shd w:val="clear" w:color="auto" w:fill="CCEEFF"/>
          </w:tcPr>
          <w:p>
            <w:pPr>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Unregistered Sales of Equity Securities and Use of Proceeds</w:t>
              </w:r>
            </w:hyperlink>
          </w:p>
        </w:tc>
        <w:tc>
          <w:tcPr>
            <w:tcW w:w="4880" w:type="dxa"/>
            <w:vAlign w:val="bottom"/>
            <w:gridSpan w:val="6"/>
            <w:shd w:val="clear" w:color="auto" w:fill="CCEEFF"/>
          </w:tcPr>
          <w:p>
            <w:pPr>
              <w:spacing w:after="0"/>
              <w:rPr>
                <w:sz w:val="16"/>
                <w:szCs w:val="16"/>
                <w:color w:val="auto"/>
              </w:rPr>
            </w:pPr>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56</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Item 3.</w:t>
              </w:r>
            </w:hyperlink>
          </w:p>
        </w:tc>
        <w:tc>
          <w:tcPr>
            <w:tcW w:w="400" w:type="dxa"/>
            <w:vAlign w:val="bottom"/>
            <w:gridSpan w:val="3"/>
          </w:tcPr>
          <w:p>
            <w:pPr>
              <w:spacing w:after="0"/>
              <w:rPr>
                <w:sz w:val="16"/>
                <w:szCs w:val="16"/>
                <w:color w:val="auto"/>
              </w:rPr>
            </w:pPr>
          </w:p>
        </w:tc>
        <w:tc>
          <w:tcPr>
            <w:tcW w:w="4360" w:type="dxa"/>
            <w:vAlign w:val="bottom"/>
            <w:gridSpan w:val="1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Defaults Upon Senior Securities</w:t>
              </w:r>
            </w:hyperlink>
          </w:p>
        </w:tc>
        <w:tc>
          <w:tcPr>
            <w:tcW w:w="4880" w:type="dxa"/>
            <w:vAlign w:val="bottom"/>
            <w:gridSpan w:val="6"/>
          </w:tcPr>
          <w:p>
            <w:pPr>
              <w:spacing w:after="0"/>
              <w:rPr>
                <w:sz w:val="16"/>
                <w:szCs w:val="16"/>
                <w:color w:val="auto"/>
              </w:rPr>
            </w:pPr>
          </w:p>
        </w:tc>
        <w:tc>
          <w:tcPr>
            <w:tcW w:w="1060" w:type="dxa"/>
            <w:vAlign w:val="bottom"/>
            <w:gridSpan w:val="5"/>
          </w:tcPr>
          <w:p>
            <w:pPr>
              <w:jc w:val="center"/>
              <w:ind w:left="152"/>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line="189"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Item 4.</w:t>
              </w:r>
            </w:hyperlink>
          </w:p>
        </w:tc>
        <w:tc>
          <w:tcPr>
            <w:tcW w:w="400" w:type="dxa"/>
            <w:vAlign w:val="bottom"/>
            <w:gridSpan w:val="3"/>
            <w:shd w:val="clear" w:color="auto" w:fill="CCEEFF"/>
          </w:tcPr>
          <w:p>
            <w:pPr>
              <w:spacing w:after="0"/>
              <w:rPr>
                <w:sz w:val="16"/>
                <w:szCs w:val="16"/>
                <w:color w:val="auto"/>
              </w:rPr>
            </w:pPr>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line="189"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Item 5.</w:t>
              </w:r>
            </w:hyperlink>
          </w:p>
        </w:tc>
        <w:tc>
          <w:tcPr>
            <w:tcW w:w="400" w:type="dxa"/>
            <w:vAlign w:val="bottom"/>
            <w:gridSpan w:val="3"/>
          </w:tcPr>
          <w:p>
            <w:pPr>
              <w:spacing w:after="0"/>
              <w:rPr>
                <w:sz w:val="16"/>
                <w:szCs w:val="16"/>
                <w:color w:val="auto"/>
              </w:rPr>
            </w:pPr>
          </w:p>
        </w:tc>
        <w:tc>
          <w:tcPr>
            <w:tcW w:w="1700" w:type="dxa"/>
            <w:vAlign w:val="bottom"/>
            <w:gridSpan w:val="7"/>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7540" w:type="dxa"/>
            <w:vAlign w:val="bottom"/>
            <w:gridSpan w:val="12"/>
          </w:tcPr>
          <w:p>
            <w:pPr>
              <w:spacing w:after="0"/>
              <w:rPr>
                <w:sz w:val="16"/>
                <w:szCs w:val="16"/>
                <w:color w:val="auto"/>
              </w:rPr>
            </w:pPr>
          </w:p>
        </w:tc>
        <w:tc>
          <w:tcPr>
            <w:tcW w:w="1060" w:type="dxa"/>
            <w:vAlign w:val="bottom"/>
            <w:gridSpan w:val="5"/>
          </w:tcPr>
          <w:p>
            <w:pPr>
              <w:jc w:val="center"/>
              <w:ind w:left="152"/>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Item 6.</w:t>
              </w:r>
            </w:hyperlink>
          </w:p>
        </w:tc>
        <w:tc>
          <w:tcPr>
            <w:tcW w:w="9240" w:type="dxa"/>
            <w:vAlign w:val="bottom"/>
            <w:gridSpan w:val="19"/>
            <w:shd w:val="clear" w:color="auto" w:fill="CCEEFF"/>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57</w:t>
              </w:r>
            </w:hyperlink>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6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gridSpan w:val="5"/>
            <w:shd w:val="clear" w:color="auto" w:fill="CCEEFF"/>
          </w:tcPr>
          <w:p>
            <w:pPr>
              <w:jc w:val="center"/>
              <w:ind w:left="152"/>
              <w:spacing w:after="0" w:line="189"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24" w:lineRule="exact"/>
        <w:rPr>
          <w:sz w:val="20"/>
          <w:szCs w:val="20"/>
          <w:color w:val="auto"/>
        </w:rPr>
      </w:pPr>
    </w:p>
    <w:p>
      <w:pPr>
        <w:ind w:left="82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7" w:lineRule="exact"/>
        <w:rPr>
          <w:rFonts w:ascii="Arial" w:cs="Arial" w:eastAsia="Arial" w:hAnsi="Arial"/>
          <w:sz w:val="18"/>
          <w:szCs w:val="18"/>
          <w:color w:val="auto"/>
        </w:rPr>
      </w:pPr>
    </w:p>
    <w:p>
      <w:pPr>
        <w:ind w:left="820" w:right="36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downgrades in the financial strength rating of our regulated insurance subsidiaries may impact our ability to attract and retain insurance and reinsurance business that our subsidiaries write, our competitive position, and our financial condition;</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economic factors resulting in the sale of fewer policies than expected or an increase in the frequency or severity of claims, or both;</w:t>
      </w:r>
    </w:p>
    <w:p>
      <w:pPr>
        <w:spacing w:after="0" w:line="140" w:lineRule="exact"/>
        <w:rPr>
          <w:rFonts w:ascii="Arial" w:cs="Arial" w:eastAsia="Arial" w:hAnsi="Arial"/>
          <w:sz w:val="16"/>
          <w:szCs w:val="16"/>
          <w:color w:val="auto"/>
        </w:rPr>
      </w:pPr>
    </w:p>
    <w:p>
      <w:pPr>
        <w:ind w:left="820" w:right="6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62" w:lineRule="exact"/>
        <w:rPr>
          <w:rFonts w:ascii="Arial" w:cs="Arial" w:eastAsia="Arial" w:hAnsi="Arial"/>
          <w:sz w:val="18"/>
          <w:szCs w:val="18"/>
          <w:color w:val="auto"/>
        </w:rPr>
      </w:pPr>
    </w:p>
    <w:p>
      <w:pPr>
        <w:ind w:left="820" w:right="4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62" w:lineRule="exact"/>
        <w:rPr>
          <w:rFonts w:ascii="Arial" w:cs="Arial" w:eastAsia="Arial" w:hAnsi="Arial"/>
          <w:sz w:val="18"/>
          <w:szCs w:val="18"/>
          <w:color w:val="auto"/>
        </w:rPr>
      </w:pPr>
    </w:p>
    <w:p>
      <w:pPr>
        <w:ind w:left="820" w:right="50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62" w:lineRule="exact"/>
        <w:rPr>
          <w:rFonts w:ascii="Arial" w:cs="Arial" w:eastAsia="Arial" w:hAnsi="Arial"/>
          <w:sz w:val="18"/>
          <w:szCs w:val="18"/>
          <w:color w:val="auto"/>
        </w:rPr>
      </w:pPr>
    </w:p>
    <w:p>
      <w:pPr>
        <w:ind w:left="820" w:right="320" w:hanging="488"/>
        <w:spacing w:after="0" w:line="263"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their reimbursement obligations;</w:t>
      </w:r>
    </w:p>
    <w:p>
      <w:pPr>
        <w:spacing w:after="0" w:line="7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7" w:lineRule="exact"/>
        <w:rPr>
          <w:rFonts w:ascii="Arial" w:cs="Arial" w:eastAsia="Arial" w:hAnsi="Arial"/>
          <w:sz w:val="18"/>
          <w:szCs w:val="18"/>
          <w:color w:val="auto"/>
        </w:rPr>
      </w:pPr>
    </w:p>
    <w:p>
      <w:pPr>
        <w:ind w:left="820" w:right="16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62" w:lineRule="exact"/>
        <w:rPr>
          <w:rFonts w:ascii="Arial" w:cs="Arial" w:eastAsia="Arial" w:hAnsi="Arial"/>
          <w:sz w:val="18"/>
          <w:szCs w:val="18"/>
          <w:color w:val="auto"/>
        </w:rPr>
      </w:pPr>
    </w:p>
    <w:p>
      <w:pPr>
        <w:ind w:left="820" w:right="80" w:hanging="488"/>
        <w:spacing w:after="0" w:line="342" w:lineRule="auto"/>
        <w:tabs>
          <w:tab w:leader="none" w:pos="81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15" w:lineRule="exact"/>
        <w:rPr>
          <w:rFonts w:ascii="Arial" w:cs="Arial" w:eastAsia="Arial" w:hAnsi="Arial"/>
          <w:sz w:val="16"/>
          <w:szCs w:val="16"/>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7" w:lineRule="exact"/>
        <w:rPr>
          <w:rFonts w:ascii="Arial" w:cs="Arial" w:eastAsia="Arial" w:hAnsi="Arial"/>
          <w:sz w:val="18"/>
          <w:szCs w:val="18"/>
          <w:color w:val="auto"/>
        </w:rPr>
      </w:pPr>
    </w:p>
    <w:p>
      <w:pPr>
        <w:ind w:left="820" w:right="56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62" w:lineRule="exact"/>
        <w:rPr>
          <w:rFonts w:ascii="Arial" w:cs="Arial" w:eastAsia="Arial" w:hAnsi="Arial"/>
          <w:sz w:val="18"/>
          <w:szCs w:val="18"/>
          <w:color w:val="auto"/>
        </w:rPr>
      </w:pPr>
    </w:p>
    <w:p>
      <w:pPr>
        <w:ind w:left="820" w:right="540" w:hanging="488"/>
        <w:spacing w:after="0" w:line="277" w:lineRule="auto"/>
        <w:tabs>
          <w:tab w:leader="none" w:pos="81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62"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for the year ended December 31, 2020 filed with the SEC on February 26, 2021.</w:t>
      </w:r>
    </w:p>
    <w:p>
      <w:pPr>
        <w:spacing w:after="0" w:line="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(Unaudited) March</w:t>
            </w:r>
          </w:p>
        </w:tc>
        <w:tc>
          <w:tcPr>
            <w:tcW w:w="200" w:type="dxa"/>
            <w:vAlign w:val="bottom"/>
          </w:tcPr>
          <w:p>
            <w:pPr>
              <w:spacing w:after="0"/>
              <w:rPr>
                <w:sz w:val="14"/>
                <w:szCs w:val="14"/>
                <w:color w:val="auto"/>
              </w:rPr>
            </w:pPr>
          </w:p>
        </w:tc>
        <w:tc>
          <w:tcPr>
            <w:tcW w:w="11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5"/>
        </w:trPr>
        <w:tc>
          <w:tcPr>
            <w:tcW w:w="8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ind w:right="513"/>
              <w:spacing w:after="0" w:line="135"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4"/>
          </w:tcPr>
          <w:p>
            <w:pPr>
              <w:jc w:val="right"/>
              <w:ind w:right="912"/>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3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2021 – $1,755,733; 2020 – $1,690,890)</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2021 – $81,855; 2020 – $81,698)</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51,198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2,158,969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2,197,058</w:t>
            </w:r>
          </w:p>
        </w:tc>
        <w:tc>
          <w:tcPr>
            <w:tcW w:w="0" w:type="dxa"/>
            <w:vAlign w:val="bottom"/>
          </w:tcPr>
          <w:p>
            <w:pPr>
              <w:spacing w:after="0"/>
              <w:rPr>
                <w:sz w:val="1"/>
                <w:szCs w:val="1"/>
                <w:color w:val="auto"/>
              </w:rPr>
            </w:pPr>
          </w:p>
        </w:tc>
      </w:tr>
      <w:tr>
        <w:trPr>
          <w:trHeight w:val="257"/>
        </w:trPr>
        <w:tc>
          <w:tcPr>
            <w:tcW w:w="83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183,491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162,260</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369,577</w:t>
            </w:r>
          </w:p>
        </w:tc>
        <w:tc>
          <w:tcPr>
            <w:tcW w:w="0" w:type="dxa"/>
            <w:vAlign w:val="bottom"/>
          </w:tcPr>
          <w:p>
            <w:pPr>
              <w:spacing w:after="0"/>
              <w:rPr>
                <w:sz w:val="1"/>
                <w:szCs w:val="1"/>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878,732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805,684</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273,116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243,741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0" w:type="dxa"/>
            <w:vAlign w:val="bottom"/>
          </w:tcPr>
          <w:p>
            <w:pPr>
              <w:spacing w:after="0"/>
              <w:rPr>
                <w:sz w:val="1"/>
                <w:szCs w:val="1"/>
                <w:color w:val="auto"/>
              </w:rPr>
            </w:pP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36,402</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86,548</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5,109,707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5,063,072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 March</w:t>
            </w:r>
          </w:p>
        </w:tc>
        <w:tc>
          <w:tcPr>
            <w:tcW w:w="18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493"/>
              <w:spacing w:after="0" w:line="135"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1"/>
        </w:trPr>
        <w:tc>
          <w:tcPr>
            <w:tcW w:w="8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0" w:type="dxa"/>
            <w:vAlign w:val="bottom"/>
            <w:gridSpan w:val="4"/>
          </w:tcPr>
          <w:p>
            <w:pPr>
              <w:jc w:val="right"/>
              <w:ind w:right="192"/>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3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2,413,846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2,192,080</w:t>
            </w: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630,371</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110,431</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751,668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52,318</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4,267,464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tcPr>
          <w:p>
            <w:pPr>
              <w:ind w:left="140"/>
              <w:spacing w:after="0" w:line="176" w:lineRule="exact"/>
              <w:rPr>
                <w:sz w:val="20"/>
                <w:szCs w:val="20"/>
                <w:color w:val="auto"/>
              </w:rPr>
            </w:pPr>
            <w:r>
              <w:rPr>
                <w:rFonts w:ascii="Arial" w:cs="Arial" w:eastAsia="Arial" w:hAnsi="Arial"/>
                <w:sz w:val="18"/>
                <w:szCs w:val="18"/>
                <w:color w:val="auto"/>
                <w:w w:val="90"/>
              </w:rPr>
              <w:t>Common Shares – 2021 and 2020: $0.0002 par value; 200,000,000 shares authorized; 30,774,930 and 30,649,261</w:t>
            </w: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5"/>
              </w:rPr>
              <w:t>Preferred Shares – 2021 and 2020: $0.00125 par value; 20,000,000 shares authorized; no shares issued and</w:t>
            </w:r>
          </w:p>
        </w:tc>
        <w:tc>
          <w:tcPr>
            <w:tcW w:w="2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663,987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664,476</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(deficit)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639,628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5,109,707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5,063,072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 (Unaudited)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8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251"/>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373,255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283,841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written premiums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(149,187)</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written premiums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174,599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134,654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net unearned premiums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160,593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145,918</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(58,407)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182,980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110,284</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273,500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96,856</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151,502</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(41,218)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(103,460)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(36,815)</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unrealized losses, net of taxes of $(5,647) in 2021 and $(1,391) in 2020</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(40,734)</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loss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Diluted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declared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30,713,986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30,476,307</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30,713,986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30,476,307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Common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4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1"/>
                <w:szCs w:val="11"/>
                <w:color w:val="auto"/>
              </w:rPr>
            </w:pPr>
          </w:p>
        </w:tc>
        <w:tc>
          <w:tcPr>
            <w:tcW w:w="80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Shares (Par)</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8"/>
          </w:tcPr>
          <w:p>
            <w:pPr>
              <w:ind w:left="42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30,649,261</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(103,460)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8"/>
              </w:rPr>
              <w:t>(103,460)</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(9,343)</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109,198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Compensation expense under share incentive</w:t>
            </w:r>
          </w:p>
        </w:tc>
        <w:tc>
          <w:tcPr>
            <w:tcW w:w="2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2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b w:val="1"/>
                <w:bCs w:val="1"/>
                <w:color w:val="auto"/>
              </w:rPr>
              <w:t>Balances at March 31, 2021</w:t>
            </w: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30,774,930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663,987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(63,576)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639,628</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30,424,391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(36,815)</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w w:val="90"/>
              </w:rPr>
              <w:t>Compensation expense under share incentive</w:t>
            </w:r>
          </w:p>
        </w:tc>
        <w:tc>
          <w:tcPr>
            <w:tcW w:w="20" w:type="dxa"/>
            <w:vAlign w:val="bottom"/>
          </w:tcPr>
          <w:p>
            <w:pPr>
              <w:spacing w:after="0"/>
              <w:rPr>
                <w:sz w:val="15"/>
                <w:szCs w:val="15"/>
                <w:color w:val="auto"/>
              </w:rPr>
            </w:pPr>
          </w:p>
        </w:tc>
        <w:tc>
          <w:tcPr>
            <w:tcW w:w="128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plans</w:t>
            </w:r>
          </w:p>
        </w:tc>
        <w:tc>
          <w:tcPr>
            <w:tcW w:w="2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Cumulative effect of fair value option</w:t>
            </w:r>
          </w:p>
        </w:tc>
        <w:tc>
          <w:tcPr>
            <w:tcW w:w="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w:t>
            </w:r>
          </w:p>
        </w:tc>
        <w:tc>
          <w:tcPr>
            <w:tcW w:w="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Cumulative effect of adoption of ASU No.</w:t>
            </w: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2016-13</w:t>
            </w:r>
          </w:p>
        </w:tc>
        <w:tc>
          <w:tcPr>
            <w:tcW w:w="20" w:type="dxa"/>
            <w:vAlign w:val="bottom"/>
          </w:tcPr>
          <w:p>
            <w:pPr>
              <w:spacing w:after="0"/>
              <w:rPr>
                <w:sz w:val="19"/>
                <w:szCs w:val="19"/>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March 31, 2020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30,520,428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657,704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720,317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r>
      <w:tr>
        <w:trPr>
          <w:trHeight w:val="180"/>
        </w:trPr>
        <w:tc>
          <w:tcPr>
            <w:tcW w:w="8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3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Net cash used in operating activities (a)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(81,005)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(65,305)</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Securities available-for-sale:</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 fixed maturity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(182,205)</w:t>
            </w: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Sales – fixed maturity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33,041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4,513</w:t>
            </w: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and calls – fixed maturity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34,861</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Purchases – equity securities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(7,435)</w:t>
            </w: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 equity securities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(18,408)</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Sales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9,735</w:t>
            </w: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Other invested assets: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rPr>
              <w:t>Return of capital</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13,133</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Short-term investments,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85,867</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receivable or payable, net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3"/>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(49,721)</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debt issuances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(9,468)</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shares under equity incentive plans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share repurchases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107,494</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(7,532)</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1,406,076</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935,159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1,398,544</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Restricted cash equivalents at beginning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859,920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1,199,164</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equivalents at end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1,107,321</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Change in restricted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(108,252)</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(91,843)</w:t>
            </w:r>
          </w:p>
        </w:tc>
      </w:tr>
    </w:tbl>
    <w:p>
      <w:pPr>
        <w:spacing w:after="0" w:line="309" w:lineRule="exact"/>
        <w:rPr>
          <w:sz w:val="20"/>
          <w:szCs w:val="20"/>
          <w:color w:val="auto"/>
        </w:rPr>
      </w:pPr>
    </w:p>
    <w:p>
      <w:pPr>
        <w:jc w:val="both"/>
        <w:ind w:firstLine="8"/>
        <w:spacing w:after="0" w:line="259" w:lineRule="auto"/>
        <w:tabs>
          <w:tab w:leader="none" w:pos="25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Cash used in operating activities for the three months ended March 31, 2021 and 2020 primarily reflect $108.3 million and $91.8 million, respectively, of restricted cash equivalents returned to a former insured, per the terms of a collateral trust (see </w:t>
      </w:r>
      <w:r>
        <w:rPr>
          <w:rFonts w:ascii="Arial" w:cs="Arial" w:eastAsia="Arial" w:hAnsi="Arial"/>
          <w:sz w:val="18"/>
          <w:szCs w:val="18"/>
          <w:i w:val="1"/>
          <w:iCs w:val="1"/>
          <w:color w:val="auto"/>
        </w:rPr>
        <w:t>Amounts Recoverable from an Indemnifying Party in</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Excluding the reduction in the collateral funds, cash provided by operating activities was $27.2 million and $26.5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31, 2021 and 2020, respectively.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9420" w:firstLine="8"/>
        <w:spacing w:after="0" w:line="400" w:lineRule="auto"/>
        <w:tabs>
          <w:tab w:leader="none" w:pos="30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ind w:right="20" w:firstLine="324"/>
        <w:spacing w:after="0" w:line="277"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62" w:lineRule="exact"/>
        <w:rPr>
          <w:sz w:val="20"/>
          <w:szCs w:val="20"/>
          <w:color w:val="auto"/>
        </w:rPr>
      </w:pPr>
    </w:p>
    <w:p>
      <w:pPr>
        <w:ind w:left="660" w:right="2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16" w:lineRule="exact"/>
        <w:rPr>
          <w:sz w:val="20"/>
          <w:szCs w:val="20"/>
          <w:color w:val="auto"/>
        </w:rPr>
      </w:pPr>
    </w:p>
    <w:p>
      <w:pPr>
        <w:jc w:val="both"/>
        <w:ind w:left="660" w:hanging="328"/>
        <w:spacing w:after="0" w:line="263" w:lineRule="auto"/>
        <w:tabs>
          <w:tab w:leader="none" w:pos="697" w:val="left"/>
        </w:tabs>
        <w:numPr>
          <w:ilvl w:val="0"/>
          <w:numId w:val="8"/>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76" w:lineRule="exact"/>
        <w:rPr>
          <w:sz w:val="20"/>
          <w:szCs w:val="20"/>
          <w:color w:val="auto"/>
        </w:rPr>
      </w:pPr>
    </w:p>
    <w:p>
      <w:pPr>
        <w:jc w:val="both"/>
        <w:ind w:left="660" w:hanging="328"/>
        <w:spacing w:after="0" w:line="263"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83" w:val="left"/>
        </w:tabs>
        <w:numPr>
          <w:ilvl w:val="0"/>
          <w:numId w:val="9"/>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75" w:lineRule="exact"/>
        <w:rPr>
          <w:rFonts w:ascii="Arial" w:cs="Arial" w:eastAsia="Arial" w:hAnsi="Arial"/>
          <w:sz w:val="18"/>
          <w:szCs w:val="18"/>
          <w:color w:val="auto"/>
        </w:rPr>
      </w:pPr>
    </w:p>
    <w:p>
      <w:pPr>
        <w:ind w:left="660" w:hanging="328"/>
        <w:spacing w:after="0" w:line="277" w:lineRule="auto"/>
        <w:tabs>
          <w:tab w:leader="none" w:pos="6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 stop loss reinsurance treaty with JRG 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2020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2020 was derived from the Company’s audited annual consolidated financial statements.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$29.0 million and $30.1 million at March 31, 2021 and December 31, 2020, respectively, representing the Company’s maximum exposure to loss.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$140.8 million for the three months ended March 31, 2021 and recorded a U.S. federal income tax benefit of $37.4 million. The pre-tax loss was largely driven by the $170.1 million of net adverse reserve development on prior accident years, including $168.7 million of net adverse development from the Excess and Surplus Lines segment that was primarily related to a former commercial auto account. For the three months ended March 31, 2021, our U.S. federal income tax benefit was 26.5% of the loss before taxes. The outbreak of the coronavirus pandemic in the first quarter of 2020 led to significant unrealized losses in our investment portfolio that were recognized in earnings. As a result, the Company had a pre-tax loss of $41.2 million for the three months ended March 31, 2020 and recorded a U.S. federal income tax benefit of $4.4 million. For the three months ended March 31, 2020, our U.S. federal income tax benefit was 10.7% of the loss before taxes. The change in effective tax rate for the two periods reflects changes in reserve estimates between accident years in the commercial auto business, and the related impact on the mix of income reported by country in those respective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7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296,200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299,956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762,693</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322,579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328,180</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88,145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89,557</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1,755,733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1,800,151</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amortized cost and fair value of available-for-sale investments in fixed maturity securities at March 31, 2021 are summarized, by contractual maturity,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5"/>
        </w:trPr>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0"/>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111,427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455,605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477,392</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332,488</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244,047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250,708</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299,956</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322,579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328,180</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1,800,151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12 Months or More</w:t>
            </w:r>
          </w:p>
        </w:tc>
        <w:tc>
          <w:tcPr>
            <w:tcW w:w="240" w:type="dxa"/>
            <w:vAlign w:val="bottom"/>
          </w:tcPr>
          <w:p>
            <w:pPr>
              <w:spacing w:after="0"/>
              <w:rPr>
                <w:sz w:val="16"/>
                <w:szCs w:val="16"/>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54"/>
              <w:spacing w:after="0" w:line="135"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5"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35"/>
        </w:trPr>
        <w:tc>
          <w:tcPr>
            <w:tcW w:w="4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81"/>
        </w:trPr>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2021</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115,899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94,524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505,478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(14,378)</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10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9"/>
        </w:trPr>
        <w:tc>
          <w:tcPr>
            <w:tcW w:w="410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2021, the Company held fixed maturity securities of 192 issuers that were in an unrealized loss position with a total fair value of $505.5 million and gross unrealized losses of $14.4 million. None of the fixed maturity securities with unrealized losses has ever missed, or been delinquent on, a scheduled principal or interest payment. At March 31, 2021, 99.3%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March 31, 2021 had an aggregate fair value of $11.9 million and an aggregate net unrealized gain of $114,000.</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231F20"/>
        </w:rPr>
        <w:t xml:space="preserve">The Company adopted ASU 2016-13, </w:t>
      </w:r>
      <w:r>
        <w:rPr>
          <w:rFonts w:ascii="Arial" w:cs="Arial" w:eastAsia="Arial" w:hAnsi="Arial"/>
          <w:sz w:val="18"/>
          <w:szCs w:val="18"/>
          <w:i w:val="1"/>
          <w:iCs w:val="1"/>
          <w:color w:val="231F20"/>
        </w:rPr>
        <w:t>Financial Instruments - Credit Losses (Topic 326): Measurement of Credit Losses on Financial Instruments</w:t>
      </w:r>
      <w:r>
        <w:rPr>
          <w:rFonts w:ascii="Arial" w:cs="Arial" w:eastAsia="Arial" w:hAnsi="Arial"/>
          <w:sz w:val="18"/>
          <w:szCs w:val="18"/>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8"/>
          <w:szCs w:val="18"/>
          <w:color w:val="000000"/>
        </w:rPr>
        <w:t>et realized and unrealized gains (losses) on investments</w:t>
      </w:r>
      <w:r>
        <w:rPr>
          <w:rFonts w:ascii="Arial" w:cs="Arial" w:eastAsia="Arial" w:hAnsi="Arial"/>
          <w:sz w:val="18"/>
          <w:szCs w:val="18"/>
          <w:color w:val="231F20"/>
        </w:rPr>
        <w:t>. Unrealized losses that are not credit-related will continue to be recognized in other comprehensive income.</w:t>
      </w:r>
    </w:p>
    <w:p>
      <w:pPr>
        <w:spacing w:after="0" w:line="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2021, December 31, 2020, or March 31, 2020. </w:t>
      </w:r>
      <w:r>
        <w:rPr>
          <w:rFonts w:ascii="Arial" w:cs="Arial" w:eastAsia="Arial" w:hAnsi="Arial"/>
          <w:sz w:val="17"/>
          <w:szCs w:val="17"/>
          <w:color w:val="231F20"/>
        </w:rPr>
        <w:t>Management does not intend to sell the securities in an unrealized loss position, and it is not “more likely than not” that the Company will be</w:t>
      </w:r>
      <w:r>
        <w:rPr>
          <w:rFonts w:ascii="Arial" w:cs="Arial" w:eastAsia="Arial" w:hAnsi="Arial"/>
          <w:sz w:val="17"/>
          <w:szCs w:val="17"/>
          <w:color w:val="auto"/>
        </w:rPr>
        <w:t xml:space="preserve"> </w:t>
      </w:r>
      <w:r>
        <w:rPr>
          <w:rFonts w:ascii="Arial" w:cs="Arial" w:eastAsia="Arial" w:hAnsi="Arial"/>
          <w:sz w:val="17"/>
          <w:szCs w:val="17"/>
          <w:color w:val="231F20"/>
        </w:rPr>
        <w:t>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231F20"/>
        </w:rPr>
        <w:t xml:space="preserve">Applying the fair value option to the bank loan portfolio increases volatility in the Company's financial statements, but management believes it is less subjective and less burdensome to implement and maintain than ASU 2016-13, which would have otherwise been required. At March 31, 2021, the Company's bank loan portfolio had an aggregate fair value of $160.9 million and unpaid principal of $168.6 million. Investment income on bank loan participations included in net investment income was $2.9 million and $4.1 million for the </w:t>
      </w:r>
      <w:r>
        <w:rPr>
          <w:rFonts w:ascii="Arial" w:cs="Arial" w:eastAsia="Arial" w:hAnsi="Arial"/>
          <w:sz w:val="17"/>
          <w:szCs w:val="17"/>
          <w:color w:val="000000"/>
        </w:rPr>
        <w:t>three months ended</w:t>
      </w:r>
      <w:r>
        <w:rPr>
          <w:rFonts w:ascii="Arial" w:cs="Arial" w:eastAsia="Arial" w:hAnsi="Arial"/>
          <w:sz w:val="17"/>
          <w:szCs w:val="17"/>
          <w:color w:val="231F20"/>
        </w:rPr>
        <w:t xml:space="preserve"> March 31, 2021 and 2020, respectively. Net realized and unrealized gains (losses) on investments includes gains of $3.9 million and losses of $43.9 million related to changes in unrealized gains and losses on bank loan participations in the </w:t>
      </w:r>
      <w:r>
        <w:rPr>
          <w:rFonts w:ascii="Arial" w:cs="Arial" w:eastAsia="Arial" w:hAnsi="Arial"/>
          <w:sz w:val="17"/>
          <w:szCs w:val="17"/>
          <w:color w:val="000000"/>
        </w:rPr>
        <w:t>three months ended</w:t>
      </w:r>
      <w:r>
        <w:rPr>
          <w:rFonts w:ascii="Arial" w:cs="Arial" w:eastAsia="Arial" w:hAnsi="Arial"/>
          <w:sz w:val="17"/>
          <w:szCs w:val="17"/>
          <w:color w:val="231F20"/>
        </w:rPr>
        <w:t xml:space="preserve"> March 31, 2021 and 2020, respectively. Management concluded that there were no credit-related impairments of bank loan participations at </w:t>
      </w:r>
      <w:r>
        <w:rPr>
          <w:rFonts w:ascii="Arial" w:cs="Arial" w:eastAsia="Arial" w:hAnsi="Arial"/>
          <w:sz w:val="17"/>
          <w:szCs w:val="17"/>
          <w:color w:val="000000"/>
        </w:rPr>
        <w:t>March 31, 2021. At March 31, 2020, there were</w:t>
      </w:r>
      <w:r>
        <w:rPr>
          <w:rFonts w:ascii="Arial" w:cs="Arial" w:eastAsia="Arial" w:hAnsi="Arial"/>
          <w:sz w:val="17"/>
          <w:szCs w:val="17"/>
          <w:color w:val="231F20"/>
        </w:rPr>
        <w:t xml:space="preserve"> $5.0 million of unrealized losses due to credit-related impairments.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8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2021 or December 31,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434"/>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39"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94" w:type="dxa"/>
        <w:tblCellMar>
          <w:top w:w="0" w:type="dxa"/>
          <w:left w:w="0" w:type="dxa"/>
          <w:bottom w:w="0" w:type="dxa"/>
          <w:right w:w="0" w:type="dxa"/>
        </w:tblCellMar>
      </w:tblPr>
      <w:tr>
        <w:trPr>
          <w:trHeight w:val="193"/>
        </w:trPr>
        <w:tc>
          <w:tcPr>
            <w:tcW w:w="84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180"/>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r>
      <w:tr>
        <w:trPr>
          <w:trHeight w:val="233"/>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(43,947)</w:t>
            </w:r>
          </w:p>
        </w:tc>
      </w:tr>
      <w:tr>
        <w:trPr>
          <w:trHeight w:val="223"/>
        </w:trPr>
        <w:tc>
          <w:tcPr>
            <w:tcW w:w="8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(45,153)</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(13,315)</w:t>
            </w:r>
          </w:p>
        </w:tc>
      </w:tr>
      <w:tr>
        <w:trPr>
          <w:trHeight w:val="223"/>
        </w:trPr>
        <w:tc>
          <w:tcPr>
            <w:tcW w:w="8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(13,485)</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(58,407)</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434"/>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117" w:lineRule="exact"/>
        <w:rPr>
          <w:sz w:val="20"/>
          <w:szCs w:val="20"/>
          <w:color w:val="auto"/>
        </w:rPr>
      </w:pPr>
    </w:p>
    <w:p>
      <w:pPr>
        <w:jc w:val="both"/>
        <w:ind w:left="94" w:firstLine="324"/>
        <w:spacing w:after="0" w:line="277"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94" w:lineRule="exact"/>
        <w:rPr>
          <w:sz w:val="20"/>
          <w:szCs w:val="20"/>
          <w:color w:val="auto"/>
        </w:rPr>
      </w:pPr>
    </w:p>
    <w:tbl>
      <w:tblPr>
        <w:tblLayout w:type="fixed"/>
        <w:tblInd w:w="94"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37"/>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353"/>
              <w:spacing w:after="0"/>
              <w:rPr>
                <w:sz w:val="20"/>
                <w:szCs w:val="20"/>
                <w:color w:val="auto"/>
              </w:rPr>
            </w:pPr>
            <w:r>
              <w:rPr>
                <w:rFonts w:ascii="Arial" w:cs="Arial" w:eastAsia="Arial" w:hAnsi="Arial"/>
                <w:sz w:val="14"/>
                <w:szCs w:val="14"/>
                <w:b w:val="1"/>
                <w:bCs w:val="1"/>
                <w:color w:val="auto"/>
                <w:w w:val="93"/>
              </w:rPr>
              <w:t>Investment Income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1"/>
                <w:szCs w:val="11"/>
                <w:color w:val="auto"/>
              </w:rPr>
            </w:pPr>
          </w:p>
        </w:tc>
        <w:tc>
          <w:tcPr>
            <w:tcW w:w="2340" w:type="dxa"/>
            <w:vAlign w:val="bottom"/>
            <w:gridSpan w:val="4"/>
          </w:tcPr>
          <w:p>
            <w:pPr>
              <w:jc w:val="center"/>
              <w:ind w:right="373"/>
              <w:spacing w:after="0" w:line="135" w:lineRule="exact"/>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left="274" w:hanging="274"/>
        <w:spacing w:after="0" w:line="272" w:lineRule="auto"/>
        <w:tabs>
          <w:tab w:leader="none" w:pos="271"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Company’s Corporate and Other segment owns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$265,000 and $747,000 in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4"/>
          </w:cols>
          <w:pgMar w:left="226" w:top="125" w:right="339" w:bottom="1440" w:gutter="0" w:footer="0" w:header="0"/>
        </w:sectPr>
      </w:pPr>
    </w:p>
    <w:bookmarkStart w:id="15" w:name="page16"/>
    <w:bookmarkEnd w:id="15"/>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13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left="274" w:hanging="274"/>
        <w:spacing w:after="0" w:line="301" w:lineRule="auto"/>
        <w:tabs>
          <w:tab w:leader="none" w:pos="268" w:val="left"/>
        </w:tabs>
        <w:numPr>
          <w:ilvl w:val="0"/>
          <w:numId w:val="12"/>
        </w:numPr>
        <w:rPr>
          <w:rFonts w:ascii="Arial" w:cs="Arial" w:eastAsia="Arial" w:hAnsi="Arial"/>
          <w:sz w:val="16"/>
          <w:szCs w:val="16"/>
          <w:color w:val="auto"/>
        </w:rPr>
      </w:pPr>
      <w:r>
        <w:rPr>
          <w:rFonts w:ascii="Arial" w:cs="Arial" w:eastAsia="Arial" w:hAnsi="Arial"/>
          <w:sz w:val="16"/>
          <w:szCs w:val="16"/>
          <w:color w:val="231F20"/>
        </w:rPr>
        <w:t xml:space="preserve">The Company's </w:t>
      </w:r>
      <w:r>
        <w:rPr>
          <w:rFonts w:ascii="Arial" w:cs="Arial" w:eastAsia="Arial" w:hAnsi="Arial"/>
          <w:sz w:val="16"/>
          <w:szCs w:val="16"/>
          <w:color w:val="000000"/>
        </w:rPr>
        <w:t>Excess and Surplus Lines and</w:t>
      </w:r>
      <w:r>
        <w:rPr>
          <w:rFonts w:ascii="Arial" w:cs="Arial" w:eastAsia="Arial" w:hAnsi="Arial"/>
          <w:sz w:val="16"/>
          <w:szCs w:val="16"/>
          <w:color w:val="231F20"/>
        </w:rPr>
        <w:t xml:space="preserve"> Corporate and Other segments have invested in notes receivable for renewable energy projects. At March 31, 2021, the Company held two notes issued by an </w:t>
      </w:r>
      <w:r>
        <w:rPr>
          <w:rFonts w:ascii="Arial" w:cs="Arial" w:eastAsia="Arial" w:hAnsi="Arial"/>
          <w:sz w:val="16"/>
          <w:szCs w:val="16"/>
          <w:color w:val="000000"/>
        </w:rPr>
        <w:t>entity for which two of our former directors serve as officers</w:t>
      </w:r>
      <w:r>
        <w:rPr>
          <w:rFonts w:ascii="Arial" w:cs="Arial" w:eastAsia="Arial" w:hAnsi="Arial"/>
          <w:sz w:val="16"/>
          <w:szCs w:val="16"/>
          <w:color w:val="231F20"/>
        </w:rPr>
        <w:t xml:space="preserve">. Interest on the notes, which mature in 2025, is fixed at 12%. Income from the notes was $234,000 and $166,000 for the </w:t>
      </w:r>
      <w:r>
        <w:rPr>
          <w:rFonts w:ascii="Arial" w:cs="Arial" w:eastAsia="Arial" w:hAnsi="Arial"/>
          <w:sz w:val="16"/>
          <w:szCs w:val="16"/>
          <w:color w:val="000000"/>
        </w:rPr>
        <w:t>three months ended</w:t>
      </w:r>
      <w:r>
        <w:rPr>
          <w:rFonts w:ascii="Arial" w:cs="Arial" w:eastAsia="Arial" w:hAnsi="Arial"/>
          <w:sz w:val="16"/>
          <w:szCs w:val="16"/>
          <w:color w:val="231F20"/>
        </w:rPr>
        <w:t xml:space="preserve"> March 31, 2021 and 2020, respectively ($104,000 and $— for the Excess and Surplus Lines segment and $130,000 and $166,000 for the Corporate and Other segment in the respective periods).</w:t>
      </w:r>
    </w:p>
    <w:p>
      <w:pPr>
        <w:spacing w:after="0" w:line="49" w:lineRule="exact"/>
        <w:rPr>
          <w:rFonts w:ascii="Arial" w:cs="Arial" w:eastAsia="Arial" w:hAnsi="Arial"/>
          <w:sz w:val="16"/>
          <w:szCs w:val="16"/>
          <w:color w:val="auto"/>
        </w:rPr>
      </w:pPr>
    </w:p>
    <w:p>
      <w:pPr>
        <w:jc w:val="both"/>
        <w:ind w:left="274" w:hanging="274"/>
        <w:spacing w:after="0" w:line="254" w:lineRule="auto"/>
        <w:tabs>
          <w:tab w:leader="none" w:pos="271"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Company owns investments in limited partnerships that invest in concentrated portfolios including publicly-traded small cap equities, loans of middle market private equity sponsored companies, and tranches of distressed home loans. </w:t>
      </w:r>
      <w:r>
        <w:rPr>
          <w:rFonts w:ascii="Arial" w:cs="Arial" w:eastAsia="Arial" w:hAnsi="Arial"/>
          <w:sz w:val="17"/>
          <w:szCs w:val="17"/>
          <w:color w:val="231F20"/>
        </w:rPr>
        <w:t>Income f</w:t>
      </w:r>
      <w:r>
        <w:rPr>
          <w:rFonts w:ascii="Arial" w:cs="Arial" w:eastAsia="Arial" w:hAnsi="Arial"/>
          <w:sz w:val="17"/>
          <w:szCs w:val="17"/>
          <w:color w:val="auto"/>
        </w:rPr>
        <w:t xml:space="preserve">rom the partnerships is recognized under the equity method of accounting. The Company’s Corporate and Other segment hold investments in limited partnerships with a total carrying value of $8.6 million at March 31, 2021. The Company recognized investment income of $754,000 and losses of $710,000 on these investments for the three months ended March 31, 2021 and </w:t>
      </w:r>
      <w:r>
        <w:rPr>
          <w:rFonts w:ascii="Arial" w:cs="Arial" w:eastAsia="Arial" w:hAnsi="Arial"/>
          <w:sz w:val="17"/>
          <w:szCs w:val="17"/>
          <w:color w:val="231F20"/>
        </w:rPr>
        <w:t>2020,</w:t>
      </w:r>
      <w:r>
        <w:rPr>
          <w:rFonts w:ascii="Arial" w:cs="Arial" w:eastAsia="Arial" w:hAnsi="Arial"/>
          <w:sz w:val="17"/>
          <w:szCs w:val="17"/>
          <w:color w:val="auto"/>
        </w:rPr>
        <w:t xml:space="preserve"> respectively. The Company’s Excess and Surplus Lines segment holds investments in limited partnerships with a total carrying value of $4.8 million at March 31, 2021. Investment income of $175,000 and $141,000 was recognized on the investments for the three months ended March 31, 2021 and </w:t>
      </w:r>
      <w:r>
        <w:rPr>
          <w:rFonts w:ascii="Arial" w:cs="Arial" w:eastAsia="Arial" w:hAnsi="Arial"/>
          <w:sz w:val="17"/>
          <w:szCs w:val="17"/>
          <w:color w:val="231F20"/>
        </w:rPr>
        <w:t>2020</w:t>
      </w:r>
      <w:r>
        <w:rPr>
          <w:rFonts w:ascii="Arial" w:cs="Arial" w:eastAsia="Arial" w:hAnsi="Arial"/>
          <w:sz w:val="17"/>
          <w:szCs w:val="17"/>
          <w:color w:val="auto"/>
        </w:rPr>
        <w:t>, respectively. At March 31, 2021, the Company’s Excess and Surplus Lines segment has outstanding commitments to invest another $7.9 million in these limited partnerships.</w:t>
      </w:r>
    </w:p>
    <w:p>
      <w:pPr>
        <w:spacing w:after="0" w:line="72" w:lineRule="exact"/>
        <w:rPr>
          <w:rFonts w:ascii="Arial" w:cs="Arial" w:eastAsia="Arial" w:hAnsi="Arial"/>
          <w:sz w:val="17"/>
          <w:szCs w:val="17"/>
          <w:color w:val="auto"/>
        </w:rPr>
      </w:pPr>
    </w:p>
    <w:p>
      <w:pPr>
        <w:jc w:val="both"/>
        <w:ind w:left="274" w:hanging="274"/>
        <w:spacing w:after="0" w:line="301" w:lineRule="auto"/>
        <w:tabs>
          <w:tab w:leader="none" w:pos="2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Company's Corporate and Other segment holds $4.5 million of subordinated notes issued by a bank holding company for which the Company’s Non-Executive Chairman was previously the Lead Independent Director and an investor and for which one of the Company’s directors was an investor and is currently a holder of the subordinated notes (the "Bank Holding Company"). Interest on the notes, which mature on August 12, 2023, is fixed at 7.6% per annum. Interest income on the notes was $86,000 for both three month periods ended March 31, 2021 and 2020, respectively.</w:t>
      </w:r>
    </w:p>
    <w:p>
      <w:pPr>
        <w:spacing w:after="0" w:line="49" w:lineRule="exact"/>
        <w:rPr>
          <w:sz w:val="20"/>
          <w:szCs w:val="20"/>
          <w:color w:val="auto"/>
        </w:rPr>
      </w:pPr>
    </w:p>
    <w:p>
      <w:pPr>
        <w:jc w:val="both"/>
        <w:ind w:left="94" w:firstLine="324"/>
        <w:spacing w:after="0" w:line="308" w:lineRule="auto"/>
        <w:rPr>
          <w:sz w:val="20"/>
          <w:szCs w:val="20"/>
          <w:color w:val="auto"/>
        </w:rPr>
      </w:pPr>
      <w:r>
        <w:rPr>
          <w:rFonts w:ascii="Arial" w:cs="Arial" w:eastAsia="Arial" w:hAnsi="Arial"/>
          <w:sz w:val="17"/>
          <w:szCs w:val="17"/>
          <w:color w:val="231F20"/>
        </w:rPr>
        <w:t>At March 31, 2021 and December 31, 2020, the Company held an investment in a CLO where one of the underlying loans was issued by the Bank Holding Company. The investment, with a carrying value of $252,000 at March 31, 2021, is classified as an available-for-sale fixed maturity.</w:t>
      </w:r>
    </w:p>
    <w:p>
      <w:pPr>
        <w:spacing w:after="0" w:line="34" w:lineRule="exact"/>
        <w:rPr>
          <w:sz w:val="20"/>
          <w:szCs w:val="20"/>
          <w:color w:val="auto"/>
        </w:rPr>
      </w:pPr>
    </w:p>
    <w:p>
      <w:pPr>
        <w:ind w:left="94"/>
        <w:spacing w:after="0"/>
        <w:tabs>
          <w:tab w:leader="none" w:pos="394"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Goodwill and Intangible Assets</w:t>
      </w:r>
    </w:p>
    <w:p>
      <w:pPr>
        <w:spacing w:after="0" w:line="121" w:lineRule="exact"/>
        <w:rPr>
          <w:sz w:val="20"/>
          <w:szCs w:val="20"/>
          <w:color w:val="auto"/>
        </w:rPr>
      </w:pPr>
    </w:p>
    <w:p>
      <w:pPr>
        <w:jc w:val="both"/>
        <w:ind w:left="94" w:firstLine="324"/>
        <w:spacing w:after="0" w:line="259"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March 31, 2021 and December 31, 2020.</w:t>
      </w:r>
    </w:p>
    <w:p>
      <w:pPr>
        <w:spacing w:after="0" w:line="79" w:lineRule="exact"/>
        <w:rPr>
          <w:sz w:val="20"/>
          <w:szCs w:val="20"/>
          <w:color w:val="auto"/>
        </w:rPr>
      </w:pPr>
    </w:p>
    <w:p>
      <w:pPr>
        <w:ind w:left="434"/>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9" w:lineRule="exact"/>
        <w:rPr>
          <w:sz w:val="20"/>
          <w:szCs w:val="20"/>
          <w:color w:val="auto"/>
        </w:rPr>
      </w:pPr>
    </w:p>
    <w:tbl>
      <w:tblPr>
        <w:tblLayout w:type="fixed"/>
        <w:tblInd w:w="94"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60" w:type="dxa"/>
            <w:vAlign w:val="bottom"/>
          </w:tcPr>
          <w:p>
            <w:pPr>
              <w:jc w:val="right"/>
              <w:ind w:right="17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1"/>
        </w:trPr>
        <w:tc>
          <w:tcPr>
            <w:tcW w:w="404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5"/>
          </w:tcPr>
          <w:p>
            <w:pPr>
              <w:ind w:left="70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34"/>
          </w:cols>
          <w:pgMar w:left="226"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loss per share computations contained in the condensed consolidated financial statements:</w:t>
      </w:r>
    </w:p>
    <w:p>
      <w:pPr>
        <w:spacing w:after="0" w:line="8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30"/>
        </w:trPr>
        <w:tc>
          <w:tcPr>
            <w:tcW w:w="8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0" w:type="dxa"/>
            <w:vAlign w:val="bottom"/>
            <w:gridSpan w:val="4"/>
          </w:tcPr>
          <w:p>
            <w:pPr>
              <w:jc w:val="right"/>
              <w:ind w:right="152"/>
              <w:spacing w:after="0" w:line="130" w:lineRule="exact"/>
              <w:rPr>
                <w:sz w:val="20"/>
                <w:szCs w:val="20"/>
                <w:color w:val="auto"/>
              </w:rPr>
            </w:pPr>
            <w:r>
              <w:rPr>
                <w:rFonts w:ascii="Arial" w:cs="Arial" w:eastAsia="Arial" w:hAnsi="Arial"/>
                <w:sz w:val="14"/>
                <w:szCs w:val="14"/>
                <w:b w:val="1"/>
                <w:bCs w:val="1"/>
                <w:i w:val="1"/>
                <w:iCs w:val="1"/>
                <w:color w:val="auto"/>
                <w:w w:val="90"/>
              </w:rPr>
              <w:t>(in thousands, except share and per share</w:t>
            </w:r>
          </w:p>
        </w:tc>
      </w:tr>
      <w:tr>
        <w:trPr>
          <w:trHeight w:val="186"/>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right"/>
              <w:ind w:right="70"/>
              <w:spacing w:after="0"/>
              <w:rPr>
                <w:sz w:val="20"/>
                <w:szCs w:val="20"/>
                <w:color w:val="auto"/>
              </w:rPr>
            </w:pPr>
            <w:r>
              <w:rPr>
                <w:rFonts w:ascii="Arial" w:cs="Arial" w:eastAsia="Arial" w:hAnsi="Arial"/>
                <w:sz w:val="14"/>
                <w:szCs w:val="14"/>
                <w:b w:val="1"/>
                <w:bCs w:val="1"/>
                <w:i w:val="1"/>
                <w:iCs w:val="1"/>
                <w:color w:val="auto"/>
              </w:rPr>
              <w:t>amounts)</w:t>
            </w:r>
          </w:p>
        </w:tc>
        <w:tc>
          <w:tcPr>
            <w:tcW w:w="1040" w:type="dxa"/>
            <w:vAlign w:val="bottom"/>
          </w:tcPr>
          <w:p>
            <w:pPr>
              <w:spacing w:after="0"/>
              <w:rPr>
                <w:sz w:val="16"/>
                <w:szCs w:val="16"/>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r>
      <w:tr>
        <w:trPr>
          <w:trHeight w:val="270"/>
        </w:trPr>
        <w:tc>
          <w:tcPr>
            <w:tcW w:w="8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30,713,986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30,476,307</w:t>
            </w: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equivalents</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30,713,986</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30,476,307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Common share equivalents</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2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57" w:lineRule="auto"/>
        <w:rPr>
          <w:sz w:val="20"/>
          <w:szCs w:val="20"/>
          <w:color w:val="auto"/>
        </w:rPr>
      </w:pPr>
      <w:r>
        <w:rPr>
          <w:rFonts w:ascii="Arial" w:cs="Arial" w:eastAsia="Arial" w:hAnsi="Arial"/>
          <w:sz w:val="17"/>
          <w:szCs w:val="17"/>
          <w:color w:val="auto"/>
        </w:rPr>
        <w:t>Common share equivalents of 306,712 and 309,443 were excluded from the calculation of diluted earnings per share for the three months ended March 31, 2021 and 2020, respectively, as net losses in the respective periods made the effects of all common share equivalents anti-dilutive.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Reserve for Losses and Loss Adjustment Expenses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 $335,000 allowance for credit losses on reinsurance balances at March 31, 2021 and March 31, 2020.</w:t>
      </w:r>
    </w:p>
    <w:p>
      <w:pPr>
        <w:spacing w:after="0" w:line="79"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losses and loss adjustment expenses net of reinsurance recoverables at beginning of period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1,386,061</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1,377,461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95,982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170,134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Deduct: Loss and loss adjustment expense payments net of reinsurance: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118,357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122,628</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Reserve for losses and loss adjustment expenses net of reinsurance recoverables at end of period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1,534,779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1,351,689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Reinsurance recoverables on unpaid losses and loss adjustment expenses 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879,067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691,669</w:t>
            </w:r>
          </w:p>
        </w:tc>
        <w:tc>
          <w:tcPr>
            <w:tcW w:w="0" w:type="dxa"/>
            <w:vAlign w:val="bottom"/>
          </w:tcPr>
          <w:p>
            <w:pPr>
              <w:spacing w:after="0"/>
              <w:rPr>
                <w:sz w:val="1"/>
                <w:szCs w:val="1"/>
                <w:color w:val="auto"/>
              </w:rPr>
            </w:pPr>
          </w:p>
        </w:tc>
      </w:tr>
      <w:tr>
        <w:trPr>
          <w:trHeight w:val="156"/>
        </w:trPr>
        <w:tc>
          <w:tcPr>
            <w:tcW w:w="8360" w:type="dxa"/>
            <w:vAlign w:val="bottom"/>
          </w:tcPr>
          <w:p>
            <w:pPr>
              <w:ind w:left="20"/>
              <w:spacing w:after="0" w:line="156" w:lineRule="exact"/>
              <w:rPr>
                <w:sz w:val="20"/>
                <w:szCs w:val="20"/>
                <w:color w:val="auto"/>
              </w:rPr>
            </w:pPr>
            <w:r>
              <w:rPr>
                <w:rFonts w:ascii="Arial" w:cs="Arial" w:eastAsia="Arial" w:hAnsi="Arial"/>
                <w:sz w:val="18"/>
                <w:szCs w:val="18"/>
                <w:color w:val="auto"/>
                <w:w w:val="94"/>
              </w:rPr>
              <w:t>Reserve for losses and loss adjustment expenses gross of reinsurance recoverables on unpaid losses and loss</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2,413,846</w:t>
            </w:r>
          </w:p>
        </w:tc>
        <w:tc>
          <w:tcPr>
            <w:tcW w:w="100" w:type="dxa"/>
            <w:vAlign w:val="bottom"/>
          </w:tcPr>
          <w:p>
            <w:pPr>
              <w:spacing w:after="0"/>
              <w:rPr>
                <w:sz w:val="13"/>
                <w:szCs w:val="13"/>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2,043,358</w:t>
            </w:r>
          </w:p>
        </w:tc>
        <w:tc>
          <w:tcPr>
            <w:tcW w:w="0" w:type="dxa"/>
            <w:vAlign w:val="bottom"/>
          </w:tcPr>
          <w:p>
            <w:pPr>
              <w:spacing w:after="0"/>
              <w:rPr>
                <w:sz w:val="1"/>
                <w:szCs w:val="1"/>
                <w:color w:val="auto"/>
              </w:rPr>
            </w:pPr>
          </w:p>
        </w:tc>
      </w:tr>
      <w:tr>
        <w:trPr>
          <w:trHeight w:val="208"/>
        </w:trPr>
        <w:tc>
          <w:tcPr>
            <w:tcW w:w="8360" w:type="dxa"/>
            <w:vAlign w:val="bottom"/>
          </w:tcPr>
          <w:p>
            <w:pPr>
              <w:ind w:left="20"/>
              <w:spacing w:after="0" w:line="202" w:lineRule="exact"/>
              <w:rPr>
                <w:sz w:val="20"/>
                <w:szCs w:val="20"/>
                <w:color w:val="auto"/>
              </w:rPr>
            </w:pPr>
            <w:r>
              <w:rPr>
                <w:rFonts w:ascii="Arial" w:cs="Arial" w:eastAsia="Arial" w:hAnsi="Arial"/>
                <w:sz w:val="18"/>
                <w:szCs w:val="18"/>
                <w:color w:val="auto"/>
              </w:rPr>
              <w:t>adjustment expenses at end of period</w:t>
            </w: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Company experienced $170.1 million of net adverse reserve development in the three months ended March 31, 2021 on the reserve for losses and loss adjustment expenses held at December 31, 2020. This reserve development included $168.7 million of net adverse development in the Excess and Surplus Lines segment including $170.0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 The Company also experienced $1.0 million of net favorable development in the Specialty Admitted Insurance segment due to favorable development in the workers' compensation business for prior accident years, and $2.5 million of net adverse development in the Casualty Reinsurance segment.</w:t>
      </w:r>
    </w:p>
    <w:p>
      <w:pPr>
        <w:spacing w:after="0" w:line="7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experienced $874,000 of net adverse reserve development in the three months ended March 31, 2020 on the reserve for losses and loss adjustment expenses held at December 31, 2019. This reserve development included $3,000 of favorable development in the Excess and Surplus Lines segment, $1.0 million of favorable development in the Specialty Admitted Insurance segment experienced due to favorable development in the workers' compensation business for prior accident years, and $1.9 million of adverse development in the Casualty Reinsurance segment.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w:t>
      </w:r>
    </w:p>
    <w:p>
      <w:pPr>
        <w:spacing w:after="0" w:line="139"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3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180"/>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3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arising during the period, before U.S.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r>
      <w:tr>
        <w:trPr>
          <w:trHeight w:val="229"/>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arising during the period, net of U.S.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for investment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(42,688)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 xml:space="preserve">In addition to the $1.0 million and $214,000 of net realized investment gains on available-for-sale fixed maturities for the three </w:t>
      </w:r>
      <w:r>
        <w:rPr>
          <w:rFonts w:ascii="Arial" w:cs="Arial" w:eastAsia="Arial" w:hAnsi="Arial"/>
          <w:sz w:val="16"/>
          <w:szCs w:val="16"/>
          <w:color w:val="231F20"/>
        </w:rPr>
        <w:t>months ended</w:t>
      </w:r>
      <w:r>
        <w:rPr>
          <w:rFonts w:ascii="Arial" w:cs="Arial" w:eastAsia="Arial" w:hAnsi="Arial"/>
          <w:sz w:val="16"/>
          <w:szCs w:val="16"/>
          <w:color w:val="auto"/>
        </w:rPr>
        <w:t xml:space="preserve"> </w:t>
      </w:r>
      <w:r>
        <w:rPr>
          <w:rFonts w:ascii="Arial" w:cs="Arial" w:eastAsia="Arial" w:hAnsi="Arial"/>
          <w:sz w:val="16"/>
          <w:szCs w:val="16"/>
          <w:color w:val="231F20"/>
        </w:rPr>
        <w:t>March 31, 2021 and 2020, respectively</w:t>
      </w:r>
      <w:r>
        <w:rPr>
          <w:rFonts w:ascii="Arial" w:cs="Arial" w:eastAsia="Arial" w:hAnsi="Arial"/>
          <w:sz w:val="16"/>
          <w:szCs w:val="16"/>
          <w:color w:val="000000"/>
        </w:rPr>
        <w:t>, the Company also recognized net realized and unrealized investment gains (losses) in the respective periods of $3.8</w:t>
      </w:r>
      <w:r>
        <w:rPr>
          <w:rFonts w:ascii="Arial" w:cs="Arial" w:eastAsia="Arial" w:hAnsi="Arial"/>
          <w:sz w:val="16"/>
          <w:szCs w:val="16"/>
          <w:color w:val="231F20"/>
        </w:rPr>
        <w:t xml:space="preserve"> </w:t>
      </w:r>
      <w:r>
        <w:rPr>
          <w:rFonts w:ascii="Arial" w:cs="Arial" w:eastAsia="Arial" w:hAnsi="Arial"/>
          <w:sz w:val="16"/>
          <w:szCs w:val="16"/>
          <w:color w:val="000000"/>
        </w:rPr>
        <w:t>million and $(45.2) million on its investments in bank loan participations and $1.4 million and $(13.5) million on its investments in equity securities.</w:t>
      </w:r>
    </w:p>
    <w:p>
      <w:pPr>
        <w:spacing w:after="0" w:line="3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 involved in various legal proceedings, including commercial matters and litigation regarding insurance claims arising in the ordinary course of business. The Company believes that the outcome of such matters, individually and in the aggregate, is not reasonably likely to have a material adverse effect on its consolidated financial position, results of operations or cash flows.</w:t>
      </w:r>
    </w:p>
    <w:p>
      <w:pPr>
        <w:spacing w:after="0" w:line="7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2020.</w:t>
      </w:r>
    </w:p>
    <w:p>
      <w:pPr>
        <w:spacing w:after="0" w:line="38"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JRG Re has entered into three letter of credit facilities with banks as security to third-party reinsureds on reinsurance assumed by JRG Re. JRG Re has established custodial accounts to secure these letters of credit. Under a $75.0 million facility, $7.3 million of letters of credit were issued through March 31, 2021 which were secured by deposits of $14.4 million. Under a $102.5 million facility, $89.7 million of letters of credit were issued through March 31, 2021 which were secured by deposits of $113.6 million. Under a $100.0 million facility, $15.2 million of letters of credit were issued through March 31, 2021 which were secured by deposits of $28.1 million. JRG Re has also established trust accounts to secure its obligations to selected reinsureds. The total amount deposited in the trust accounts for the benefit of third-party reinsureds was $304.4 million at March 31, 2021.</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previously issued a set of insurance contracts to Rasier LLC and its affiliates (collectively,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March 31, 2021, the Company held collateral funds of $751.7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less loss and loss adjustment expenses and other operating expenses of the operating segments. Gross fee income of the Excess and Surplus Lines segment and Specialty Admitted Insurance segment is included in the respective segment’s underwriting profit (loss). Gross fee income of $927,000 and $1.6 million ($— and $1.3 million for the Excess and Surplus Lines segment and $927,000 and $335,000 for the Specialty Admitted Insurance segment) was included in other income and in underwriting profit (loss) for the three </w:t>
      </w:r>
      <w:r>
        <w:rPr>
          <w:rFonts w:ascii="Arial" w:cs="Arial" w:eastAsia="Arial" w:hAnsi="Arial"/>
          <w:sz w:val="16"/>
          <w:szCs w:val="16"/>
          <w:color w:val="231F20"/>
        </w:rPr>
        <w:t>months ended March 31, 2021 and 2020, respectively.</w:t>
      </w:r>
      <w:r>
        <w:rPr>
          <w:rFonts w:ascii="Arial" w:cs="Arial" w:eastAsia="Arial" w:hAnsi="Arial"/>
          <w:sz w:val="16"/>
          <w:szCs w:val="16"/>
          <w:color w:val="auto"/>
        </w:rPr>
        <w:t xml:space="preserve"> Segment results are reported prior to the effects of intercompany reinsurance agreements among the Company’s insurance subsidiaries.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93"/>
              <w:spacing w:after="0"/>
              <w:rPr>
                <w:sz w:val="20"/>
                <w:szCs w:val="20"/>
                <w:color w:val="auto"/>
              </w:rPr>
            </w:pPr>
            <w:r>
              <w:rPr>
                <w:rFonts w:ascii="Arial" w:cs="Arial" w:eastAsia="Arial" w:hAnsi="Arial"/>
                <w:sz w:val="14"/>
                <w:szCs w:val="14"/>
                <w:b w:val="1"/>
                <w:bCs w:val="1"/>
                <w:color w:val="auto"/>
                <w:w w:val="88"/>
              </w:rPr>
              <w:t>Excess and</w:t>
            </w:r>
          </w:p>
        </w:tc>
        <w:tc>
          <w:tcPr>
            <w:tcW w:w="28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1"/>
              </w:rPr>
              <w:t>Specialty</w:t>
            </w:r>
          </w:p>
        </w:tc>
        <w:tc>
          <w:tcPr>
            <w:tcW w:w="240" w:type="dxa"/>
            <w:vAlign w:val="bottom"/>
          </w:tcPr>
          <w:p>
            <w:pPr>
              <w:spacing w:after="0"/>
              <w:rPr>
                <w:sz w:val="14"/>
                <w:szCs w:val="14"/>
                <w:color w:val="auto"/>
              </w:rPr>
            </w:pPr>
          </w:p>
        </w:tc>
        <w:tc>
          <w:tcPr>
            <w:tcW w:w="122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2"/>
              </w:rPr>
              <w:t>Casualty</w:t>
            </w:r>
          </w:p>
        </w:tc>
        <w:tc>
          <w:tcPr>
            <w:tcW w:w="280" w:type="dxa"/>
            <w:vAlign w:val="bottom"/>
          </w:tcPr>
          <w:p>
            <w:pPr>
              <w:spacing w:after="0"/>
              <w:rPr>
                <w:sz w:val="14"/>
                <w:szCs w:val="14"/>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b w:val="1"/>
                <w:bCs w:val="1"/>
                <w:color w:val="auto"/>
                <w:w w:val="95"/>
              </w:rPr>
              <w:t>Corporate</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93"/>
              <w:spacing w:after="0" w:line="135" w:lineRule="exact"/>
              <w:rPr>
                <w:sz w:val="20"/>
                <w:szCs w:val="20"/>
                <w:color w:val="auto"/>
              </w:rPr>
            </w:pPr>
            <w:r>
              <w:rPr>
                <w:rFonts w:ascii="Arial" w:cs="Arial" w:eastAsia="Arial" w:hAnsi="Arial"/>
                <w:sz w:val="14"/>
                <w:szCs w:val="14"/>
                <w:b w:val="1"/>
                <w:bCs w:val="1"/>
                <w:color w:val="auto"/>
                <w:w w:val="91"/>
              </w:rPr>
              <w:t>Surplus</w:t>
            </w:r>
          </w:p>
        </w:tc>
        <w:tc>
          <w:tcPr>
            <w:tcW w:w="280" w:type="dxa"/>
            <w:vAlign w:val="bottom"/>
          </w:tcPr>
          <w:p>
            <w:pPr>
              <w:spacing w:after="0"/>
              <w:rPr>
                <w:sz w:val="11"/>
                <w:szCs w:val="11"/>
                <w:color w:val="auto"/>
              </w:rPr>
            </w:pPr>
          </w:p>
        </w:tc>
        <w:tc>
          <w:tcPr>
            <w:tcW w:w="1140" w:type="dxa"/>
            <w:vAlign w:val="bottom"/>
          </w:tcPr>
          <w:p>
            <w:pPr>
              <w:jc w:val="center"/>
              <w:ind w:right="173"/>
              <w:spacing w:after="0" w:line="135" w:lineRule="exact"/>
              <w:rPr>
                <w:sz w:val="20"/>
                <w:szCs w:val="20"/>
                <w:color w:val="auto"/>
              </w:rPr>
            </w:pPr>
            <w:r>
              <w:rPr>
                <w:rFonts w:ascii="Arial" w:cs="Arial" w:eastAsia="Arial" w:hAnsi="Arial"/>
                <w:sz w:val="14"/>
                <w:szCs w:val="14"/>
                <w:b w:val="1"/>
                <w:bCs w:val="1"/>
                <w:color w:val="auto"/>
                <w:w w:val="98"/>
              </w:rPr>
              <w:t>Admitted</w:t>
            </w:r>
          </w:p>
        </w:tc>
        <w:tc>
          <w:tcPr>
            <w:tcW w:w="24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jc w:val="center"/>
              <w:ind w:right="153"/>
              <w:spacing w:after="0" w:line="135" w:lineRule="exact"/>
              <w:rPr>
                <w:sz w:val="20"/>
                <w:szCs w:val="20"/>
                <w:color w:val="auto"/>
              </w:rPr>
            </w:pPr>
            <w:r>
              <w:rPr>
                <w:rFonts w:ascii="Arial" w:cs="Arial" w:eastAsia="Arial" w:hAnsi="Arial"/>
                <w:sz w:val="14"/>
                <w:szCs w:val="14"/>
                <w:b w:val="1"/>
                <w:bCs w:val="1"/>
                <w:color w:val="auto"/>
                <w:w w:val="96"/>
              </w:rPr>
              <w:t>and</w:t>
            </w:r>
          </w:p>
        </w:tc>
        <w:tc>
          <w:tcPr>
            <w:tcW w:w="400" w:type="dxa"/>
            <w:vAlign w:val="bottom"/>
          </w:tcPr>
          <w:p>
            <w:pPr>
              <w:spacing w:after="0"/>
              <w:rPr>
                <w:sz w:val="11"/>
                <w:szCs w:val="11"/>
                <w:color w:val="auto"/>
              </w:rPr>
            </w:pPr>
          </w:p>
        </w:tc>
        <w:tc>
          <w:tcPr>
            <w:tcW w:w="102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Lines</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Insurance</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Other</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13"/>
              <w:spacing w:after="0"/>
              <w:rPr>
                <w:sz w:val="20"/>
                <w:szCs w:val="20"/>
                <w:color w:val="auto"/>
              </w:rPr>
            </w:pPr>
            <w:r>
              <w:rPr>
                <w:rFonts w:ascii="Arial" w:cs="Arial" w:eastAsia="Arial" w:hAnsi="Arial"/>
                <w:sz w:val="14"/>
                <w:szCs w:val="14"/>
                <w:b w:val="1"/>
                <w:bCs w:val="1"/>
                <w:i w:val="1"/>
                <w:iCs w:val="1"/>
                <w:color w:val="auto"/>
                <w:w w:val="89"/>
              </w:rPr>
              <w:t>(in thousands)</w:t>
            </w: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181,358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127,036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64,861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373,255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113,708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16,357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30,528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(150,946)</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1,266</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(1,625)</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(151,305)</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10,556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2,216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118,796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18,565</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45,517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182,980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2,129,985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980,824</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1,930,747</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68,151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5,109,707</w:t>
            </w:r>
          </w:p>
        </w:tc>
        <w:tc>
          <w:tcPr>
            <w:tcW w:w="0" w:type="dxa"/>
            <w:vAlign w:val="bottom"/>
          </w:tcPr>
          <w:p>
            <w:pPr>
              <w:spacing w:after="0"/>
              <w:rPr>
                <w:sz w:val="1"/>
                <w:szCs w:val="1"/>
                <w:color w:val="auto"/>
              </w:rPr>
            </w:pPr>
          </w:p>
        </w:tc>
      </w:tr>
      <w:tr>
        <w:trPr>
          <w:trHeight w:val="257"/>
        </w:trPr>
        <w:tc>
          <w:tcPr>
            <w:tcW w:w="4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136,197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102,802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44,842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283,841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99,739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13,283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32,896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145,918</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8,112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7,941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928</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11,604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363</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2,876</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83,829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12,673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13,280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28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2,293,444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829,699</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1,824,729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48,938</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underwriting (loss) profit of the operating segments by individual segment to consolidated loss before income taxes:</w:t>
      </w:r>
    </w:p>
    <w:p>
      <w:pPr>
        <w:spacing w:after="0" w:line="16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insurance segments: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(150,946)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insurance segments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20,836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(58,407)</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340" w:right="7280" w:hanging="332"/>
        <w:spacing w:after="0" w:line="446" w:lineRule="auto"/>
        <w:tabs>
          <w:tab w:leader="none" w:pos="331"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Operating Expenses and Other Expenses </w:t>
      </w:r>
      <w:r>
        <w:rPr>
          <w:rFonts w:ascii="Arial" w:cs="Arial" w:eastAsia="Arial" w:hAnsi="Arial"/>
          <w:sz w:val="16"/>
          <w:szCs w:val="16"/>
          <w:color w:val="auto"/>
        </w:rPr>
        <w:t>Other operating expenses consist of the following:</w:t>
      </w:r>
    </w:p>
    <w:p>
      <w:pPr>
        <w:jc w:val="center"/>
        <w:ind w:left="826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180"/>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21,475</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17,850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19,226</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47,381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Other expenses of $621,000 for the three </w:t>
      </w:r>
      <w:r>
        <w:rPr>
          <w:rFonts w:ascii="Arial" w:cs="Arial" w:eastAsia="Arial" w:hAnsi="Arial"/>
          <w:sz w:val="16"/>
          <w:szCs w:val="16"/>
          <w:color w:val="231F20"/>
        </w:rPr>
        <w:t>months ended March 31, 2021</w:t>
      </w:r>
      <w:r>
        <w:rPr>
          <w:rFonts w:ascii="Arial" w:cs="Arial" w:eastAsia="Arial" w:hAnsi="Arial"/>
          <w:sz w:val="16"/>
          <w:szCs w:val="16"/>
          <w:color w:val="auto"/>
        </w:rPr>
        <w:t xml:space="preserve"> primarily consist of employee severance and certain legal and professional consulting fees related to various strategic initiatives. There were no expenses classified as other for the three </w:t>
      </w:r>
      <w:r>
        <w:rPr>
          <w:rFonts w:ascii="Arial" w:cs="Arial" w:eastAsia="Arial" w:hAnsi="Arial"/>
          <w:sz w:val="16"/>
          <w:szCs w:val="16"/>
          <w:color w:val="231F20"/>
        </w:rPr>
        <w:t>months ended March 31, 2020.</w:t>
      </w:r>
    </w:p>
    <w:p>
      <w:pPr>
        <w:spacing w:after="0" w:line="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62"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8"/>
          <w:szCs w:val="18"/>
          <w:i w:val="1"/>
          <w:iCs w:val="1"/>
          <w:color w:val="auto"/>
        </w:rPr>
        <w:t>e.g.</w:t>
      </w:r>
      <w:r>
        <w:rPr>
          <w:rFonts w:ascii="Arial" w:cs="Arial" w:eastAsia="Arial" w:hAnsi="Arial"/>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firstLine="364"/>
        <w:spacing w:after="0" w:line="272"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March 31, 2021 are summarized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319,765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319,765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299,956</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762,693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762,693</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328,180</w:t>
            </w:r>
          </w:p>
        </w:tc>
        <w:tc>
          <w:tcPr>
            <w:tcW w:w="0" w:type="dxa"/>
            <w:vAlign w:val="bottom"/>
          </w:tcPr>
          <w:p>
            <w:pPr>
              <w:spacing w:after="0"/>
              <w:rPr>
                <w:sz w:val="1"/>
                <w:szCs w:val="1"/>
                <w:color w:val="auto"/>
              </w:rPr>
            </w:pPr>
          </w:p>
        </w:tc>
      </w:tr>
      <w:tr>
        <w:trPr>
          <w:trHeight w:val="176"/>
        </w:trPr>
        <w:tc>
          <w:tcPr>
            <w:tcW w:w="5540" w:type="dxa"/>
            <w:vAlign w:val="bottom"/>
          </w:tcPr>
          <w:p>
            <w:pPr>
              <w:ind w:left="26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89,118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89,557</w:t>
            </w:r>
          </w:p>
        </w:tc>
        <w:tc>
          <w:tcPr>
            <w:tcW w:w="0" w:type="dxa"/>
            <w:vAlign w:val="bottom"/>
          </w:tcPr>
          <w:p>
            <w:pPr>
              <w:spacing w:after="0"/>
              <w:rPr>
                <w:sz w:val="1"/>
                <w:szCs w:val="1"/>
                <w:color w:val="auto"/>
              </w:rPr>
            </w:pPr>
          </w:p>
        </w:tc>
      </w:tr>
      <w:tr>
        <w:trPr>
          <w:trHeight w:val="229"/>
        </w:trPr>
        <w:tc>
          <w:tcPr>
            <w:tcW w:w="554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1,800,151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62,079</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28,798</w:t>
            </w:r>
          </w:p>
        </w:tc>
        <w:tc>
          <w:tcPr>
            <w:tcW w:w="0" w:type="dxa"/>
            <w:vAlign w:val="bottom"/>
          </w:tcPr>
          <w:p>
            <w:pPr>
              <w:spacing w:after="0"/>
              <w:rPr>
                <w:sz w:val="1"/>
                <w:szCs w:val="1"/>
                <w:color w:val="auto"/>
              </w:rPr>
            </w:pPr>
          </w:p>
        </w:tc>
      </w:tr>
      <w:tr>
        <w:trPr>
          <w:trHeight w:val="221"/>
        </w:trPr>
        <w:tc>
          <w:tcPr>
            <w:tcW w:w="5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equity securities</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69,413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90,877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ind w:left="20"/>
              <w:spacing w:after="0" w:line="203" w:lineRule="exact"/>
              <w:rPr>
                <w:sz w:val="20"/>
                <w:szCs w:val="20"/>
                <w:color w:val="auto"/>
              </w:rPr>
            </w:pPr>
            <w:r>
              <w:rPr>
                <w:rFonts w:ascii="Arial" w:cs="Arial" w:eastAsia="Arial" w:hAnsi="Arial"/>
                <w:sz w:val="18"/>
                <w:szCs w:val="18"/>
                <w:color w:val="auto"/>
              </w:rPr>
              <w:t>Bank loan participations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160,581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299</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160,880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51,198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Assets measured at fair value on a recurring basis as of December 31, 2020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3"/>
              </w:rPr>
              <w:t>Fair Value Measurements Using</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1"/>
                <w:szCs w:val="11"/>
                <w:color w:val="auto"/>
              </w:rPr>
            </w:pPr>
          </w:p>
        </w:tc>
        <w:tc>
          <w:tcPr>
            <w:tcW w:w="12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Unobservable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1</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296,405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6"/>
        </w:trPr>
        <w:tc>
          <w:tcPr>
            <w:tcW w:w="5540" w:type="dxa"/>
            <w:vAlign w:val="bottom"/>
          </w:tcPr>
          <w:p>
            <w:pPr>
              <w:ind w:left="260"/>
              <w:spacing w:after="0" w:line="176"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9"/>
        </w:trPr>
        <w:tc>
          <w:tcPr>
            <w:tcW w:w="5540" w:type="dxa"/>
            <w:vAlign w:val="bottom"/>
          </w:tcPr>
          <w:p>
            <w:pPr>
              <w:ind w:left="440"/>
              <w:spacing w:after="0"/>
              <w:rPr>
                <w:sz w:val="20"/>
                <w:szCs w:val="20"/>
                <w:color w:val="auto"/>
              </w:rPr>
            </w:pPr>
            <w:r>
              <w:rPr>
                <w:rFonts w:ascii="Arial" w:cs="Arial" w:eastAsia="Arial" w:hAnsi="Arial"/>
                <w:sz w:val="18"/>
                <w:szCs w:val="18"/>
                <w:color w:val="auto"/>
              </w:rPr>
              <w:t>government</w:t>
            </w:r>
          </w:p>
        </w:tc>
        <w:tc>
          <w:tcPr>
            <w:tcW w:w="1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30"/>
        </w:trPr>
        <w:tc>
          <w:tcPr>
            <w:tcW w:w="55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540" w:type="dxa"/>
            <w:vAlign w:val="bottom"/>
          </w:tcPr>
          <w:p>
            <w:pPr>
              <w:ind w:left="20"/>
              <w:spacing w:after="0" w:line="203" w:lineRule="exact"/>
              <w:rPr>
                <w:sz w:val="20"/>
                <w:szCs w:val="20"/>
                <w:color w:val="auto"/>
              </w:rPr>
            </w:pPr>
            <w:r>
              <w:rPr>
                <w:rFonts w:ascii="Arial" w:cs="Arial" w:eastAsia="Arial" w:hAnsi="Arial"/>
                <w:sz w:val="18"/>
                <w:szCs w:val="18"/>
                <w:color w:val="auto"/>
              </w:rPr>
              <w:t>Bank loan participations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147,296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8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8"/>
              </w:rPr>
              <w:t>March 31, 2020</w:t>
            </w:r>
          </w:p>
        </w:tc>
      </w:tr>
      <w:tr>
        <w:trPr>
          <w:trHeight w:val="181"/>
        </w:trPr>
        <w:tc>
          <w:tcPr>
            <w:tcW w:w="8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4"/>
          </w:tcPr>
          <w:p>
            <w:pPr>
              <w:jc w:val="right"/>
              <w:ind w:right="872"/>
              <w:spacing w:after="0"/>
              <w:rPr>
                <w:sz w:val="20"/>
                <w:szCs w:val="20"/>
                <w:color w:val="auto"/>
              </w:rPr>
            </w:pPr>
            <w:r>
              <w:rPr>
                <w:rFonts w:ascii="Arial" w:cs="Arial" w:eastAsia="Arial" w:hAnsi="Arial"/>
                <w:sz w:val="14"/>
                <w:szCs w:val="14"/>
                <w:b w:val="1"/>
                <w:bCs w:val="1"/>
                <w:i w:val="1"/>
                <w:iCs w:val="1"/>
                <w:color w:val="auto"/>
              </w:rPr>
              <w:t>(in thousands)</w:t>
            </w:r>
          </w:p>
        </w:tc>
      </w:tr>
      <w:tr>
        <w:trPr>
          <w:trHeight w:val="233"/>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Transfers out of Level 3</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in to Level 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Maturities, calls and paydowns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Included in earnings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8420" w:type="dxa"/>
            <w:vAlign w:val="bottom"/>
          </w:tcPr>
          <w:p>
            <w:pPr>
              <w:ind w:left="140"/>
              <w:spacing w:after="0"/>
              <w:rPr>
                <w:sz w:val="20"/>
                <w:szCs w:val="20"/>
                <w:color w:val="auto"/>
              </w:rPr>
            </w:pPr>
            <w:r>
              <w:rPr>
                <w:rFonts w:ascii="Arial" w:cs="Arial" w:eastAsia="Arial" w:hAnsi="Arial"/>
                <w:sz w:val="18"/>
                <w:szCs w:val="18"/>
                <w:color w:val="auto"/>
              </w:rPr>
              <w:t>Included in other comprehensive income</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held one bank loan participation and one equity security at March 31,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$299,000 at March 31, 2021 and $980,000 at December 31, 2020.</w:t>
      </w:r>
    </w:p>
    <w:p>
      <w:pPr>
        <w:spacing w:after="0" w:line="4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Company held one equity security at December 31, 2019 and three bank loan participations and two equity securities at March 31, 2020 for which the fair value was determined using significant unobservable inputs (Level 3). A market approach</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using prices in trades of comparable securities was utilized to determine a fair value for the securities of $1.0 million at March 31, 2020 and $43,000 at December 31, 2019.</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three months ended March 31, 2021 or 2020. The Company recognizes transfers between levels at the beginning of the reporting period.</w:t>
      </w:r>
    </w:p>
    <w:p>
      <w:pPr>
        <w:spacing w:after="0" w:line="62"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0"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2021 and December 31, 2020, there were no investments for which external sources were unavailable to determine fair value.</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3"/>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ind w:right="335"/>
              <w:spacing w:after="0" w:line="135"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1"/>
                <w:szCs w:val="11"/>
                <w:color w:val="auto"/>
              </w:rPr>
            </w:pPr>
          </w:p>
        </w:tc>
        <w:tc>
          <w:tcPr>
            <w:tcW w:w="980" w:type="dxa"/>
            <w:vAlign w:val="bottom"/>
          </w:tcPr>
          <w:p>
            <w:pPr>
              <w:jc w:val="right"/>
              <w:ind w:right="315"/>
              <w:spacing w:after="0" w:line="135"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1"/>
                <w:szCs w:val="11"/>
                <w:color w:val="auto"/>
              </w:rPr>
            </w:pP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1,800,151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1,800,151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1,783,642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90,877</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88,975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160,880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160,880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147,604</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183,491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162,260</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751,668</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751,668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859,920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51,198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130,289</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4,500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245,670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262,300</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250,953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104,055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110,612</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fair values of other invested assets-notes receivable, senior debt, and junior subordinated debt at March 31, 2021 and December 31, 2020 were determined by calculating the present value of expected future cash flows under the terms of the note agreements or debt agreements, as applicable, discounted at an estimated market rate of interest at March 31, 2021 and December 31, 2020, respectively.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values of senior debt and junior subordinated debt at March 31, 2021 and December 31, 2020 were determined using inputs to the valuation methodology that are unobservable (Level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2021, the Company had a drawn balance of $185.8 million outstanding on the $212.5 million unsecured revolving facility in its $315.0 million senior revolving credit facility (as amended or amended and restated, the "2013 Facility”). The 2013 Facility contains certain financial and other covenants (including minimum net worth, maximum ratio of total adjusted debt outstanding to total capitalization, and financial strength ratings) with which the Company was in compliance at March 31, 2021. In the three months ended March 31, 2020, the Company drew $60.0 million on the unsecured revolver as a precautionary measure to increase the Company's cash position and preserve financial flexibility in light of uncertainty in the global markets resulting from the coronavirus (COVID-19) outbreak.</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March 31, 2021, unsecured loans of $61.5 million and secured letters of credit totaling $15.2 million were outstanding under a credit agreement (the "2017 Facility") that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March 31, 2021. In the three months ended March 31, 2020, the Company drew $59.0 million of unsecured capacity as a precautionary measure to increase the Company's cash position and preserve financial flexibility in light of uncertainty in the global markets resulting from the coronavirus (COVID-19) outbreak.</w:t>
      </w:r>
    </w:p>
    <w:p>
      <w:pPr>
        <w:spacing w:after="0" w:line="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Capital Stock and Equity Awards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issued 125,669 common shares in the three months ended March 31, 2021. 16,471 of the new shares were related to stock option exercises and 109,198 were related to vesting of restricted share units (“RSUs”). The total common shares outstanding increased from 30,649,261 at December 31, 2020 to 30,774,930 at March 31, 2021.</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declared the following dividends during the first three months of 2021 and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8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Dividend per</w:t>
            </w: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Payable to Shareholders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40" w:type="dxa"/>
            <w:vAlign w:val="bottom"/>
          </w:tcPr>
          <w:p>
            <w:pPr>
              <w:jc w:val="right"/>
              <w:ind w:right="195"/>
              <w:spacing w:after="0"/>
              <w:rPr>
                <w:sz w:val="20"/>
                <w:szCs w:val="20"/>
                <w:color w:val="auto"/>
              </w:rPr>
            </w:pPr>
            <w:r>
              <w:rPr>
                <w:rFonts w:ascii="Arial" w:cs="Arial" w:eastAsia="Arial" w:hAnsi="Arial"/>
                <w:sz w:val="16"/>
                <w:szCs w:val="16"/>
                <w:b w:val="1"/>
                <w:bCs w:val="1"/>
                <w:color w:val="auto"/>
              </w:rPr>
              <w:t>Total Amount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Common Share</w:t>
            </w: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5"/>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53"/>
        </w:trPr>
        <w:tc>
          <w:tcPr>
            <w:tcW w:w="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5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March 15, 2021</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March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February 19,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0"/>
                <w:szCs w:val="20"/>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16, 2020</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March 31, 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20" w:firstLine="364"/>
        <w:spacing w:after="0" w:line="308" w:lineRule="auto"/>
        <w:rPr>
          <w:sz w:val="20"/>
          <w:szCs w:val="20"/>
          <w:color w:val="auto"/>
        </w:rPr>
      </w:pPr>
      <w:r>
        <w:rPr>
          <w:rFonts w:ascii="Arial" w:cs="Arial" w:eastAsia="Arial" w:hAnsi="Arial"/>
          <w:sz w:val="17"/>
          <w:szCs w:val="17"/>
          <w:color w:val="auto"/>
        </w:rPr>
        <w:t>Included in the total dividends for each of the three months ended March 31, 2021 and 2020, respectively, are $113,000 of dividend equivalents on unvested RSUs. The balance of dividends payable on unvested RSUs was $396,000 at March 31, 2021 and $663,000 at December 31,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March 31, 2021, 1,226,493 shares are available for grant.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March 31, 2021, 94,781 shares are available for grant.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(29,884)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640,606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March 31, 2021 was 1.9 years.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9"/>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(161,004)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(142,830)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8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81"/>
        </w:trPr>
        <w:tc>
          <w:tcPr>
            <w:tcW w:w="8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7"/>
              </w:rPr>
              <w:t>1,905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90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294</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r>
    </w:tbl>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 Company had $16.2 million of unrecognized share based compensation expense expected to be charged to earnings over a weighted-average period of 2.3 years.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April 27, 2021, the Board of Directors declared a cash dividend of $0.30 per common share. The dividend is payable on June 30, 2021 to shareholders of record on June 14, 2021.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2020. The results of operations for the three months ended March 31, 2021 are not necessarily indicative of the results that may be expected for the full year ending December 31, 2021,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2020.</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75"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MGAs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This segment has admitted licenses and the authority to write excess and surplus lines insurance in 50 states and the District of Columbia;</w:t>
      </w:r>
    </w:p>
    <w:p>
      <w:pPr>
        <w:spacing w:after="0" w:line="71" w:lineRule="exact"/>
        <w:rPr>
          <w:rFonts w:ascii="Arial" w:cs="Arial" w:eastAsia="Arial" w:hAnsi="Arial"/>
          <w:sz w:val="17"/>
          <w:szCs w:val="17"/>
          <w:color w:val="auto"/>
        </w:rPr>
      </w:pPr>
    </w:p>
    <w:p>
      <w:pPr>
        <w:jc w:val="both"/>
        <w:ind w:left="660" w:hanging="328"/>
        <w:spacing w:after="0" w:line="279"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63" w:lineRule="exact"/>
        <w:rPr>
          <w:rFonts w:ascii="Arial" w:cs="Arial" w:eastAsia="Arial" w:hAnsi="Arial"/>
          <w:sz w:val="17"/>
          <w:szCs w:val="17"/>
          <w:color w:val="auto"/>
        </w:rPr>
      </w:pPr>
    </w:p>
    <w:p>
      <w:pPr>
        <w:ind w:left="660" w:hanging="328"/>
        <w:spacing w:after="0" w:line="342"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4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2020. There have been no significant changes to any of these policies during the current year.</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a discussion of the impact of the coronavirus (COVID-19) pandemic and related economic conditions on the Company’s results for the year ended December 31, 2020, please see “Part II—Item 7—Management’s Discussion and Analysis of Financial Condition and Results of Operation” in our Annual Report. The Company continues to monitor the impact that the outbreak of the coronavirus (COVID-19) pandemic may be having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3"/>
          </w:tcPr>
          <w:p>
            <w:pPr>
              <w:jc w:val="center"/>
              <w:ind w:left="453"/>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c>
          <w:tcPr>
            <w:tcW w:w="1340" w:type="dxa"/>
            <w:vAlign w:val="bottom"/>
            <w:gridSpan w:val="2"/>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gridSpan w:val="3"/>
          </w:tcPr>
          <w:p>
            <w:pPr>
              <w:jc w:val="center"/>
              <w:ind w:left="453"/>
              <w:spacing w:after="0"/>
              <w:rPr>
                <w:sz w:val="20"/>
                <w:szCs w:val="20"/>
                <w:color w:val="auto"/>
              </w:rPr>
            </w:pPr>
            <w:r>
              <w:rPr>
                <w:rFonts w:ascii="Arial" w:cs="Arial" w:eastAsia="Arial" w:hAnsi="Arial"/>
                <w:sz w:val="14"/>
                <w:szCs w:val="14"/>
                <w:b w:val="1"/>
                <w:bCs w:val="1"/>
                <w:i w:val="1"/>
                <w:iCs w:val="1"/>
                <w:color w:val="auto"/>
                <w:w w:val="88"/>
              </w:rPr>
              <w:t>($ in thousands)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373,255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283,841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46.8 %</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47.4 %</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174,599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134,654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29.7 %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10.1 %</w:t>
            </w:r>
          </w:p>
        </w:tc>
        <w:tc>
          <w:tcPr>
            <w:tcW w:w="0" w:type="dxa"/>
            <w:vAlign w:val="bottom"/>
          </w:tcPr>
          <w:p>
            <w:pPr>
              <w:spacing w:after="0" w:line="20" w:lineRule="exact"/>
              <w:rPr>
                <w:sz w:val="1"/>
                <w:szCs w:val="1"/>
                <w:color w:val="auto"/>
              </w:rPr>
            </w:pPr>
          </w:p>
        </w:tc>
      </w:tr>
      <w:tr>
        <w:trPr>
          <w:trHeight w:val="203"/>
        </w:trPr>
        <w:tc>
          <w:tcPr>
            <w:tcW w:w="6700" w:type="dxa"/>
            <w:vAlign w:val="bottom"/>
            <w:vMerge w:val="continue"/>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line="203" w:lineRule="exact"/>
              <w:rPr>
                <w:sz w:val="20"/>
                <w:szCs w:val="20"/>
                <w:color w:val="auto"/>
              </w:rPr>
            </w:pPr>
            <w:r>
              <w:rPr>
                <w:rFonts w:ascii="Arial" w:cs="Arial" w:eastAsia="Arial" w:hAnsi="Arial"/>
                <w:sz w:val="18"/>
                <w:szCs w:val="18"/>
                <w:color w:val="auto"/>
              </w:rPr>
              <w:t>160,593</w:t>
            </w:r>
          </w:p>
        </w:tc>
        <w:tc>
          <w:tcPr>
            <w:tcW w:w="100" w:type="dxa"/>
            <w:vAlign w:val="bottom"/>
          </w:tcPr>
          <w:p>
            <w:pPr>
              <w:spacing w:after="0"/>
              <w:rPr>
                <w:sz w:val="17"/>
                <w:szCs w:val="17"/>
                <w:color w:val="auto"/>
              </w:rPr>
            </w:pPr>
          </w:p>
        </w:tc>
        <w:tc>
          <w:tcPr>
            <w:tcW w:w="620" w:type="dxa"/>
            <w:vAlign w:val="bottom"/>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1"/>
              <w:spacing w:after="0" w:line="203" w:lineRule="exact"/>
              <w:rPr>
                <w:sz w:val="20"/>
                <w:szCs w:val="20"/>
                <w:color w:val="auto"/>
              </w:rPr>
            </w:pPr>
            <w:r>
              <w:rPr>
                <w:rFonts w:ascii="Arial" w:cs="Arial" w:eastAsia="Arial" w:hAnsi="Arial"/>
                <w:sz w:val="18"/>
                <w:szCs w:val="18"/>
                <w:color w:val="auto"/>
              </w:rPr>
              <w:t>145,918</w:t>
            </w: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(273,500)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(96,856)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182.4 %</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(46,454)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(50,010)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(7.1)%</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color w:val="auto"/>
              </w:rPr>
              <w:t>(2), (3)</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(159,361)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(948)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tcPr>
          <w:p>
            <w:pPr>
              <w:spacing w:after="0"/>
              <w:rPr>
                <w:sz w:val="19"/>
                <w:szCs w:val="19"/>
                <w:color w:val="auto"/>
              </w:rPr>
            </w:pP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15,089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20,836</w:t>
            </w:r>
          </w:p>
        </w:tc>
        <w:tc>
          <w:tcPr>
            <w:tcW w:w="1340" w:type="dxa"/>
            <w:vAlign w:val="bottom"/>
            <w:gridSpan w:val="2"/>
          </w:tcPr>
          <w:p>
            <w:pPr>
              <w:jc w:val="right"/>
              <w:spacing w:after="0"/>
              <w:rPr>
                <w:sz w:val="20"/>
                <w:szCs w:val="20"/>
                <w:color w:val="auto"/>
              </w:rPr>
            </w:pPr>
            <w:r>
              <w:rPr>
                <w:rFonts w:ascii="Arial" w:cs="Arial" w:eastAsia="Arial" w:hAnsi="Arial"/>
                <w:sz w:val="18"/>
                <w:szCs w:val="18"/>
                <w:i w:val="1"/>
                <w:iCs w:val="1"/>
                <w:color w:val="auto"/>
              </w:rPr>
              <w:t>(27.6)%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6,272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(58,407)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and expense</w:t>
            </w:r>
          </w:p>
        </w:tc>
        <w:tc>
          <w:tcPr>
            <w:tcW w:w="380" w:type="dxa"/>
            <w:vAlign w:val="bottom"/>
          </w:tcPr>
          <w:p>
            <w:pPr>
              <w:spacing w:after="0"/>
              <w:rPr>
                <w:sz w:val="19"/>
                <w:szCs w:val="19"/>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(2,216)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(2,876)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(149)</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(38.9)%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(140,829)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(41,218)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241.7 %</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(37,369)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(4,403)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748.7 %</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(103,460)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(36,815)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181.0 %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Adjusted net operating (loss) income </w:t>
            </w:r>
            <w:r>
              <w:rPr>
                <w:rFonts w:ascii="Arial" w:cs="Arial" w:eastAsia="Arial" w:hAnsi="Arial"/>
                <w:sz w:val="14"/>
                <w:szCs w:val="14"/>
                <w:color w:val="auto"/>
              </w:rPr>
              <w:t>(4)</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line="203" w:lineRule="exact"/>
              <w:rPr>
                <w:sz w:val="20"/>
                <w:szCs w:val="20"/>
                <w:color w:val="auto"/>
              </w:rPr>
            </w:pPr>
            <w:r>
              <w:rPr>
                <w:rFonts w:ascii="Arial" w:cs="Arial" w:eastAsia="Arial" w:hAnsi="Arial"/>
                <w:sz w:val="18"/>
                <w:szCs w:val="18"/>
                <w:color w:val="auto"/>
              </w:rPr>
              <w:t>(108,795)</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31"/>
              <w:spacing w:after="0" w:line="203" w:lineRule="exact"/>
              <w:rPr>
                <w:sz w:val="20"/>
                <w:szCs w:val="20"/>
                <w:color w:val="auto"/>
              </w:rPr>
            </w:pPr>
            <w:r>
              <w:rPr>
                <w:rFonts w:ascii="Arial" w:cs="Arial" w:eastAsia="Arial" w:hAnsi="Arial"/>
                <w:sz w:val="18"/>
                <w:szCs w:val="18"/>
                <w:color w:val="auto"/>
              </w:rPr>
              <w:t>15,418</w:t>
            </w:r>
          </w:p>
        </w:tc>
        <w:tc>
          <w:tcPr>
            <w:tcW w:w="120" w:type="dxa"/>
            <w:vAlign w:val="bottom"/>
          </w:tcPr>
          <w:p>
            <w:pPr>
              <w:spacing w:after="0"/>
              <w:rPr>
                <w:sz w:val="17"/>
                <w:szCs w:val="17"/>
                <w:color w:val="auto"/>
              </w:rPr>
            </w:pPr>
          </w:p>
        </w:tc>
        <w:tc>
          <w:tcPr>
            <w:tcW w:w="1220" w:type="dxa"/>
            <w:vAlign w:val="bottom"/>
          </w:tcPr>
          <w:p>
            <w:pPr>
              <w:jc w:val="right"/>
              <w:ind w:right="134"/>
              <w:spacing w:after="0" w:line="203"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170.3 %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66.4 %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199.2 %</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100.6 %</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Accident year loss ratio </w:t>
            </w:r>
            <w:r>
              <w:rPr>
                <w:rFonts w:ascii="Arial" w:cs="Arial" w:eastAsia="Arial" w:hAnsi="Arial"/>
                <w:sz w:val="14"/>
                <w:szCs w:val="14"/>
                <w:color w:val="auto"/>
              </w:rPr>
              <w:t>(5)</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63" w:lineRule="exact"/>
        <w:rPr>
          <w:rFonts w:ascii="Arial" w:cs="Arial" w:eastAsia="Arial" w:hAnsi="Arial"/>
          <w:sz w:val="18"/>
          <w:szCs w:val="18"/>
          <w:i w:val="1"/>
          <w:iCs w:val="1"/>
          <w:color w:val="auto"/>
        </w:rPr>
      </w:pPr>
    </w:p>
    <w:p>
      <w:pPr>
        <w:ind w:left="660" w:right="660" w:hanging="328"/>
        <w:spacing w:after="0" w:line="277" w:lineRule="auto"/>
        <w:tabs>
          <w:tab w:leader="none" w:pos="65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 for a reconciliation to loss before taxes and for additional information.</w:t>
      </w:r>
    </w:p>
    <w:p>
      <w:pPr>
        <w:spacing w:after="0" w:line="8" w:lineRule="exact"/>
        <w:rPr>
          <w:rFonts w:ascii="Arial" w:cs="Arial" w:eastAsia="Arial" w:hAnsi="Arial"/>
          <w:sz w:val="18"/>
          <w:szCs w:val="18"/>
          <w:i w:val="1"/>
          <w:iCs w:val="1"/>
          <w:color w:val="auto"/>
        </w:rPr>
      </w:pPr>
    </w:p>
    <w:p>
      <w:pPr>
        <w:ind w:left="660" w:right="600" w:hanging="328"/>
        <w:spacing w:after="0" w:line="277" w:lineRule="auto"/>
        <w:tabs>
          <w:tab w:leader="none" w:pos="65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2021 and 2020 is gross fee income of $5.1 million and $5.5 million, respectively.</w:t>
      </w:r>
    </w:p>
    <w:p>
      <w:pPr>
        <w:spacing w:after="0" w:line="8" w:lineRule="exact"/>
        <w:rPr>
          <w:rFonts w:ascii="Arial" w:cs="Arial" w:eastAsia="Arial" w:hAnsi="Arial"/>
          <w:sz w:val="18"/>
          <w:szCs w:val="18"/>
          <w:i w:val="1"/>
          <w:iCs w:val="1"/>
          <w:color w:val="auto"/>
        </w:rPr>
      </w:pPr>
    </w:p>
    <w:p>
      <w:pPr>
        <w:ind w:left="660" w:right="100" w:hanging="328"/>
        <w:spacing w:after="0" w:line="277" w:lineRule="auto"/>
        <w:tabs>
          <w:tab w:leader="none" w:pos="65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(loss) income is a non-GAAP measure. See “Reconciliation of Non-GAAP Measures” for reconciliation to net loss and for additional information.</w:t>
      </w:r>
    </w:p>
    <w:p>
      <w:pPr>
        <w:spacing w:after="0" w:line="62" w:lineRule="exact"/>
        <w:rPr>
          <w:rFonts w:ascii="Arial" w:cs="Arial" w:eastAsia="Arial" w:hAnsi="Arial"/>
          <w:sz w:val="18"/>
          <w:szCs w:val="18"/>
          <w:i w:val="1"/>
          <w:iCs w:val="1"/>
          <w:color w:val="auto"/>
        </w:rPr>
      </w:pPr>
    </w:p>
    <w:p>
      <w:pPr>
        <w:ind w:left="660" w:right="360" w:hanging="328"/>
        <w:spacing w:after="0" w:line="277" w:lineRule="auto"/>
        <w:tabs>
          <w:tab w:leader="none" w:pos="654"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is defined as the ratio of losses and loss adjustment expenses for the current accident year (excluding development on prior accident year reserves) to net earned premiums.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2020</w:t>
      </w:r>
    </w:p>
    <w:p>
      <w:pPr>
        <w:spacing w:after="0" w:line="117"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Company had an underwriting loss of $159.4 million for the three months ended March 31, 2021. This compares to an underwriting loss of $948,000 for the same period in the prior year. Net adverse reserve development on prior accident years was the principal driver of the underwriting losses for both periods. Underwriting results for the three months ended March 31, 2021 include $170.1 million of net adverse reserve development on prior accident years, including $168.7 million of net adverse development from the Excess and Surplus Lines segment almost entirely related to a previously canceled commercial auto account that has been in runoff since 2019 (see underwriting results of the Excess and Surplus Lines segment below for further discussion). Underwriting results for the three months ended March 31, 2020 included $874,000 of net adverse reserve development on prior accident years.</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three months ended March 31, 2021 and 2020 include certain non-operating items that are significant to the Company. These items (on a pre-tax basis) include:</w:t>
      </w:r>
    </w:p>
    <w:p>
      <w:pPr>
        <w:spacing w:after="0" w:line="62" w:lineRule="exact"/>
        <w:rPr>
          <w:sz w:val="20"/>
          <w:szCs w:val="20"/>
          <w:color w:val="auto"/>
        </w:rPr>
      </w:pPr>
    </w:p>
    <w:p>
      <w:pPr>
        <w:ind w:left="660" w:right="28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Net realized and unrealized investment gains (losses) of $6.3 million and $(58.4) million for the three months ended March 31, 2021 and 2020, respectively. </w:t>
      </w:r>
      <w:r>
        <w:rPr>
          <w:rFonts w:ascii="Arial" w:cs="Arial" w:eastAsia="Arial" w:hAnsi="Arial"/>
          <w:sz w:val="18"/>
          <w:szCs w:val="18"/>
          <w:color w:val="231F20"/>
        </w:rPr>
        <w:t>For the</w:t>
      </w:r>
      <w:r>
        <w:rPr>
          <w:rFonts w:ascii="Arial" w:cs="Arial" w:eastAsia="Arial" w:hAnsi="Arial"/>
          <w:sz w:val="18"/>
          <w:szCs w:val="18"/>
          <w:color w:val="auto"/>
        </w:rPr>
        <w:t xml:space="preserve"> three months ended March 31, 2021</w:t>
      </w:r>
      <w:r>
        <w:rPr>
          <w:rFonts w:ascii="Arial" w:cs="Arial" w:eastAsia="Arial" w:hAnsi="Arial"/>
          <w:sz w:val="18"/>
          <w:szCs w:val="18"/>
          <w:color w:val="231F20"/>
        </w:rPr>
        <w:t>, net realized and unrealized gains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60"/>
        <w:spacing w:after="0" w:line="259" w:lineRule="auto"/>
        <w:rPr>
          <w:sz w:val="20"/>
          <w:szCs w:val="20"/>
          <w:color w:val="auto"/>
        </w:rPr>
      </w:pPr>
      <w:r>
        <w:rPr>
          <w:rFonts w:ascii="Arial" w:cs="Arial" w:eastAsia="Arial" w:hAnsi="Arial"/>
          <w:sz w:val="17"/>
          <w:szCs w:val="17"/>
          <w:color w:val="231F20"/>
        </w:rPr>
        <w:t xml:space="preserve">on investments include $1.7 million and $3.9 million related to changes in unrealized gains and losses on equity securities and bank loan participations, respectively ($(13.3) million and $(43.9) million of net realized and unrealized losses for the </w:t>
      </w:r>
      <w:r>
        <w:rPr>
          <w:rFonts w:ascii="Arial" w:cs="Arial" w:eastAsia="Arial" w:hAnsi="Arial"/>
          <w:sz w:val="17"/>
          <w:szCs w:val="17"/>
          <w:color w:val="000000"/>
        </w:rPr>
        <w:t>three months ended March 31, 2020</w:t>
      </w:r>
      <w:r>
        <w:rPr>
          <w:rFonts w:ascii="Arial" w:cs="Arial" w:eastAsia="Arial" w:hAnsi="Arial"/>
          <w:sz w:val="17"/>
          <w:szCs w:val="17"/>
          <w:color w:val="231F20"/>
        </w:rPr>
        <w:t xml:space="preserve">, respectively). </w:t>
      </w:r>
      <w:r>
        <w:rPr>
          <w:rFonts w:ascii="Arial" w:cs="Arial" w:eastAsia="Arial" w:hAnsi="Arial"/>
          <w:sz w:val="17"/>
          <w:szCs w:val="17"/>
          <w:color w:val="000000"/>
        </w:rPr>
        <w:t>The outbreak of the coronavirus pandemic in the first quarter of 2020 and uncertainty around the extent of its economic impact</w:t>
      </w:r>
      <w:r>
        <w:rPr>
          <w:rFonts w:ascii="Arial" w:cs="Arial" w:eastAsia="Arial" w:hAnsi="Arial"/>
          <w:sz w:val="17"/>
          <w:szCs w:val="17"/>
          <w:color w:val="231F20"/>
        </w:rPr>
        <w:t xml:space="preserve"> </w:t>
      </w:r>
      <w:r>
        <w:rPr>
          <w:rFonts w:ascii="Arial" w:cs="Arial" w:eastAsia="Arial" w:hAnsi="Arial"/>
          <w:sz w:val="17"/>
          <w:szCs w:val="17"/>
          <w:color w:val="000000"/>
        </w:rPr>
        <w:t>caused severe declines in financial markets, leading to significant net unrealized losses recognized in earnings. See “— Investing Results" for more information on these realized and unrealized investment gains (losses).</w:t>
      </w:r>
    </w:p>
    <w:p>
      <w:pPr>
        <w:spacing w:after="0" w:line="66"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We define adjusted net operating (loss) income as net loss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calculated in accordance with GAAP, and our definition of adjusted net operating (loss) income may not be comparable to that of other companies.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loss before taxes and net loss reconcile to our adjusted net operating (loss) income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 March 31,</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line="130"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(Loss) Income</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Before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Before</w:t>
            </w:r>
          </w:p>
        </w:tc>
        <w:tc>
          <w:tcPr>
            <w:tcW w:w="13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Net (Loss) Income</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Taxes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4"/>
                <w:szCs w:val="14"/>
                <w:b w:val="1"/>
                <w:bCs w:val="1"/>
                <w:i w:val="1"/>
                <w:iCs w:val="1"/>
                <w:color w:val="auto"/>
                <w:w w:val="90"/>
              </w:rPr>
              <w:t>($ in thousands)</w:t>
            </w: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as reported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58,407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52,233</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17,189</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combined ratio is a measure of underwriting performance and represents the relationship of incurred losses, loss adjustment expenses and other operating expenses to net earned premiums. Our combined ratio for the three months ended March 31, 2021 was 199.2%. A combined ratio of less than 100% indicates an underwriting profit, while a combined ratio greater than 100% reflects an underwriting loss. The combined ratio for the three months ended March 31, 2021 includes $170.1 million, or 105.9 percentage points, of net adverse reserve development on prior accident years, including $168.7 million of net adverse reserve development from the Excess and Surplus Lines segment (see underwriting results of the Excess and Surplus Lines segment for further discussion), $1.0 million of net favorable reserve development from the Specialty Admitted Insurance segment, and $2.5 million of net adverse reserve development from the Casualty Reinsurance segment.</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combined ratio for the three months ended March 31, 2020 was 100.6%. The combined ratio for the three months ended March 31, 2020 includes $874,000, or 0.6 percentage points, of net adverse reserve development on prior accident years, including $3,000 of net favorable reserve development from the Excess and Surplus Lines segment, $1.0 million of net favorable reserve development from the Specialty Admitted Insurance segment, and $1.9 million of net adverse reserve development from the Casualty Reinsurance segment.</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Code effective January 1, 2018. JRG Re also provides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expense ratio decreased from 34.2% for the three months ended March 31, 2020 to 28.9% for the three months ended March 31, 2021. The decrease reflects a 16.4% increase in the Core E&amp;S net earned premiums of the Excess and Surplus Lines segment including in lines that have meaningful ceding commissions. Our Excess and Surplus Lines segment has significant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scale and produces a lower expense ratio than our other operating segments. The Excess and Surplus Lines segment is our largest segment and makes up 70.8% of consolidated net earned premiums for the three months ended March 31, 2021 compared to 68.4% for three months ended March 31, 2020. Gross fee income for the Company declined from $5.5 million for the three months ended March 31, 2020 to $5.1 million for the three months ended March 31, 2021. The termination of a commercial auto account resulted in a $1.3 million decline of gross fee income in the Excess and Surplus Lines segment for the three months ended March 31, 2021. This was partially offset by $917,000 higher fee income in the Specialty Admitted Insurance segment due to new fronting programs and growth in existing fronting programs.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in proportion to the level of underlying exposure.</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515"/>
              <w:spacing w:after="0"/>
              <w:rPr>
                <w:sz w:val="20"/>
                <w:szCs w:val="20"/>
                <w:color w:val="auto"/>
              </w:rPr>
            </w:pPr>
            <w:r>
              <w:rPr>
                <w:rFonts w:ascii="Arial" w:cs="Arial" w:eastAsia="Arial" w:hAnsi="Arial"/>
                <w:sz w:val="14"/>
                <w:szCs w:val="14"/>
                <w:b w:val="1"/>
                <w:bCs w:val="1"/>
                <w:i w:val="1"/>
                <w:iCs w:val="1"/>
                <w:color w:val="auto"/>
                <w:w w:val="88"/>
              </w:rPr>
              <w:t>($ in thousands)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181,358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136,197</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33.2 %</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64,861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44,842</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44.6 %</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373,255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17.6 %</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22,005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13,356</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64.8 %</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51.8 %</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174,599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134,654</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29.7 %</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113,708</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99,739</w:t>
            </w:r>
          </w:p>
        </w:tc>
        <w:tc>
          <w:tcPr>
            <w:tcW w:w="1360" w:type="dxa"/>
            <w:vAlign w:val="bottom"/>
            <w:gridSpan w:val="2"/>
          </w:tcPr>
          <w:p>
            <w:pPr>
              <w:jc w:val="right"/>
              <w:spacing w:after="0"/>
              <w:rPr>
                <w:sz w:val="20"/>
                <w:szCs w:val="20"/>
                <w:color w:val="auto"/>
              </w:rPr>
            </w:pPr>
            <w:r>
              <w:rPr>
                <w:rFonts w:ascii="Arial" w:cs="Arial" w:eastAsia="Arial" w:hAnsi="Arial"/>
                <w:sz w:val="18"/>
                <w:szCs w:val="18"/>
                <w:i w:val="1"/>
                <w:iCs w:val="1"/>
                <w:color w:val="auto"/>
              </w:rPr>
              <w:t>14.0 %</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23.1 %</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32,896</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Gross written premiums for the Excess and Surplus Lines segment (which represents 48.6% of our consolidated gross written premiums in the three months ended March 31, 2021) increased 33.2% from the corresponding three month period in the prior year. Policy submissions excluding commercial auto policies were slightly lower by 0.6%, yet 15.5% more policies were bound in the three months ended March 31, 2021 than in the three months ended March 31, 2020. Renewal rates for the Excess and Surplus Lines segment were up 14.6% compared to the three months ended March 31, 2020. The change in gross written premiums compared to the same period in 2020 was notable in several divisions as shown below:</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713"/>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tcPr>
          <w:p>
            <w:pPr>
              <w:jc w:val="right"/>
              <w:ind w:right="213"/>
              <w:spacing w:after="0"/>
              <w:rPr>
                <w:sz w:val="20"/>
                <w:szCs w:val="20"/>
                <w:color w:val="auto"/>
              </w:rPr>
            </w:pPr>
            <w:r>
              <w:rPr>
                <w:rFonts w:ascii="Arial" w:cs="Arial" w:eastAsia="Arial" w:hAnsi="Arial"/>
                <w:sz w:val="14"/>
                <w:szCs w:val="14"/>
                <w:b w:val="1"/>
                <w:bCs w:val="1"/>
                <w:i w:val="1"/>
                <w:iCs w:val="1"/>
                <w:color w:val="auto"/>
                <w:w w:val="89"/>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General Casualty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25,722</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14.2 %</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Manufacturers &amp; Contractors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12.4 %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Allied Health</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5,449</w:t>
            </w: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51.2 %</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Small Business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32.6 %</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Core E&amp;S divisions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0.4 %</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E&amp;S divisions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35.6 %</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Auto</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6,735</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(14.1)%</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and Surplus Lines gross written premium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136,197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33.2 %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34.0% of our consolidated gross written premiums for the three months ended March 31, 2021)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4"/>
          </w:tcPr>
          <w:p>
            <w:pPr>
              <w:jc w:val="right"/>
              <w:ind w:right="717"/>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40" w:type="dxa"/>
            <w:vAlign w:val="bottom"/>
            <w:tcBorders>
              <w:bottom w:val="single" w:sz="8" w:color="auto"/>
            </w:tcBorders>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3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tcPr>
          <w:p>
            <w:pPr>
              <w:jc w:val="right"/>
              <w:ind w:right="217"/>
              <w:spacing w:after="0"/>
              <w:rPr>
                <w:sz w:val="20"/>
                <w:szCs w:val="20"/>
                <w:color w:val="auto"/>
              </w:rPr>
            </w:pPr>
            <w:r>
              <w:rPr>
                <w:rFonts w:ascii="Arial" w:cs="Arial" w:eastAsia="Arial" w:hAnsi="Arial"/>
                <w:sz w:val="14"/>
                <w:szCs w:val="14"/>
                <w:b w:val="1"/>
                <w:bCs w:val="1"/>
                <w:i w:val="1"/>
                <w:iCs w:val="1"/>
                <w:color w:val="auto"/>
                <w:w w:val="89"/>
              </w:rPr>
              <w:t>in thousands)</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Individual risk workers’ compensation premium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w:t>
            </w: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Fronting and program premium</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85,322</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29.9 %</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premium growth in fronting and programs was largely driven by eight new fronting relationships that generated $23.5 million of gross written premium in the three months ended March 31, 2021. Our largest fronting relationship produced $33.9 million of gross written premium for the three months ended March 31, 2021, up from $32.7 million for the three months ended March 31, 2020 and representing 26.7% of the segment's gross written premium in the three months ended March 31, 2021 down from 31.9% in the three months ended March 31, 2020.</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Gross written premiums for the Casualty Reinsurance segment (which represents 17.4% of our consolidated gross written premiums in the first three months of 2021) increased 44.6% from the corresponding three month period in the prior year. The increase in gross written premiums was due to a change in renewal date for one treaty.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84"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Three Months Ended</w:t>
      </w:r>
    </w:p>
    <w:p>
      <w:pPr>
        <w:jc w:val="center"/>
        <w:ind w:left="78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4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59.8 %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r>
      <w:tr>
        <w:trPr>
          <w:trHeight w:val="229"/>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Specialty Admitted Insurance</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17.3 %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13.0 %</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68.1 %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46.8 %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47.4 %</w:t>
            </w: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premium retention for the Excess and Surplus Lines segment decreased for the three months ended March 31, 2021 as compared to the prior year period due to growth in written premium in the Excess Casualty underwriting division, which has a higher percentage of ceded premium than our other divisions.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premium retention for the Specialty Admitted Insurance segment increased for the three months ended March 31, 2021 as compared to the prior year primarily due to higher retentions in the fronting business. The net retention on the segment’s fronting business was 15.8% and 9.6% for the three months ended March 31, 2021 and 2020, respectively, while the net retention on the individual risk workers’ compensation business was 27.7% and 29.3%.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premium retention for the Casualty Reinsurance segment increased for the three months ended March 31, 2021 as compared to the prior year period due to the higher gross written premiums in the current year and the impact of one retrocessional treaty/fronting arrangement under which 100% of the premiums are ceded. Ceded written premiums under the treaty were $20.7 million in the first quarter of 2021 compared to $15.8 million in the first quarter of 2020.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39"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jc w:val="center"/>
        <w:ind w:left="80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91.9 %</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107.4 %</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99.4 %</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100.6 %</w:t>
            </w: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0"/>
                <w:szCs w:val="20"/>
                <w:color w:val="auto"/>
              </w:rPr>
            </w:pPr>
            <w:r>
              <w:rPr>
                <w:rFonts w:ascii="Arial" w:cs="Arial" w:eastAsia="Arial" w:hAnsi="Arial"/>
                <w:sz w:val="18"/>
                <w:szCs w:val="18"/>
                <w:i w:val="1"/>
                <w:iCs w:val="1"/>
                <w:color w:val="auto"/>
              </w:rPr>
              <w:t>Excess and Surplus Lines Segment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00" w:type="dxa"/>
            <w:vAlign w:val="bottom"/>
          </w:tcPr>
          <w:p>
            <w:pPr>
              <w:ind w:left="340"/>
              <w:spacing w:after="0"/>
              <w:rPr>
                <w:sz w:val="20"/>
                <w:szCs w:val="20"/>
                <w:color w:val="auto"/>
              </w:rPr>
            </w:pPr>
            <w:r>
              <w:rPr>
                <w:rFonts w:ascii="Arial" w:cs="Arial" w:eastAsia="Arial" w:hAnsi="Arial"/>
                <w:sz w:val="18"/>
                <w:szCs w:val="18"/>
                <w:color w:val="auto"/>
              </w:rPr>
              <w:t>Results for the Excess and Surplus Lines segment are as follows: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2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gridSpan w:val="3"/>
          </w:tcPr>
          <w:p>
            <w:pPr>
              <w:jc w:val="right"/>
              <w:ind w:right="440"/>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136,197</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33.2 %</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220"/>
              <w:spacing w:after="0" w:line="203" w:lineRule="exact"/>
              <w:rPr>
                <w:sz w:val="20"/>
                <w:szCs w:val="20"/>
                <w:color w:val="auto"/>
              </w:rPr>
            </w:pPr>
            <w:r>
              <w:rPr>
                <w:rFonts w:ascii="Arial" w:cs="Arial" w:eastAsia="Arial" w:hAnsi="Arial"/>
                <w:sz w:val="18"/>
                <w:szCs w:val="18"/>
                <w:color w:val="auto"/>
              </w:rPr>
              <w:t>108,433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92,206</w:t>
            </w:r>
          </w:p>
        </w:tc>
        <w:tc>
          <w:tcPr>
            <w:tcW w:w="220" w:type="dxa"/>
            <w:vAlign w:val="bottom"/>
            <w:tcBorders>
              <w:bottom w:val="single" w:sz="8" w:color="auto"/>
            </w:tcBorders>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17.6 %</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99,739</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14.0 %</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(241,742)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(65,529)</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268.9 %</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(26,098)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(12.2)%</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 (2)</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(150,946)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8,112</w:t>
            </w:r>
          </w:p>
        </w:tc>
        <w:tc>
          <w:tcPr>
            <w:tcW w:w="220" w:type="dxa"/>
            <w:vAlign w:val="bottom"/>
            <w:tcBorders>
              <w:bottom w:val="single" w:sz="8" w:color="auto"/>
            </w:tcBorders>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4060" w:type="dxa"/>
            <w:vAlign w:val="bottom"/>
          </w:tcPr>
          <w:p>
            <w:pPr>
              <w:jc w:val="right"/>
              <w:ind w:right="470"/>
              <w:spacing w:after="0"/>
              <w:rPr>
                <w:sz w:val="20"/>
                <w:szCs w:val="20"/>
                <w:color w:val="auto"/>
              </w:rPr>
            </w:pPr>
            <w:r>
              <w:rPr>
                <w:rFonts w:ascii="Arial" w:cs="Arial" w:eastAsia="Arial" w:hAnsi="Arial"/>
                <w:sz w:val="18"/>
                <w:szCs w:val="18"/>
                <w:color w:val="auto"/>
              </w:rPr>
              <w:t>212.6 %</w:t>
            </w:r>
          </w:p>
        </w:tc>
        <w:tc>
          <w:tcPr>
            <w:tcW w:w="2440" w:type="dxa"/>
            <w:vAlign w:val="bottom"/>
          </w:tcPr>
          <w:p>
            <w:pPr>
              <w:jc w:val="right"/>
              <w:ind w:right="1270"/>
              <w:spacing w:after="0"/>
              <w:rPr>
                <w:sz w:val="20"/>
                <w:szCs w:val="20"/>
                <w:color w:val="auto"/>
              </w:rPr>
            </w:pPr>
            <w:r>
              <w:rPr>
                <w:rFonts w:ascii="Arial" w:cs="Arial" w:eastAsia="Arial" w:hAnsi="Arial"/>
                <w:sz w:val="18"/>
                <w:szCs w:val="18"/>
                <w:color w:val="auto"/>
              </w:rPr>
              <w:t>65.7 %</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4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20.1 %</w:t>
            </w:r>
          </w:p>
        </w:tc>
        <w:tc>
          <w:tcPr>
            <w:tcW w:w="244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26.2 %</w:t>
            </w: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4060" w:type="dxa"/>
            <w:vAlign w:val="bottom"/>
          </w:tcPr>
          <w:p>
            <w:pPr>
              <w:jc w:val="right"/>
              <w:ind w:right="470"/>
              <w:spacing w:after="0"/>
              <w:rPr>
                <w:sz w:val="20"/>
                <w:szCs w:val="20"/>
                <w:color w:val="auto"/>
              </w:rPr>
            </w:pPr>
            <w:r>
              <w:rPr>
                <w:rFonts w:ascii="Arial" w:cs="Arial" w:eastAsia="Arial" w:hAnsi="Arial"/>
                <w:sz w:val="18"/>
                <w:szCs w:val="18"/>
                <w:color w:val="auto"/>
              </w:rPr>
              <w:t>232.7 %</w:t>
            </w:r>
          </w:p>
        </w:tc>
        <w:tc>
          <w:tcPr>
            <w:tcW w:w="2440" w:type="dxa"/>
            <w:vAlign w:val="bottom"/>
          </w:tcPr>
          <w:p>
            <w:pPr>
              <w:jc w:val="right"/>
              <w:ind w:right="1270"/>
              <w:spacing w:after="0"/>
              <w:rPr>
                <w:sz w:val="20"/>
                <w:szCs w:val="20"/>
                <w:color w:val="auto"/>
              </w:rPr>
            </w:pPr>
            <w:r>
              <w:rPr>
                <w:rFonts w:ascii="Arial" w:cs="Arial" w:eastAsia="Arial" w:hAnsi="Arial"/>
                <w:sz w:val="18"/>
                <w:szCs w:val="18"/>
                <w:color w:val="auto"/>
              </w:rPr>
              <w:t>91.9 %</w:t>
            </w: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40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64.3 %</w:t>
            </w:r>
          </w:p>
        </w:tc>
        <w:tc>
          <w:tcPr>
            <w:tcW w:w="244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65.7 %</w:t>
            </w:r>
          </w:p>
        </w:tc>
      </w:tr>
    </w:tbl>
    <w:p>
      <w:pPr>
        <w:spacing w:after="0" w:line="175" w:lineRule="exact"/>
        <w:rPr>
          <w:sz w:val="20"/>
          <w:szCs w:val="20"/>
          <w:color w:val="auto"/>
        </w:rPr>
      </w:pPr>
    </w:p>
    <w:p>
      <w:pPr>
        <w:ind w:left="660" w:right="160" w:hanging="328"/>
        <w:spacing w:after="0" w:line="258" w:lineRule="auto"/>
        <w:tabs>
          <w:tab w:leader="none" w:pos="654"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loss before tax and for additional information.</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for the three months ended March 31, 2020 include gross fee income of $1.3 million related to Rasier, a former commercial</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auto account (none for the three months ended March 31, 2021).</w:t>
      </w:r>
    </w:p>
    <w:p>
      <w:pPr>
        <w:spacing w:after="0" w:line="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loss ratio of 212.6% for the three months ended March 31, 2021 includes $168.7 million of net adverse reserve development (148.3 percentage points) in our loss estimates for prior accident years, including $170.0 million of net adverse development on commercial auto business that was almost entirely related to a previously canceled account that has been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the this account. The loss ratio of 65.7% for the three months ended March 31, 2020 includes $3,000 of net favorable reserve development in our loss estimates for prior accident years.</w:t>
      </w:r>
    </w:p>
    <w:p>
      <w:pPr>
        <w:spacing w:after="0" w:line="6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expense ratio for this segment decreased from 26.2% for the three months ended March 31, 2020 to 20.1% for the three months ended March 31, 2021 due to an increase of 16.4% in the Core E&amp;S net earned premiums of the Excess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Surplus Lines segment including in lines that have meaningful ceding commissions. Gross fee income related to a former commercial auto account contributed to a reduction in the expense ratio of 1.3 percentage points for the three months ended March 31, 2020 (none for the three months ended March 31, 2021).</w:t>
      </w:r>
    </w:p>
    <w:p>
      <w:pPr>
        <w:spacing w:after="0" w:line="7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a result of the items discussed above, the underwriting results of the Excess and Surplus Lines segment declined from an underwriting profit of $8.1 million for the three months ended March 31, 2020 to an underwriting loss of $150.9 million for the three months ended March 31,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right"/>
              <w:ind w:right="855"/>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0"/>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tcPr>
          <w:p>
            <w:pPr>
              <w:jc w:val="right"/>
              <w:ind w:right="355"/>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127,036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102,802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23.6 %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Arial" w:cs="Arial" w:eastAsia="Arial" w:hAnsi="Arial"/>
                <w:sz w:val="18"/>
                <w:szCs w:val="18"/>
                <w:color w:val="auto"/>
              </w:rPr>
              <w:t>22,005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5"/>
              <w:spacing w:after="0" w:line="203" w:lineRule="exact"/>
              <w:rPr>
                <w:sz w:val="20"/>
                <w:szCs w:val="20"/>
                <w:color w:val="auto"/>
              </w:rPr>
            </w:pPr>
            <w:r>
              <w:rPr>
                <w:rFonts w:ascii="Arial" w:cs="Arial" w:eastAsia="Arial" w:hAnsi="Arial"/>
                <w:sz w:val="18"/>
                <w:szCs w:val="18"/>
                <w:color w:val="auto"/>
              </w:rPr>
              <w:t>13,356</w:t>
            </w:r>
          </w:p>
        </w:tc>
        <w:tc>
          <w:tcPr>
            <w:tcW w:w="13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64.8 %</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16,357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13,283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23.1 %</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(10,742)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(9,905)</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(4,349)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(4,366)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(0.4)%</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Underwriting profit (loss) </w:t>
            </w:r>
            <w:r>
              <w:rPr>
                <w:rFonts w:ascii="Arial" w:cs="Arial" w:eastAsia="Arial" w:hAnsi="Arial"/>
                <w:sz w:val="14"/>
                <w:szCs w:val="14"/>
                <w:i w:val="1"/>
                <w:iCs w:val="1"/>
                <w:color w:val="auto"/>
              </w:rPr>
              <w:t>(1), (2)</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(988)</w:t>
            </w:r>
          </w:p>
        </w:tc>
        <w:tc>
          <w:tcPr>
            <w:tcW w:w="1340" w:type="dxa"/>
            <w:vAlign w:val="bottom"/>
          </w:tcPr>
          <w:p>
            <w:pPr>
              <w:jc w:val="right"/>
              <w:ind w:right="135"/>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3980" w:type="dxa"/>
            <w:vAlign w:val="bottom"/>
          </w:tcPr>
          <w:p>
            <w:pPr>
              <w:jc w:val="right"/>
              <w:ind w:right="430"/>
              <w:spacing w:after="0"/>
              <w:rPr>
                <w:sz w:val="20"/>
                <w:szCs w:val="20"/>
                <w:color w:val="auto"/>
              </w:rPr>
            </w:pPr>
            <w:r>
              <w:rPr>
                <w:rFonts w:ascii="Arial" w:cs="Arial" w:eastAsia="Arial" w:hAnsi="Arial"/>
                <w:sz w:val="18"/>
                <w:szCs w:val="18"/>
                <w:color w:val="auto"/>
              </w:rPr>
              <w:t>65.7 %</w:t>
            </w:r>
          </w:p>
        </w:tc>
        <w:tc>
          <w:tcPr>
            <w:tcW w:w="2480" w:type="dxa"/>
            <w:vAlign w:val="bottom"/>
          </w:tcPr>
          <w:p>
            <w:pPr>
              <w:jc w:val="right"/>
              <w:ind w:right="1270"/>
              <w:spacing w:after="0"/>
              <w:rPr>
                <w:sz w:val="20"/>
                <w:szCs w:val="20"/>
                <w:color w:val="auto"/>
              </w:rPr>
            </w:pPr>
            <w:r>
              <w:rPr>
                <w:rFonts w:ascii="Arial" w:cs="Arial" w:eastAsia="Arial" w:hAnsi="Arial"/>
                <w:sz w:val="18"/>
                <w:szCs w:val="18"/>
                <w:color w:val="auto"/>
              </w:rPr>
              <w:t>74.6 %</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3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26.6 %</w:t>
            </w:r>
          </w:p>
        </w:tc>
        <w:tc>
          <w:tcPr>
            <w:tcW w:w="2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32.8 %</w:t>
            </w:r>
          </w:p>
        </w:tc>
      </w:tr>
      <w:tr>
        <w:trPr>
          <w:trHeight w:val="230"/>
        </w:trPr>
        <w:tc>
          <w:tcPr>
            <w:tcW w:w="478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3980" w:type="dxa"/>
            <w:vAlign w:val="bottom"/>
          </w:tcPr>
          <w:p>
            <w:pPr>
              <w:jc w:val="right"/>
              <w:ind w:right="430"/>
              <w:spacing w:after="0"/>
              <w:rPr>
                <w:sz w:val="20"/>
                <w:szCs w:val="20"/>
                <w:color w:val="auto"/>
              </w:rPr>
            </w:pPr>
            <w:r>
              <w:rPr>
                <w:rFonts w:ascii="Arial" w:cs="Arial" w:eastAsia="Arial" w:hAnsi="Arial"/>
                <w:sz w:val="18"/>
                <w:szCs w:val="18"/>
                <w:color w:val="auto"/>
              </w:rPr>
              <w:t>92.3 %</w:t>
            </w:r>
          </w:p>
        </w:tc>
        <w:tc>
          <w:tcPr>
            <w:tcW w:w="2480" w:type="dxa"/>
            <w:vAlign w:val="bottom"/>
          </w:tcPr>
          <w:p>
            <w:pPr>
              <w:jc w:val="right"/>
              <w:ind w:right="1270"/>
              <w:spacing w:after="0"/>
              <w:rPr>
                <w:sz w:val="20"/>
                <w:szCs w:val="20"/>
                <w:color w:val="auto"/>
              </w:rPr>
            </w:pPr>
            <w:r>
              <w:rPr>
                <w:rFonts w:ascii="Arial" w:cs="Arial" w:eastAsia="Arial" w:hAnsi="Arial"/>
                <w:sz w:val="18"/>
                <w:szCs w:val="18"/>
                <w:color w:val="auto"/>
              </w:rPr>
              <w:t>107.4 %</w:t>
            </w:r>
          </w:p>
        </w:tc>
      </w:tr>
      <w:tr>
        <w:trPr>
          <w:trHeight w:val="229"/>
        </w:trPr>
        <w:tc>
          <w:tcPr>
            <w:tcW w:w="4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39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71.8 %</w:t>
            </w:r>
          </w:p>
        </w:tc>
        <w:tc>
          <w:tcPr>
            <w:tcW w:w="2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82.2 %</w:t>
            </w:r>
          </w:p>
        </w:tc>
      </w:tr>
    </w:tbl>
    <w:p>
      <w:pPr>
        <w:spacing w:after="0" w:line="188" w:lineRule="exact"/>
        <w:rPr>
          <w:sz w:val="20"/>
          <w:szCs w:val="20"/>
          <w:color w:val="auto"/>
        </w:rPr>
      </w:pPr>
    </w:p>
    <w:p>
      <w:pPr>
        <w:ind w:left="660" w:right="40" w:hanging="328"/>
        <w:spacing w:after="0" w:line="258" w:lineRule="auto"/>
        <w:tabs>
          <w:tab w:leader="none" w:pos="654"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(Loss) is a non-GAAP Measure. See “Reconciliation of Non-GAAP Measures” for a reconciliation to income (loss) before tax and for additional information.</w:t>
      </w:r>
    </w:p>
    <w:p>
      <w:pPr>
        <w:spacing w:after="0" w:line="1" w:lineRule="exact"/>
        <w:rPr>
          <w:rFonts w:ascii="Arial" w:cs="Arial" w:eastAsia="Arial" w:hAnsi="Arial"/>
          <w:sz w:val="18"/>
          <w:szCs w:val="18"/>
          <w:i w:val="1"/>
          <w:iCs w:val="1"/>
          <w:color w:val="auto"/>
        </w:rPr>
      </w:pPr>
    </w:p>
    <w:p>
      <w:pPr>
        <w:ind w:left="640" w:hanging="308"/>
        <w:spacing w:after="0"/>
        <w:tabs>
          <w:tab w:leader="none" w:pos="6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Underwriting results include gross fee income of $5.1 million and $4.2 million for the three months ended March 31, 2021 and 2020, respectively.</w:t>
      </w:r>
    </w:p>
    <w:p>
      <w:pPr>
        <w:spacing w:after="0" w:line="12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loss ratios of 65.7% and 74.6% for the three months ended March 31, 2021 and 2020, respectively, include $1.0 million and $1.0 million (6.1 and 7.6 percentage points), respectively, of net favorable development in our loss estimates for prior accident years. The favorable reserve development for both periods reflects the fact that actual loss emergence of the workers’ compensation book has been better than expected.</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expense ratio of the Specialty Admitted Insurance segment was 26.6% for the three months ended March 31, 2021 compared to the prior year ratio of 32.8%. The improvement was driven by the growth in net earned premiums and higher fee income, which increased 21.8% over the prior year due to the growth in our fronting business.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Underwriting results for the Specialty Admitted Insurance segment in the three months ended March 31, 2020 were negatively impacted by higher reported losses on involuntary assigned risk pools for workers' compensation and an accrual for ceded minimum premium on one fronting arrangement, resulting in an additional 7.0 combined ratio points.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the Specialty Admitted Insurance segment had an underwriting profit of $1.3 million for the three months ended March 31, 2021 compared to an underwriting loss of $988,000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1"/>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260" w:type="dxa"/>
            <w:vAlign w:val="bottom"/>
          </w:tcPr>
          <w:p>
            <w:pPr>
              <w:jc w:val="right"/>
              <w:ind w:right="353"/>
              <w:spacing w:after="0"/>
              <w:rPr>
                <w:sz w:val="20"/>
                <w:szCs w:val="20"/>
                <w:color w:val="auto"/>
              </w:rPr>
            </w:pPr>
            <w:r>
              <w:rPr>
                <w:rFonts w:ascii="Arial" w:cs="Arial" w:eastAsia="Arial" w:hAnsi="Arial"/>
                <w:sz w:val="14"/>
                <w:szCs w:val="14"/>
                <w:b w:val="1"/>
                <w:bCs w:val="1"/>
                <w:i w:val="1"/>
                <w:iCs w:val="1"/>
                <w:color w:val="auto"/>
                <w:w w:val="87"/>
              </w:rPr>
              <w:t>in thousands)</w:t>
            </w: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64,861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44,842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44.6 %</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Pr>
          <w:p>
            <w:pPr>
              <w:ind w:left="20"/>
              <w:spacing w:after="0" w:line="203" w:lineRule="exact"/>
              <w:rPr>
                <w:sz w:val="20"/>
                <w:szCs w:val="20"/>
                <w:color w:val="auto"/>
              </w:rPr>
            </w:pPr>
            <w:r>
              <w:rPr>
                <w:rFonts w:ascii="Arial" w:cs="Arial" w:eastAsia="Arial" w:hAnsi="Arial"/>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34"/>
              <w:spacing w:after="0" w:line="203" w:lineRule="exact"/>
              <w:rPr>
                <w:sz w:val="20"/>
                <w:szCs w:val="20"/>
                <w:color w:val="auto"/>
              </w:rPr>
            </w:pPr>
            <w:r>
              <w:rPr>
                <w:rFonts w:ascii="Arial" w:cs="Arial" w:eastAsia="Arial" w:hAnsi="Arial"/>
                <w:sz w:val="18"/>
                <w:szCs w:val="18"/>
                <w:color w:val="auto"/>
              </w:rPr>
              <w:t>44,161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4"/>
              <w:spacing w:after="0" w:line="203" w:lineRule="exact"/>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3"/>
              <w:spacing w:after="0" w:line="203" w:lineRule="exact"/>
              <w:rPr>
                <w:sz w:val="20"/>
                <w:szCs w:val="20"/>
                <w:color w:val="auto"/>
              </w:rPr>
            </w:pPr>
            <w:r>
              <w:rPr>
                <w:rFonts w:ascii="Arial" w:cs="Arial" w:eastAsia="Arial" w:hAnsi="Arial"/>
                <w:sz w:val="18"/>
                <w:szCs w:val="18"/>
                <w:color w:val="auto"/>
              </w:rPr>
              <w:t>29,092</w:t>
            </w:r>
          </w:p>
        </w:tc>
        <w:tc>
          <w:tcPr>
            <w:tcW w:w="134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51.8 %</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32,896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(21,016)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(21,422)</w:t>
            </w: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(11,137)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(11,267)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207</w:t>
            </w:r>
          </w:p>
        </w:tc>
        <w:tc>
          <w:tcPr>
            <w:tcW w:w="1340" w:type="dxa"/>
            <w:vAlign w:val="bottom"/>
          </w:tcPr>
          <w:p>
            <w:pPr>
              <w:jc w:val="right"/>
              <w:ind w:right="135"/>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65.1 %</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99.4 %</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59.4 %</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60" w:hanging="328"/>
        <w:spacing w:after="0" w:line="277" w:lineRule="auto"/>
        <w:tabs>
          <w:tab w:leader="none" w:pos="65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loss before tax and for additional information.</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loss ratios of 68.8% and 65.1% for the three months ended March 31, 2021 and 2020, respectively, include $2.5 million and $1.9 million (8.1 and 5.7 percentage points), respectively, of net adverse development in our loss estimates for prior accident years.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expense ratio of the Casualty Reinsurance segment was 36.5% and 34.3% for the three months ended March 31, 2021 and 2020, respectively. Commission slide adjustments related to incurred losses increased the expense ratio by 3.2 points in the three months ended March 31, 2021, but decreased the expense ratio by 2.0 points in the three months ended March 31, 2020.</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items discussed above, underwriting results for the Casualty Reinsurance segment declined from an underwriting profit of $207,000 for the three months ended March 31, 2020 to an underwriting loss of $1.6 million for the three months ended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gross reserve for losses and loss adjustment expenses at March 31, 2021 was $2,413.8 million. Of this amount, 60.4% relates to amounts that are IBNR. This amount was 58.7% at December 31, 2020. The Company’s gross reserves for losses and loss adjustment expenses by segment are summarized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1"/>
              </w:rPr>
              <w:t>Gross Reserves at March 31, 2021</w:t>
            </w:r>
          </w:p>
        </w:tc>
        <w:tc>
          <w:tcPr>
            <w:tcW w:w="1000" w:type="dxa"/>
            <w:vAlign w:val="bottom"/>
            <w:tcBorders>
              <w:bottom w:val="single" w:sz="8" w:color="auto"/>
            </w:tcBorders>
          </w:tcPr>
          <w:p>
            <w:pPr>
              <w:spacing w:after="0"/>
              <w:rPr>
                <w:sz w:val="16"/>
                <w:szCs w:val="16"/>
                <w:color w:val="auto"/>
              </w:rPr>
            </w:pPr>
          </w:p>
        </w:tc>
      </w:tr>
      <w:tr>
        <w:trPr>
          <w:trHeight w:val="187"/>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80"/>
        </w:trPr>
        <w:tc>
          <w:tcPr>
            <w:tcW w:w="6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566,843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908,942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1,475,785</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255,287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366,829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622,116</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133,268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182,677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315,945</w:t>
            </w:r>
          </w:p>
        </w:tc>
      </w:tr>
      <w:tr>
        <w:trPr>
          <w:trHeight w:val="223"/>
        </w:trPr>
        <w:tc>
          <w:tcPr>
            <w:tcW w:w="68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955,398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1,458,448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2,413,846</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the amount of net reserves prior to the $335,000 allowance for uncollectible reinsurance recoverables of $1,534.8 million that related to IBNR was 57.9%. This amount was 55.3% at December 31, 2020. The Company’s net reserves for losses and loss adjustment expenses by segment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center"/>
              <w:ind w:left="616"/>
              <w:spacing w:after="0"/>
              <w:rPr>
                <w:sz w:val="20"/>
                <w:szCs w:val="20"/>
                <w:color w:val="auto"/>
              </w:rPr>
            </w:pPr>
            <w:r>
              <w:rPr>
                <w:rFonts w:ascii="Arial" w:cs="Arial" w:eastAsia="Arial" w:hAnsi="Arial"/>
                <w:sz w:val="14"/>
                <w:szCs w:val="14"/>
                <w:b w:val="1"/>
                <w:bCs w:val="1"/>
                <w:color w:val="auto"/>
                <w:w w:val="93"/>
              </w:rPr>
              <w:t>Net Reserves at March 31, 2021</w:t>
            </w:r>
          </w:p>
        </w:tc>
        <w:tc>
          <w:tcPr>
            <w:tcW w:w="1040" w:type="dxa"/>
            <w:vAlign w:val="bottom"/>
            <w:tcBorders>
              <w:bottom w:val="single" w:sz="8" w:color="auto"/>
            </w:tcBorders>
          </w:tcPr>
          <w:p>
            <w:pPr>
              <w:spacing w:after="0"/>
              <w:rPr>
                <w:sz w:val="16"/>
                <w:szCs w:val="16"/>
                <w:color w:val="auto"/>
              </w:rPr>
            </w:pPr>
          </w:p>
        </w:tc>
      </w:tr>
      <w:tr>
        <w:trPr>
          <w:trHeight w:val="187"/>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rPr>
              <w:t>IBNR</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Total</w:t>
            </w:r>
          </w:p>
        </w:tc>
      </w:tr>
      <w:tr>
        <w:trPr>
          <w:trHeight w:val="180"/>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3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476,593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657,103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1,133,696</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56,335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94,884</w:t>
            </w: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306,199</w:t>
            </w: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646,284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1,534,779</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operating expenses of the Corporate and Other segment were $8.1 million and $8.3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investment income was $15.1 million and $20.8 million for the three months ended March 31, 2021 and 2020, respectively. The Company's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private investments generated income of $334,000 for the three months ended March 31, 2021 compared to income of $517,000 in the respective prior year period. Excluding private investments, our net investment income for the three months ended March 31, 2021 decreased 27.4% from the prior year principally due to lower investment income from bank loan participations resulting from a smaller portfolio and lower investment yields. The average duration of our fixed maturity portfolio was 4.3 years at March 31, 2021.</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39"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0"/>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11,546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11,074</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2,873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Renewable energy investments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private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1,015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restricted cash equivalents and short-term investments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The following table summarizes our investment returns: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1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Average cash and invested assets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fixed maturity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Of our total cash and invested assets of $2,342.5 million at March 31, 2021 (excluding restricted cash equivalents), $183.5 million represents the cash and cash equivalents portion of the portfolio. The majority of the portfolio, or $1,800.2 million, is comprised of fixed maturity securities that are classified as available-for-sale and carried at fair value with unrealized gains and losses on these securities reported, net of applicable taxes, as a separate component of accumulated comprehensive income. Also included in our investments are $160.9 million of bank loan participations, $90.9 million of equity securities, $51.2 million of short-term investments, and $55.9 million of other invested assets.</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March 31, 2021 and December 31, 2020, the fair market value of these securities was $160.9 million and $147.6 million, respectively.</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March 31, 2021, the Company recognized net realized and unrealized investment gains of $6.3 million, including $3.9 million of net unrealized gains on bank loan participations, $1.7 million of net gains for the change in the fair value of equity securities, $1.0 million of net realized investment gains on the sale of fixed maturity securities, and $372,000 of net realized investment losses on the sale of equity securities.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outbreak of the coronavirus pandemic in the first quarter of 2020 and uncertainty around the extent of its economic impact caused severe declines in financial markets. For our equity securities and bank loan participations (accounted for at fair value pursuant to the Company's election of the fair value option on January 1, 2020), the declines in fair values led to significant net unrealized losses recognized in earnings. For the three months ended March 31, 2020, the Company recognized net realized and unrealized investment losses of $58.4 million, including $43.9 million of net unrealized losses on bank loan participations, $13.3 million of net unrealized losses for the change in the fair value of equity securities, $1.2 million of net realized investment losses on the sale of bank loan securities, and $214,000 of net realized investment gains on the sale of fixed maturity securities.</w:t>
      </w:r>
    </w:p>
    <w:p>
      <w:pPr>
        <w:spacing w:after="0" w:line="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March 31, 2021 or December 31, 2020. At March 31, 2021, 99.3%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December 31, 2020</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Cost or</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Cost or</w:t>
            </w:r>
          </w:p>
        </w:tc>
        <w:tc>
          <w:tcPr>
            <w:tcW w:w="2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Amortized</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ind w:left="86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Fixed maturity securities, available-for-sale:</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311,053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319,765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17.8 %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277,241</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296,405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16.6 %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299,956</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737,756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762,693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42.4 %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715,145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43.0 %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Commercial mortgage and asset-backed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328,180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175"/>
        </w:trPr>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w w:val="98"/>
              </w:rPr>
              <w:t>U.S. Treasury securities and obligations</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88,145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89,557</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4.9 %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97,489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5.6 %</w:t>
            </w: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guaranteed by the U.S. government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Total fixed maturity securities, available-for-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1,755,733</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1,800,151</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1,690,890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23"/>
        </w:trPr>
        <w:tc>
          <w:tcPr>
            <w:tcW w:w="33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sale</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sets forth the composition of the Company’s portfolio of available-for-sale fixed maturity securities by rating as of </w:t>
      </w:r>
      <w:r>
        <w:rPr>
          <w:rFonts w:ascii="Arial" w:cs="Arial" w:eastAsia="Arial" w:hAnsi="Arial"/>
          <w:sz w:val="17"/>
          <w:szCs w:val="17"/>
          <w:color w:val="231F20"/>
        </w:rPr>
        <w:t>March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231F20"/>
        </w:rPr>
        <w:t>2021</w:t>
      </w:r>
      <w:r>
        <w:rPr>
          <w:rFonts w:ascii="Arial" w:cs="Arial" w:eastAsia="Arial" w:hAnsi="Arial"/>
          <w:sz w:val="18"/>
          <w:szCs w:val="18"/>
          <w:color w:val="000000"/>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3"/>
          </w:tcPr>
          <w:p>
            <w:pPr>
              <w:jc w:val="right"/>
              <w:ind w:right="773"/>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354,813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674,120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37.4 %</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553,765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205,559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23"/>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1,800,151</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At March 31, 2021, our portfolio of fixed maturity securities contained corporate fixed maturity securities (available-for-sale) with a fair value of $762.7 million. A summary of these securities by industry segment is shown below as of </w:t>
      </w:r>
      <w:r>
        <w:rPr>
          <w:rFonts w:ascii="Arial" w:cs="Arial" w:eastAsia="Arial" w:hAnsi="Arial"/>
          <w:sz w:val="18"/>
          <w:szCs w:val="18"/>
          <w:color w:val="231F20"/>
        </w:rPr>
        <w:t>March 31, 2021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3"/>
          </w:tcPr>
          <w:p>
            <w:pPr>
              <w:jc w:val="right"/>
              <w:ind w:right="772"/>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191,607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25.1 %</w:t>
            </w:r>
          </w:p>
        </w:tc>
      </w:tr>
      <w:tr>
        <w:trPr>
          <w:trHeight w:val="229"/>
        </w:trPr>
        <w:tc>
          <w:tcPr>
            <w:tcW w:w="8520" w:type="dxa"/>
            <w:vAlign w:val="bottom"/>
          </w:tcPr>
          <w:p>
            <w:pPr>
              <w:ind w:left="2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194,057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25.4 %</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Health Care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89,697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29"/>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Utilities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115,780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15.2 %</w:t>
            </w: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762,693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Corporate fixed maturity securities (available-for-sale) include publicly traded securities and privately placed bonds as shown below as of </w:t>
      </w:r>
      <w:r>
        <w:rPr>
          <w:rFonts w:ascii="Arial" w:cs="Arial" w:eastAsia="Arial" w:hAnsi="Arial"/>
          <w:sz w:val="16"/>
          <w:szCs w:val="16"/>
          <w:color w:val="231F2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2021</w:t>
      </w:r>
      <w:r>
        <w:rPr>
          <w:rFonts w:ascii="Arial" w:cs="Arial" w:eastAsia="Arial" w:hAnsi="Arial"/>
          <w:sz w:val="18"/>
          <w:szCs w:val="18"/>
          <w:color w:val="000000"/>
        </w:rPr>
        <w: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Public/Private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 of Total</w:t>
            </w:r>
          </w:p>
        </w:tc>
      </w:tr>
      <w:tr>
        <w:trPr>
          <w:trHeight w:val="185"/>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right"/>
              <w:ind w:right="755"/>
              <w:spacing w:after="0"/>
              <w:rPr>
                <w:sz w:val="20"/>
                <w:szCs w:val="20"/>
                <w:color w:val="auto"/>
              </w:rPr>
            </w:pPr>
            <w:r>
              <w:rPr>
                <w:rFonts w:ascii="Arial" w:cs="Arial" w:eastAsia="Arial" w:hAnsi="Arial"/>
                <w:sz w:val="14"/>
                <w:szCs w:val="14"/>
                <w:b w:val="1"/>
                <w:bCs w:val="1"/>
                <w:i w:val="1"/>
                <w:iCs w:val="1"/>
                <w:color w:val="auto"/>
              </w:rPr>
              <w:t>($ in thousands)</w:t>
            </w:r>
          </w:p>
        </w:tc>
      </w:tr>
      <w:tr>
        <w:trPr>
          <w:trHeight w:val="23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686,860</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90.1 %</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placed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75,833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9.9 %</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762,693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March 31, 2021</w:t>
            </w:r>
          </w:p>
        </w:tc>
        <w:tc>
          <w:tcPr>
            <w:tcW w:w="1340" w:type="dxa"/>
            <w:vAlign w:val="bottom"/>
            <w:tcBorders>
              <w:bottom w:val="single" w:sz="8" w:color="auto"/>
            </w:tcBorders>
          </w:tcPr>
          <w:p>
            <w:pPr>
              <w:spacing w:after="0"/>
              <w:rPr>
                <w:sz w:val="16"/>
                <w:szCs w:val="16"/>
                <w:color w:val="auto"/>
              </w:rPr>
            </w:pPr>
          </w:p>
        </w:tc>
      </w:tr>
      <w:tr>
        <w:trPr>
          <w:trHeight w:val="134"/>
        </w:trPr>
        <w:tc>
          <w:tcPr>
            <w:tcW w:w="7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9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Fair</w:t>
            </w:r>
          </w:p>
        </w:tc>
        <w:tc>
          <w:tcPr>
            <w:tcW w:w="1340" w:type="dxa"/>
            <w:vAlign w:val="bottom"/>
          </w:tcPr>
          <w:p>
            <w:pPr>
              <w:jc w:val="right"/>
              <w:ind w:right="434"/>
              <w:spacing w:after="0" w:line="135" w:lineRule="exact"/>
              <w:rPr>
                <w:sz w:val="20"/>
                <w:szCs w:val="20"/>
                <w:color w:val="auto"/>
              </w:rPr>
            </w:pPr>
            <w:r>
              <w:rPr>
                <w:rFonts w:ascii="Arial" w:cs="Arial" w:eastAsia="Arial" w:hAnsi="Arial"/>
                <w:sz w:val="14"/>
                <w:szCs w:val="14"/>
                <w:b w:val="1"/>
                <w:bCs w:val="1"/>
                <w:color w:val="auto"/>
              </w:rPr>
              <w:t>% of</w:t>
            </w:r>
          </w:p>
        </w:tc>
      </w:tr>
      <w:tr>
        <w:trPr>
          <w:trHeight w:val="188"/>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13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Total Value</w:t>
            </w:r>
          </w:p>
        </w:tc>
      </w:tr>
      <w:tr>
        <w:trPr>
          <w:trHeight w:val="180"/>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tcPr>
          <w:p>
            <w:pPr>
              <w:spacing w:after="0"/>
              <w:rPr>
                <w:sz w:val="15"/>
                <w:szCs w:val="15"/>
                <w:color w:val="auto"/>
              </w:rPr>
            </w:pPr>
          </w:p>
        </w:tc>
      </w:tr>
      <w:tr>
        <w:trPr>
          <w:trHeight w:val="23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110,269</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111,427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6.2 %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477,392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26.5 %</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332,488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18.5 %</w:t>
            </w:r>
          </w:p>
        </w:tc>
      </w:tr>
      <w:tr>
        <w:trPr>
          <w:trHeight w:val="229"/>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250,708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13.9 %</w:t>
            </w: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299,956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16.7 %</w:t>
            </w: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328,180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1,755,733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1,800,151</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940" w:firstLine="364"/>
        <w:spacing w:after="0" w:line="375" w:lineRule="auto"/>
        <w:rPr>
          <w:sz w:val="20"/>
          <w:szCs w:val="20"/>
          <w:color w:val="auto"/>
        </w:rPr>
      </w:pPr>
      <w:r>
        <w:rPr>
          <w:rFonts w:ascii="Arial" w:cs="Arial" w:eastAsia="Arial" w:hAnsi="Arial"/>
          <w:sz w:val="18"/>
          <w:szCs w:val="18"/>
          <w:color w:val="auto"/>
        </w:rPr>
        <w:t xml:space="preserve">At March 31, 2021,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spacing w:after="0" w:line="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Interest expense was $2.2 million and $2.9 million for the three months ended March 31, 2021 and 2020, respectively. See “—Liquidity and Capital Resources—Sources and Uses of Funds” for more information regarding our senior bank debt facilities and trust preferred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recorded $91,000 and $149,000 of amortization of intangible assets for each of the three months ended March 31, 2021 and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$140.8 million for the three months ended March 31, 2021 and recorded a U.S. federal income tax benefit of $37.4 million. The pre-tax loss was largely driven by the $170.1 million of net adverse reserve development on prior accident years, including $168.7 million of net adverse development from the Excess and Surplus Lines segment that was primarily related to a former commercial auto account. For the three months ended March 31, 2021, our U.S. federal income tax benefit was 26.5% of the loss before taxes. The outbreak of the coronavirus pandemic in the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first quarter of 2020 led to significant unrealized losses in our investment portfolio that were recognized in earnings. As a result, the Company had a pre-tax loss of $41.2 million for the three months ended March 31, 2020 and recorded a U.S. federal income tax benefit of $4.4 million. For the three months ended March 31, 2020, our U.S. federal income tax benefit was 10.7% of the loss before taxes. The change in effective tax rate for the two periods reflects changes in reserve estimates between accident years in the commercial auto business, and the related impact on the mix of income reported by country in those respective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James River paid a $17.0 million dividend to the U.S. holding company in the three months ended March 31, 2021, reducing the maximum amount of dividends available to the U.S. holding company from our U.S. insurance subsidiaries during the remainder of 2021 without regulatory approval to $11.6 million. However, insurance regulators have broad powers to prevent the reduction of statutory surplus to inadequate levels and could refuse to permit the payment of dividends calculated under any applicable formula.</w:t>
      </w:r>
    </w:p>
    <w:p>
      <w:pPr>
        <w:spacing w:after="0" w:line="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2021 is calculated to be approximately $153.8 million. However, any dividend payment is contingent upon continued compliance with Bermuda regulatory requirements, including but not limited to the enhanced solvency requirement calculations.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March 31, 2021, the Bermuda holding company had $5.3 million of cash and cash equivalents. The U.S. holding company had $57.1 million of cash and invested assets, comprised of cash and cash equivalents of $10.1 million and other invested assets of $47.0 million, which are not subject to regulatory restrictions. Additionally, our U.K. intermediate holding company had no invested assets and cash of less than ten thousand dollars at March 31, 2021.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March 31, 2021:</w:t>
      </w:r>
    </w:p>
    <w:p>
      <w:pPr>
        <w:spacing w:after="0" w:line="62" w:lineRule="exact"/>
        <w:rPr>
          <w:sz w:val="20"/>
          <w:szCs w:val="20"/>
          <w:color w:val="auto"/>
        </w:rPr>
      </w:pPr>
    </w:p>
    <w:p>
      <w:pPr>
        <w:jc w:val="both"/>
        <w:ind w:left="6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March 31, 2021, the Company had $89.7 million of letters of credit issued under the secured facility.</w:t>
      </w:r>
    </w:p>
    <w:p>
      <w:pPr>
        <w:spacing w:after="0" w:line="7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1.625% and is subject to change according to terms in the credit agreement. At March 31, 2021, the Company had a drawn balance of $185.8 million outstanding on the unsecured revolver.</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March 31, 2021.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March 31, 2021.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March 31, 2021, unsecured loans of $61.5 million and secured letters of credit totaling $15.2 million were outstanding on the 2017 Facility.</w:t>
      </w:r>
    </w:p>
    <w:p>
      <w:pPr>
        <w:spacing w:after="0" w:line="5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March 31, 2021, and which, among other things, restrict our ability to assume senior indebtedness secured by our U.S. holding company’s common stock or its subsidiaries’ capital stock or to issue shares of its subsidiaries’ capital stock.</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March 31, 2021 (including the Company’s repurchases of a portion of these trust preferred securities):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James River</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Holdings II</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(Bermuda)</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56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5"/>
              </w:rPr>
              <w:t>Capital Trust</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 Trust</w:t>
            </w:r>
          </w:p>
        </w:tc>
        <w:tc>
          <w:tcPr>
            <w:tcW w:w="16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Capital Trust</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Capital Trust</w:t>
            </w:r>
          </w:p>
        </w:tc>
        <w:tc>
          <w:tcPr>
            <w:tcW w:w="15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Capital Trust</w:t>
            </w:r>
          </w:p>
        </w:tc>
        <w:tc>
          <w:tcPr>
            <w:tcW w:w="0" w:type="dxa"/>
            <w:vAlign w:val="bottom"/>
          </w:tcPr>
          <w:p>
            <w:pPr>
              <w:spacing w:after="0"/>
              <w:rPr>
                <w:sz w:val="1"/>
                <w:szCs w:val="1"/>
                <w:color w:val="auto"/>
              </w:rPr>
            </w:pPr>
          </w:p>
        </w:tc>
      </w:tr>
      <w:tr>
        <w:trPr>
          <w:trHeight w:val="188"/>
        </w:trPr>
        <w:tc>
          <w:tcPr>
            <w:tcW w:w="3660" w:type="dxa"/>
            <w:vAlign w:val="bottom"/>
          </w:tcPr>
          <w:p>
            <w:pPr>
              <w:spacing w:after="0"/>
              <w:rPr>
                <w:sz w:val="16"/>
                <w:szCs w:val="16"/>
                <w:color w:val="auto"/>
              </w:rPr>
            </w:pPr>
          </w:p>
        </w:tc>
        <w:tc>
          <w:tcPr>
            <w:tcW w:w="15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I</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III</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81"/>
        </w:trPr>
        <w:tc>
          <w:tcPr>
            <w:tcW w:w="36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20" w:type="dxa"/>
            <w:vAlign w:val="bottom"/>
          </w:tcPr>
          <w:p>
            <w:pPr>
              <w:jc w:val="center"/>
              <w:ind w:left="15"/>
              <w:spacing w:after="0"/>
              <w:rPr>
                <w:sz w:val="20"/>
                <w:szCs w:val="20"/>
                <w:color w:val="auto"/>
              </w:rPr>
            </w:pPr>
            <w:r>
              <w:rPr>
                <w:rFonts w:ascii="Arial" w:cs="Arial" w:eastAsia="Arial" w:hAnsi="Arial"/>
                <w:sz w:val="14"/>
                <w:szCs w:val="14"/>
                <w:b w:val="1"/>
                <w:bCs w:val="1"/>
                <w:i w:val="1"/>
                <w:iCs w:val="1"/>
                <w:color w:val="auto"/>
                <w:w w:val="88"/>
              </w:rPr>
              <w:t>($ in thousands)</w:t>
            </w:r>
          </w:p>
        </w:tc>
        <w:tc>
          <w:tcPr>
            <w:tcW w:w="1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66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rPr>
              <w:t>Issue date</w:t>
            </w:r>
          </w:p>
        </w:tc>
        <w:tc>
          <w:tcPr>
            <w:tcW w:w="1560" w:type="dxa"/>
            <w:vAlign w:val="bottom"/>
            <w:shd w:val="clear" w:color="auto" w:fill="CCEEFF"/>
          </w:tcPr>
          <w:p>
            <w:pPr>
              <w:jc w:val="center"/>
              <w:ind w:right="34"/>
              <w:spacing w:after="0" w:line="179" w:lineRule="exact"/>
              <w:rPr>
                <w:sz w:val="20"/>
                <w:szCs w:val="20"/>
                <w:color w:val="auto"/>
              </w:rPr>
            </w:pPr>
            <w:r>
              <w:rPr>
                <w:rFonts w:ascii="Arial" w:cs="Arial" w:eastAsia="Arial" w:hAnsi="Arial"/>
                <w:sz w:val="18"/>
                <w:szCs w:val="18"/>
                <w:color w:val="auto"/>
                <w:w w:val="93"/>
              </w:rPr>
              <w:t>May 26,</w:t>
            </w:r>
          </w:p>
        </w:tc>
        <w:tc>
          <w:tcPr>
            <w:tcW w:w="136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88"/>
              </w:rPr>
              <w:t>December 15,</w:t>
            </w:r>
          </w:p>
        </w:tc>
        <w:tc>
          <w:tcPr>
            <w:tcW w:w="162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86"/>
              </w:rPr>
              <w:t>June 15,</w:t>
            </w:r>
          </w:p>
        </w:tc>
        <w:tc>
          <w:tcPr>
            <w:tcW w:w="152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88"/>
              </w:rPr>
              <w:t>December 11,</w:t>
            </w:r>
          </w:p>
        </w:tc>
        <w:tc>
          <w:tcPr>
            <w:tcW w:w="1500" w:type="dxa"/>
            <w:vAlign w:val="bottom"/>
            <w:shd w:val="clear" w:color="auto" w:fill="CCEEFF"/>
          </w:tcPr>
          <w:p>
            <w:pPr>
              <w:jc w:val="center"/>
              <w:spacing w:after="0" w:line="179" w:lineRule="exact"/>
              <w:rPr>
                <w:sz w:val="20"/>
                <w:szCs w:val="20"/>
                <w:color w:val="auto"/>
              </w:rPr>
            </w:pPr>
            <w:r>
              <w:rPr>
                <w:rFonts w:ascii="Arial" w:cs="Arial" w:eastAsia="Arial" w:hAnsi="Arial"/>
                <w:sz w:val="18"/>
                <w:szCs w:val="18"/>
                <w:color w:val="auto"/>
                <w:w w:val="89"/>
              </w:rPr>
              <w:t>January 10,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89"/>
              </w:rPr>
              <w:t>2004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Principal amount of trust preferred securities</w:t>
            </w:r>
          </w:p>
        </w:tc>
        <w:tc>
          <w:tcPr>
            <w:tcW w:w="1560" w:type="dxa"/>
            <w:vAlign w:val="bottom"/>
          </w:tcPr>
          <w:p>
            <w:pPr>
              <w:jc w:val="center"/>
              <w:ind w:right="54"/>
              <w:spacing w:after="0"/>
              <w:rPr>
                <w:sz w:val="20"/>
                <w:szCs w:val="20"/>
                <w:color w:val="auto"/>
              </w:rPr>
            </w:pPr>
            <w:r>
              <w:rPr>
                <w:rFonts w:ascii="Arial" w:cs="Arial" w:eastAsia="Arial" w:hAnsi="Arial"/>
                <w:sz w:val="18"/>
                <w:szCs w:val="18"/>
                <w:color w:val="auto"/>
                <w:w w:val="90"/>
              </w:rPr>
              <w:t>$7,000</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$15,000</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$54,000</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$30,000</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junior subordinated debt</w:t>
            </w:r>
          </w:p>
        </w:tc>
        <w:tc>
          <w:tcPr>
            <w:tcW w:w="156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0"/>
              </w:rPr>
              <w:t>$7,217</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$15,464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$20,619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$55,670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$30,928</w:t>
            </w:r>
          </w:p>
        </w:tc>
        <w:tc>
          <w:tcPr>
            <w:tcW w:w="0" w:type="dxa"/>
            <w:vAlign w:val="bottom"/>
          </w:tcPr>
          <w:p>
            <w:pPr>
              <w:spacing w:after="0"/>
              <w:rPr>
                <w:sz w:val="1"/>
                <w:szCs w:val="1"/>
                <w:color w:val="auto"/>
              </w:rPr>
            </w:pPr>
          </w:p>
        </w:tc>
      </w:tr>
      <w:tr>
        <w:trPr>
          <w:trHeight w:val="175"/>
        </w:trPr>
        <w:tc>
          <w:tcPr>
            <w:tcW w:w="3660" w:type="dxa"/>
            <w:vAlign w:val="bottom"/>
          </w:tcPr>
          <w:p>
            <w:pPr>
              <w:ind w:left="20"/>
              <w:spacing w:after="0" w:line="176" w:lineRule="exact"/>
              <w:rPr>
                <w:sz w:val="20"/>
                <w:szCs w:val="20"/>
                <w:color w:val="auto"/>
              </w:rPr>
            </w:pPr>
            <w:r>
              <w:rPr>
                <w:rFonts w:ascii="Arial" w:cs="Arial" w:eastAsia="Arial" w:hAnsi="Arial"/>
                <w:sz w:val="18"/>
                <w:szCs w:val="18"/>
                <w:color w:val="auto"/>
                <w:w w:val="94"/>
              </w:rPr>
              <w:t>Carrying amount of junior subordinated debt net</w:t>
            </w:r>
          </w:p>
        </w:tc>
        <w:tc>
          <w:tcPr>
            <w:tcW w:w="1560" w:type="dxa"/>
            <w:vAlign w:val="bottom"/>
            <w:vMerge w:val="restart"/>
          </w:tcPr>
          <w:p>
            <w:pPr>
              <w:jc w:val="center"/>
              <w:ind w:right="54"/>
              <w:spacing w:after="0"/>
              <w:rPr>
                <w:sz w:val="20"/>
                <w:szCs w:val="20"/>
                <w:color w:val="auto"/>
              </w:rPr>
            </w:pPr>
            <w:r>
              <w:rPr>
                <w:rFonts w:ascii="Arial" w:cs="Arial" w:eastAsia="Arial" w:hAnsi="Arial"/>
                <w:sz w:val="18"/>
                <w:szCs w:val="18"/>
                <w:color w:val="auto"/>
                <w:w w:val="90"/>
              </w:rPr>
              <w:t>$7,217</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2"/>
              </w:rPr>
              <w:t>$15,464</w:t>
            </w:r>
          </w:p>
        </w:tc>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89"/>
              </w:rPr>
              <w:t>$20,619</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2"/>
              </w:rPr>
              <w:t>$44,827</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2"/>
              </w:rPr>
              <w:t>$15,928</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of repurchases</w:t>
            </w:r>
          </w:p>
        </w:tc>
        <w:tc>
          <w:tcPr>
            <w:tcW w:w="156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6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Maturity date of junior subordinated debt, unless</w:t>
            </w:r>
          </w:p>
        </w:tc>
        <w:tc>
          <w:tcPr>
            <w:tcW w:w="1560" w:type="dxa"/>
            <w:vAlign w:val="bottom"/>
            <w:shd w:val="clear" w:color="auto" w:fill="CCEEFF"/>
          </w:tcPr>
          <w:p>
            <w:pPr>
              <w:jc w:val="center"/>
              <w:ind w:right="34"/>
              <w:spacing w:after="0" w:line="176" w:lineRule="exact"/>
              <w:rPr>
                <w:sz w:val="20"/>
                <w:szCs w:val="20"/>
                <w:color w:val="auto"/>
              </w:rPr>
            </w:pPr>
            <w:r>
              <w:rPr>
                <w:rFonts w:ascii="Arial" w:cs="Arial" w:eastAsia="Arial" w:hAnsi="Arial"/>
                <w:sz w:val="18"/>
                <w:szCs w:val="18"/>
                <w:color w:val="auto"/>
                <w:w w:val="93"/>
              </w:rPr>
              <w:t>May 24,</w:t>
            </w: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December 15,</w:t>
            </w:r>
          </w:p>
        </w:tc>
        <w:tc>
          <w:tcPr>
            <w:tcW w:w="16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June 15,</w:t>
            </w:r>
          </w:p>
        </w:tc>
        <w:tc>
          <w:tcPr>
            <w:tcW w:w="15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December 15,</w:t>
            </w:r>
          </w:p>
        </w:tc>
        <w:tc>
          <w:tcPr>
            <w:tcW w:w="1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March 15,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earlier</w:t>
            </w:r>
          </w:p>
        </w:tc>
        <w:tc>
          <w:tcPr>
            <w:tcW w:w="1560" w:type="dxa"/>
            <w:vAlign w:val="bottom"/>
            <w:shd w:val="clear" w:color="auto" w:fill="CCEEFF"/>
          </w:tcPr>
          <w:p>
            <w:pPr>
              <w:jc w:val="center"/>
              <w:ind w:right="34"/>
              <w:spacing w:after="0"/>
              <w:rPr>
                <w:sz w:val="20"/>
                <w:szCs w:val="20"/>
                <w:color w:val="auto"/>
              </w:rPr>
            </w:pPr>
            <w:r>
              <w:rPr>
                <w:rFonts w:ascii="Arial" w:cs="Arial" w:eastAsia="Arial" w:hAnsi="Arial"/>
                <w:sz w:val="18"/>
                <w:szCs w:val="18"/>
                <w:color w:val="auto"/>
                <w:w w:val="89"/>
              </w:rPr>
              <w:t>2034</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2036</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Trust common stock</w:t>
            </w:r>
          </w:p>
        </w:tc>
        <w:tc>
          <w:tcPr>
            <w:tcW w:w="1560" w:type="dxa"/>
            <w:vAlign w:val="bottom"/>
          </w:tcPr>
          <w:p>
            <w:pPr>
              <w:jc w:val="center"/>
              <w:ind w:right="34"/>
              <w:spacing w:after="0"/>
              <w:rPr>
                <w:sz w:val="20"/>
                <w:szCs w:val="20"/>
                <w:color w:val="auto"/>
              </w:rPr>
            </w:pPr>
            <w:r>
              <w:rPr>
                <w:rFonts w:ascii="Arial" w:cs="Arial" w:eastAsia="Arial" w:hAnsi="Arial"/>
                <w:sz w:val="18"/>
                <w:szCs w:val="18"/>
                <w:color w:val="auto"/>
                <w:w w:val="89"/>
              </w:rPr>
              <w:t>$217</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$619</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$1,670</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175"/>
        </w:trPr>
        <w:tc>
          <w:tcPr>
            <w:tcW w:w="3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rate, per annum</w:t>
            </w:r>
          </w:p>
        </w:tc>
        <w:tc>
          <w:tcPr>
            <w:tcW w:w="1560" w:type="dxa"/>
            <w:vAlign w:val="bottom"/>
            <w:vMerge w:val="restart"/>
            <w:shd w:val="clear" w:color="auto" w:fill="CCEEFF"/>
          </w:tcPr>
          <w:p>
            <w:pPr>
              <w:jc w:val="center"/>
              <w:ind w:right="34"/>
              <w:spacing w:after="0"/>
              <w:rPr>
                <w:sz w:val="20"/>
                <w:szCs w:val="20"/>
                <w:color w:val="auto"/>
              </w:rPr>
            </w:pPr>
            <w:r>
              <w:rPr>
                <w:rFonts w:ascii="Arial" w:cs="Arial" w:eastAsia="Arial" w:hAnsi="Arial"/>
                <w:sz w:val="18"/>
                <w:szCs w:val="18"/>
                <w:color w:val="auto"/>
                <w:w w:val="93"/>
              </w:rPr>
              <w:t>Three-Month</w:t>
            </w: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Three-Month</w:t>
            </w:r>
          </w:p>
        </w:tc>
        <w:tc>
          <w:tcPr>
            <w:tcW w:w="1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15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Three-Month</w:t>
            </w: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13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5"/>
              </w:rPr>
              <w:t>LIBOR plus</w:t>
            </w:r>
          </w:p>
        </w:tc>
        <w:tc>
          <w:tcPr>
            <w:tcW w:w="162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4"/>
              </w:rPr>
              <w:t>LIBOR plus 4.0%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3.0%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LIBOR plus 3.1%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LIBOR plus 4.0%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debt contains certain covenants with which we are in compliance as of March 31, 2021.</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March 31, 2021 and December 31, 2020, the Company's leverage ratio was 35.0% and 30.4%,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Having debt as part of our capital structure allows us to generate a higher return on equity and greater book value per share results than we could by using equity capital alone.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March 31, 2021 and 2020, our net premium retention was 46.8% and 47.4%, respectively.</w:t>
      </w:r>
    </w:p>
    <w:p>
      <w:pPr>
        <w:spacing w:after="0" w:line="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56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Company Retention</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Casualty</w:t>
            </w:r>
          </w:p>
        </w:tc>
        <w:tc>
          <w:tcPr>
            <w:tcW w:w="4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CEEFF"/>
          </w:tcPr>
          <w:p>
            <w:pPr>
              <w:ind w:left="260"/>
              <w:spacing w:after="0" w:line="176" w:lineRule="exact"/>
              <w:rPr>
                <w:sz w:val="20"/>
                <w:szCs w:val="20"/>
                <w:color w:val="auto"/>
              </w:rPr>
            </w:pPr>
            <w:r>
              <w:rPr>
                <w:rFonts w:ascii="Arial" w:cs="Arial" w:eastAsia="Arial" w:hAnsi="Arial"/>
                <w:sz w:val="18"/>
                <w:szCs w:val="18"/>
                <w:color w:val="auto"/>
              </w:rPr>
              <w:t>Primary Specialty Casualty, including Professional</w:t>
            </w:r>
          </w:p>
        </w:tc>
        <w:tc>
          <w:tcPr>
            <w:tcW w:w="6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8"/>
              </w:rPr>
              <w:t xml:space="preserve">Up to $1.0 million per occurrence, subject to a $1.0 million aggregate deductible. </w:t>
            </w:r>
            <w:r>
              <w:rPr>
                <w:rFonts w:ascii="Arial" w:cs="Arial" w:eastAsia="Arial" w:hAnsi="Arial"/>
                <w:sz w:val="14"/>
                <w:szCs w:val="14"/>
                <w:i w:val="1"/>
                <w:iCs w:val="1"/>
                <w:color w:val="auto"/>
                <w:w w:val="98"/>
              </w:rPr>
              <w:t>(1)</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Liability</w:t>
            </w:r>
          </w:p>
        </w:tc>
        <w:tc>
          <w:tcPr>
            <w:tcW w:w="6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gridSpan w:val="2"/>
          </w:tcPr>
          <w:p>
            <w:pPr>
              <w:ind w:left="260"/>
              <w:spacing w:after="0"/>
              <w:rPr>
                <w:sz w:val="20"/>
                <w:szCs w:val="20"/>
                <w:color w:val="auto"/>
              </w:rPr>
            </w:pPr>
            <w:r>
              <w:rPr>
                <w:rFonts w:ascii="Arial" w:cs="Arial" w:eastAsia="Arial" w:hAnsi="Arial"/>
                <w:sz w:val="18"/>
                <w:szCs w:val="18"/>
                <w:color w:val="auto"/>
              </w:rPr>
              <w:t>Primary Casualty</w:t>
            </w:r>
          </w:p>
        </w:tc>
        <w:tc>
          <w:tcPr>
            <w:tcW w:w="6560" w:type="dxa"/>
            <w:vAlign w:val="bottom"/>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230"/>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Excess Casualty</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4"/>
                <w:szCs w:val="14"/>
                <w:i w:val="1"/>
                <w:iCs w:val="1"/>
                <w:color w:val="auto"/>
              </w:rPr>
              <w:t>(3)</w:t>
            </w:r>
          </w:p>
        </w:tc>
        <w:tc>
          <w:tcPr>
            <w:tcW w:w="0" w:type="dxa"/>
            <w:vAlign w:val="bottom"/>
          </w:tcPr>
          <w:p>
            <w:pPr>
              <w:spacing w:after="0"/>
              <w:rPr>
                <w:sz w:val="1"/>
                <w:szCs w:val="1"/>
                <w:color w:val="auto"/>
              </w:rPr>
            </w:pPr>
          </w:p>
        </w:tc>
      </w:tr>
      <w:tr>
        <w:trPr>
          <w:trHeight w:val="230"/>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656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63" w:lineRule="exact"/>
        <w:rPr>
          <w:rFonts w:ascii="Arial" w:cs="Arial" w:eastAsia="Arial" w:hAnsi="Arial"/>
          <w:sz w:val="18"/>
          <w:szCs w:val="18"/>
          <w:i w:val="1"/>
          <w:iCs w:val="1"/>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4"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property catastrophe treaty. In the event of a catastrophe loss exhausting our $45.0 million property catastrophe treaty, we estimate our pre-tax cost at approximately $7.3 million, including reinstatement premiums and net retentions. In addition to this retention, we would retain any losses in excess of our reinsurance coverage limits.</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could enter into a transaction to transfer the risks associated with all or part of our commercial auto business. It is uncertain whether we will enter into any such transaction, or the terms of any such transaction should one be consummated.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gridSpan w:val="2"/>
          </w:tcPr>
          <w:p>
            <w:pPr>
              <w:ind w:left="1180"/>
              <w:spacing w:after="0"/>
              <w:rPr>
                <w:sz w:val="20"/>
                <w:szCs w:val="20"/>
                <w:color w:val="auto"/>
              </w:rPr>
            </w:pPr>
            <w:r>
              <w:rPr>
                <w:rFonts w:ascii="Arial" w:cs="Arial" w:eastAsia="Arial" w:hAnsi="Arial"/>
                <w:sz w:val="14"/>
                <w:szCs w:val="14"/>
                <w:b w:val="1"/>
                <w:bCs w:val="1"/>
                <w:color w:val="auto"/>
              </w:rPr>
              <w:t>Line of Business</w:t>
            </w:r>
          </w:p>
        </w:tc>
        <w:tc>
          <w:tcPr>
            <w:tcW w:w="7420" w:type="dxa"/>
            <w:vAlign w:val="bottom"/>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Casualty</w:t>
            </w:r>
          </w:p>
        </w:tc>
        <w:tc>
          <w:tcPr>
            <w:tcW w:w="420" w:type="dxa"/>
            <w:vAlign w:val="bottom"/>
          </w:tcPr>
          <w:p>
            <w:pPr>
              <w:spacing w:after="0"/>
              <w:rPr>
                <w:sz w:val="19"/>
                <w:szCs w:val="19"/>
                <w:color w:val="auto"/>
              </w:rPr>
            </w:pPr>
          </w:p>
        </w:tc>
        <w:tc>
          <w:tcPr>
            <w:tcW w:w="7420" w:type="dxa"/>
            <w:vAlign w:val="bottom"/>
            <w:tcBorders>
              <w:top w:val="single" w:sz="8" w:color="auto"/>
            </w:tcBorders>
          </w:tcPr>
          <w:p>
            <w:pPr>
              <w:spacing w:after="0"/>
              <w:rPr>
                <w:sz w:val="19"/>
                <w:szCs w:val="19"/>
                <w:color w:val="auto"/>
              </w:rPr>
            </w:pPr>
          </w:p>
        </w:tc>
      </w:tr>
      <w:tr>
        <w:trPr>
          <w:trHeight w:val="176"/>
        </w:trPr>
        <w:tc>
          <w:tcPr>
            <w:tcW w:w="378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Quota share coverage for 70-85% of the first $1.0 million.</w:t>
            </w:r>
            <w:r>
              <w:rPr>
                <w:rFonts w:ascii="Arial" w:cs="Arial" w:eastAsia="Arial" w:hAnsi="Arial"/>
                <w:sz w:val="20"/>
                <w:szCs w:val="20"/>
                <w:color w:val="auto"/>
                <w:vertAlign w:val="superscript"/>
              </w:rPr>
              <w:t>(1)(2)</w:t>
            </w:r>
          </w:p>
        </w:tc>
      </w:tr>
      <w:tr>
        <w:trPr>
          <w:trHeight w:val="229"/>
        </w:trPr>
        <w:tc>
          <w:tcPr>
            <w:tcW w:w="33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3"/>
                <w:szCs w:val="23"/>
                <w:color w:val="auto"/>
                <w:vertAlign w:val="superscript"/>
              </w:rPr>
              <w:t>(1)(2)</w:t>
            </w:r>
          </w:p>
        </w:tc>
      </w:tr>
      <w:tr>
        <w:trPr>
          <w:trHeight w:val="176"/>
        </w:trPr>
        <w:tc>
          <w:tcPr>
            <w:tcW w:w="378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9"/>
              </w:rPr>
              <w:t>Quota share coverage for 70-90% of limits up to $1.5 million liability and $5.0 million physical</w:t>
            </w:r>
          </w:p>
        </w:tc>
      </w:tr>
      <w:tr>
        <w:trPr>
          <w:trHeight w:val="229"/>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damage per occurrence.</w:t>
            </w:r>
          </w:p>
        </w:tc>
      </w:tr>
      <w:tr>
        <w:trPr>
          <w:trHeight w:val="176"/>
        </w:trPr>
        <w:tc>
          <w:tcPr>
            <w:tcW w:w="378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Quota share coverage for 70% - 100% of limits up to $3.0 million per occurrence.</w:t>
            </w:r>
          </w:p>
        </w:tc>
      </w:tr>
      <w:tr>
        <w:trPr>
          <w:trHeight w:val="229"/>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6"/>
        </w:trPr>
        <w:tc>
          <w:tcPr>
            <w:tcW w:w="378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6" w:lineRule="exact"/>
              <w:rPr>
                <w:sz w:val="20"/>
                <w:szCs w:val="20"/>
                <w:color w:val="auto"/>
              </w:rPr>
            </w:pPr>
            <w:r>
              <w:rPr>
                <w:rFonts w:ascii="Arial" w:cs="Arial" w:eastAsia="Arial" w:hAnsi="Arial"/>
                <w:sz w:val="18"/>
                <w:szCs w:val="18"/>
                <w:color w:val="auto"/>
                <w:w w:val="92"/>
              </w:rPr>
              <w:t>Quota share coverage for 95%-100% of limits up to $10.0 million per occurrence, and excess of loss</w:t>
            </w:r>
          </w:p>
        </w:tc>
      </w:tr>
      <w:tr>
        <w:trPr>
          <w:trHeight w:val="229"/>
        </w:trPr>
        <w:tc>
          <w:tcPr>
            <w:tcW w:w="3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coverage for $5.0 million in excess of $10.0 million.</w:t>
            </w: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9"/>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Quota share coverage for 100% of limits up to $25.0 million per occurrence. </w:t>
            </w:r>
            <w:r>
              <w:rPr>
                <w:rFonts w:ascii="Arial" w:cs="Arial" w:eastAsia="Arial" w:hAnsi="Arial"/>
                <w:sz w:val="23"/>
                <w:szCs w:val="23"/>
                <w:color w:val="auto"/>
                <w:vertAlign w:val="superscript"/>
              </w:rPr>
              <w:t>(3)</w:t>
            </w:r>
          </w:p>
        </w:tc>
      </w:tr>
      <w:tr>
        <w:trPr>
          <w:trHeight w:val="229"/>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30"/>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15"/>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80% of limits up to $20 million liability and $2.5 million hull per</w:t>
            </w:r>
          </w:p>
        </w:tc>
      </w:tr>
      <w:tr>
        <w:trPr>
          <w:trHeight w:val="203"/>
        </w:trPr>
        <w:tc>
          <w:tcPr>
            <w:tcW w:w="3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0"/>
              </w:rPr>
              <w:t>occurrence, each aircraft; and excess of loss coverage for up to $7.3M excess of $200 thousand of our</w:t>
            </w:r>
          </w:p>
        </w:tc>
      </w:tr>
      <w:tr>
        <w:trPr>
          <w:trHeight w:val="244"/>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 share of the quota share each occurrence.</w:t>
            </w:r>
          </w:p>
        </w:tc>
      </w:tr>
    </w:tbl>
    <w:p>
      <w:pPr>
        <w:spacing w:after="0" w:line="80" w:lineRule="exact"/>
        <w:rPr>
          <w:sz w:val="20"/>
          <w:szCs w:val="20"/>
          <w:color w:val="auto"/>
        </w:rPr>
      </w:pPr>
    </w:p>
    <w:p>
      <w:pPr>
        <w:ind w:left="340" w:right="20" w:hanging="332"/>
        <w:spacing w:after="0" w:line="277" w:lineRule="auto"/>
        <w:tabs>
          <w:tab w:leader="none" w:pos="456"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81.25% of the first $1.0 million per occurrence and excess of loss coverage for $49.0 million in excess of $1.0 million per occurrence.</w:t>
      </w:r>
    </w:p>
    <w:p>
      <w:pPr>
        <w:spacing w:after="0" w:line="8" w:lineRule="exact"/>
        <w:rPr>
          <w:rFonts w:ascii="Arial" w:cs="Arial" w:eastAsia="Arial" w:hAnsi="Arial"/>
          <w:sz w:val="18"/>
          <w:szCs w:val="18"/>
          <w:i w:val="1"/>
          <w:iCs w:val="1"/>
          <w:color w:val="auto"/>
        </w:rPr>
      </w:pPr>
    </w:p>
    <w:p>
      <w:pPr>
        <w:ind w:left="400" w:hanging="392"/>
        <w:spacing w:after="0"/>
        <w:tabs>
          <w:tab w:leader="none" w:pos="4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7" w:lineRule="exact"/>
        <w:rPr>
          <w:rFonts w:ascii="Arial" w:cs="Arial" w:eastAsia="Arial" w:hAnsi="Arial"/>
          <w:sz w:val="18"/>
          <w:szCs w:val="18"/>
          <w:i w:val="1"/>
          <w:iCs w:val="1"/>
          <w:color w:val="auto"/>
        </w:rPr>
      </w:pPr>
    </w:p>
    <w:p>
      <w:pPr>
        <w:ind w:left="340" w:hanging="332"/>
        <w:spacing w:after="0" w:line="277" w:lineRule="auto"/>
        <w:tabs>
          <w:tab w:leader="none" w:pos="452"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a reinsurance coverage for 90% of the first $500,000 and excess of loss coverage for $39.5 million in excess of $500,000 per risk per occurrence.</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$10.0 million, inclusive of reinstatement premiums payable.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March 31, 2021, our average net retained limit per risk is $2.5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2021, the allowance for credit losses on reinsurance recoverables was $335,000.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regard to insurance companies who act as reinsurers for us in such arrangements. We customarily require a collateral trust arrangement to secure the obligations of the insurance entity for whom we are fronting.</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March 31, 2021, we had reinsurance recoverables on unpaid losses of $878.7 million and reinsurance recoverables on paid losses of $42.6 million, and all material recoverable amounts were from companies with A.M. Best ratings of “A-” or better, collateral had been posted by the reinsurer for our benefit, or represent recoverables from a state residual market for automobile insurance.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Amounts Recoverable from an Indemnifying Party</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previously issued a set of insurance contracts to Rasier under which the Company pays losses and loss adjustment expenses on the contracts. The Company has indemnity agreements with Rasier (non-insurance entities) and is contractually entitled to receive reimbursement for a significant portion of the losses and loss adjustment expenses paid on behalf of Rasier and other expenses incurred by the Company. Rasier is required to collateralize all amounts currently due to the Company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of policy limits liabilities. The collateral is provided through a collateral trust arrangement established in favor of the Company by a captive insurance company affiliate of Rasier.</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permitted under our indemnification agreements with Rasier and the associated trust agreement, we have withdrawn the collateral posted to the trust account. At March 31, 2021, the Company held collateral funds of $751.7 million. The funds withdrawn from the trust account, currently invested in short term securities and included in restricted cash equivalents on the Company's consolidated balance sheet, will be used to reimburse the Company for the losses and loss adjustment expenses paid on behalf of Rasier and other related expenses incurred by the Company to the extent not paid as required under the indemnity agreements.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ongoing exposure to estimated losses and expenses on these contracts growing at a faster pace than growth in our collateral balances. In addition, we have credit exposure if our estimates of future losses and loss adjustment expenses and other amounts recoverable, which are the basis for establishing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when our analysis indicates that we have uncollateralized exposure.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2020</w:t>
            </w:r>
          </w:p>
        </w:tc>
      </w:tr>
      <w:tr>
        <w:trPr>
          <w:trHeight w:val="180"/>
        </w:trPr>
        <w:tc>
          <w:tcPr>
            <w:tcW w:w="8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5"/>
                <w:szCs w:val="15"/>
                <w:color w:val="auto"/>
              </w:rPr>
            </w:pPr>
          </w:p>
        </w:tc>
      </w:tr>
      <w:tr>
        <w:trPr>
          <w:trHeight w:val="23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(used in) provided by:</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(81,005)</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(65,305)</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(49,721)</w:t>
            </w:r>
          </w:p>
        </w:tc>
      </w:tr>
      <w:tr>
        <w:trPr>
          <w:trHeight w:val="230"/>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107,494</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(7,532)</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Cash used in operating activities for the three months ended March 31, 2021 and 2020, respectively, primarily reflects $108.3 million and $91.8 million of restricted cash equivalents returned to a former insured per the terms of a collateral trust (see </w:t>
      </w:r>
      <w:r>
        <w:rPr>
          <w:rFonts w:ascii="Arial" w:cs="Arial" w:eastAsia="Arial" w:hAnsi="Arial"/>
          <w:sz w:val="18"/>
          <w:szCs w:val="18"/>
          <w:i w:val="1"/>
          <w:iCs w:val="1"/>
          <w:color w:val="auto"/>
        </w:rPr>
        <w:t>Amounts Recoverable from an Indemnifying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w:t>
      </w:r>
      <w:r>
        <w:rPr>
          <w:rFonts w:ascii="Arial" w:cs="Arial" w:eastAsia="Arial" w:hAnsi="Arial"/>
          <w:sz w:val="18"/>
          <w:szCs w:val="18"/>
          <w:color w:val="auto"/>
        </w:rPr>
        <w:t>above). Excluding the reduction in the collateral funds, cash provided by operating activities was $27.2 million and $26.5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and 2020, respectively. Cash provided by operating activities excluding restricted cash equivalents for the three months ended March 31, 2021 and 2020 primarily reflects growth in our U.S. segments and the collection of premiums receivable at a quicker rate than payments of loss and loss adjustment expenses.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reflects our efforts to enhance the yield in our investment portfolio by investing available cash and cash equivalents into higher yielding investments. Cash and cash equivalents (excluding restricted cash equivalents) comprised 7.8% and 12.9% of total cash and invested assets at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in)/provided by financing activities for the three months ended March 31, 2021 and 2020 included $9.6 million and $9.5 million of dividends paid to shareholders, respectively. In addition, we drew $119.0 million on our senior credit facilities in the three months ended March 31, 2020 as a precautionary measure to increase our cash position and preserve financial flexibility in light of uncertainty in the global markets resulting from the coronavirus (COVID-19) outbreak.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A.M. Best financial strength rating for our group’s regulated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operating insurance and reinsurance companies of “A” (Excellent) is the third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In the first quarter of 2021, we experienced $168.7 million of further adverse development on reserves for losses and loss adjustment expenses in our Excess and Surplus Lines segment, inclusive of $170.0 million of unfavorable development in our commercial auto business. Based upon this additional adverse development, we believe that A.M. Best is likely to downgrade our financial strength rating to “A-” (Excellent).</w:t>
      </w:r>
    </w:p>
    <w:p>
      <w:pPr>
        <w:spacing w:after="0" w:line="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issued 125,669 common shares in the three months ended March 31, 2021. The new shares were related to stock option exercises and vesting RSUs. The total common shares outstanding increased from 30,649,261 at December 31, 2020 to 30,774,930 at March 31, 2021.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For the three months ended March 31, 2021 and 2020, the Company recognized $1.9 million and $1.9 million of share based compensation expense, respectively. As of March 31, 2021, the Company had $16.2 million of unrecognized share based compensation expense expected to be charged to earnings over a weighted-average period of 2.3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8"/>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560" w:type="dxa"/>
            <w:vAlign w:val="bottom"/>
          </w:tcPr>
          <w:p>
            <w:pPr>
              <w:spacing w:after="0"/>
              <w:rPr>
                <w:sz w:val="11"/>
                <w:szCs w:val="11"/>
                <w:color w:val="auto"/>
              </w:rPr>
            </w:pPr>
          </w:p>
        </w:tc>
        <w:tc>
          <w:tcPr>
            <w:tcW w:w="132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55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463,324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(29,884)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640,606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 outstanding options vest over three years and have a contractual life of seven years from the original date of grant.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RSU activity: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9"/>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540" w:type="dxa"/>
            <w:vAlign w:val="bottom"/>
          </w:tcPr>
          <w:p>
            <w:pPr>
              <w:spacing w:after="0"/>
              <w:rPr>
                <w:sz w:val="11"/>
                <w:szCs w:val="11"/>
                <w:color w:val="auto"/>
              </w:rPr>
            </w:pP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Grant Date</w:t>
            </w:r>
          </w:p>
        </w:tc>
        <w:tc>
          <w:tcPr>
            <w:tcW w:w="134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55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4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138,936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179,016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spacing w:after="0"/>
              <w:rPr>
                <w:sz w:val="20"/>
                <w:szCs w:val="20"/>
                <w:color w:val="auto"/>
              </w:rPr>
            </w:pPr>
            <w:r>
              <w:rPr>
                <w:rFonts w:ascii="Arial" w:cs="Arial" w:eastAsia="Arial" w:hAnsi="Arial"/>
                <w:sz w:val="18"/>
                <w:szCs w:val="18"/>
                <w:color w:val="auto"/>
              </w:rPr>
              <w:t>(161,004)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(142,830)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376,699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375,366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42.61</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reconciles the underwriting (loss) profit by individual segment and for the entire Company to consolidated income (loss) before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Federal income taxes:</w:t>
      </w:r>
    </w:p>
    <w:p>
      <w:pPr>
        <w:spacing w:after="0" w:line="125"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180"/>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60" w:type="dxa"/>
            <w:vAlign w:val="bottom"/>
          </w:tcPr>
          <w:p>
            <w:pPr>
              <w:spacing w:after="0"/>
              <w:rPr>
                <w:sz w:val="15"/>
                <w:szCs w:val="15"/>
                <w:color w:val="auto"/>
              </w:rPr>
            </w:pP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insurance segments: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(150,946)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8,112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insurance segments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(151,305)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color w:val="auto"/>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15,089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20,836</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(58,407)</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600" w:hanging="328"/>
        <w:spacing w:after="0" w:line="277" w:lineRule="auto"/>
        <w:tabs>
          <w:tab w:leader="none" w:pos="65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months ended March 31, 2021 and 2020 is gross fee income of $5.1 million and $5.5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(Loss) Income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adjusted net operating (loss) income as net loss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calculated in accordance with GAAP, and our definition of adjusted net operating (loss) income may not be comparable to that of other companies.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loss before taxes and net loss reconcile to our adjusted net operating (loss) income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4"/>
              </w:rPr>
              <w:t>Three Months Ended March 31,</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400"/>
              <w:spacing w:after="0" w:line="130" w:lineRule="exact"/>
              <w:rPr>
                <w:sz w:val="20"/>
                <w:szCs w:val="20"/>
                <w:color w:val="auto"/>
              </w:rPr>
            </w:pPr>
            <w:r>
              <w:rPr>
                <w:rFonts w:ascii="Arial" w:cs="Arial" w:eastAsia="Arial" w:hAnsi="Arial"/>
                <w:sz w:val="14"/>
                <w:szCs w:val="14"/>
                <w:b w:val="1"/>
                <w:bCs w:val="1"/>
                <w:color w:val="auto"/>
                <w:w w:val="85"/>
              </w:rPr>
              <w:t>Loss</w:t>
            </w:r>
          </w:p>
        </w:tc>
        <w:tc>
          <w:tcPr>
            <w:tcW w:w="24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90"/>
              </w:rPr>
              <w:t>(Loss) Income</w:t>
            </w: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0"/>
              </w:rPr>
              <w:t>Before</w:t>
            </w:r>
          </w:p>
        </w:tc>
        <w:tc>
          <w:tcPr>
            <w:tcW w:w="2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Before</w:t>
            </w:r>
          </w:p>
        </w:tc>
        <w:tc>
          <w:tcPr>
            <w:tcW w:w="120" w:type="dxa"/>
            <w:vAlign w:val="bottom"/>
          </w:tcPr>
          <w:p>
            <w:pPr>
              <w:spacing w:after="0"/>
              <w:rPr>
                <w:sz w:val="11"/>
                <w:szCs w:val="11"/>
                <w:color w:val="auto"/>
              </w:rPr>
            </w:pPr>
          </w:p>
        </w:tc>
        <w:tc>
          <w:tcPr>
            <w:tcW w:w="12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0"/>
              </w:rPr>
              <w:t>Net (Loss) Income</w:t>
            </w:r>
          </w:p>
        </w:tc>
        <w:tc>
          <w:tcPr>
            <w:tcW w:w="0" w:type="dxa"/>
            <w:vAlign w:val="bottom"/>
          </w:tcPr>
          <w:p>
            <w:pPr>
              <w:spacing w:after="0"/>
              <w:rPr>
                <w:sz w:val="1"/>
                <w:szCs w:val="1"/>
                <w:color w:val="auto"/>
              </w:rPr>
            </w:pPr>
          </w:p>
        </w:tc>
      </w:tr>
      <w:tr>
        <w:trPr>
          <w:trHeight w:val="188"/>
        </w:trPr>
        <w:tc>
          <w:tcPr>
            <w:tcW w:w="5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Taxes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Taxes</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8"/>
              </w:rPr>
              <w:t>($ in thousands)</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as reported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(36,815)</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58,407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52,233</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(146,574)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(108,795)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7"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three months ended March 31, 2021, our tangible equity per share decreased by 27.3%. Absent the $9.3 million in dividends to shareholders in the three months ended March 31, 2021, our tangible equity per share decreased by 25.7% for the three months ended March 31, 2021.</w:t>
      </w:r>
    </w:p>
    <w:p>
      <w:pPr>
        <w:spacing w:after="0" w:line="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March 31, 2021 and December 31, 2020 and reconciles tangible equity to pre-dividend tangible equity as of March 31,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1200" w:type="dxa"/>
            <w:vAlign w:val="bottom"/>
            <w:gridSpan w:val="2"/>
          </w:tcPr>
          <w:p>
            <w:pPr>
              <w:jc w:val="right"/>
              <w:ind w:right="193"/>
              <w:spacing w:after="0" w:line="135"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1"/>
                <w:szCs w:val="11"/>
                <w:color w:val="auto"/>
              </w:rPr>
            </w:pPr>
          </w:p>
        </w:tc>
        <w:tc>
          <w:tcPr>
            <w:tcW w:w="1040" w:type="dxa"/>
            <w:vAlign w:val="bottom"/>
          </w:tcPr>
          <w:p>
            <w:pPr>
              <w:jc w:val="right"/>
              <w:ind w:right="216"/>
              <w:spacing w:after="0" w:line="135"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81"/>
        </w:trPr>
        <w:tc>
          <w:tcPr>
            <w:tcW w:w="5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ind w:left="120"/>
              <w:spacing w:after="0"/>
              <w:rPr>
                <w:sz w:val="20"/>
                <w:szCs w:val="20"/>
                <w:color w:val="auto"/>
              </w:rPr>
            </w:pPr>
            <w:r>
              <w:rPr>
                <w:rFonts w:ascii="Arial" w:cs="Arial" w:eastAsia="Arial" w:hAnsi="Arial"/>
                <w:sz w:val="14"/>
                <w:szCs w:val="14"/>
                <w:b w:val="1"/>
                <w:bCs w:val="1"/>
                <w:i w:val="1"/>
                <w:iCs w:val="1"/>
                <w:color w:val="auto"/>
                <w:w w:val="95"/>
              </w:rPr>
              <w:t>($ in thousands, except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639,628</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equity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421,486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Dividends to shareholders for the three months ended March 31, 2021</w:t>
            </w: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9,343</w:t>
            </w: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Pre-dividend tangible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430,829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2021,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March 31, 2021 that have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are involved in various legal proceedings, including commercial matters and litigation regarding insurance claims which arise in the ordinary course of business. We believe that the outcome of such matters, individually and in the aggregate, is not reasonably likely to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March 31, 2021 from those disclosed in our Annual Report on Form 10-K for the year ended December 31, 2020, except as follows: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financial strength rating is likely to be downgraded, which may have a significant impact on our business, liquidity and financial condition</w:t>
      </w:r>
    </w:p>
    <w:p>
      <w:pPr>
        <w:spacing w:after="0" w:line="14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Companies, insurers and reinsurance brokers use ratings from independent ratings agencies as an important means of assessing the financial strength and quality of reinsurers. A.M. Best Company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at its sole discretion based primarily on its analysis of our balance sheet strength (including capital adequacy and loss and loss adjustment expense reserve adequacy), operating performance and business profile.</w:t>
      </w:r>
    </w:p>
    <w:p>
      <w:pPr>
        <w:spacing w:after="0" w:line="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In the first quarter of 2021, we experienced $168.7 million of further adverse development on reserves for losses and loss adjustment expenses in our Excess and Surplus Lines segment, inclusive of $170.0 million of unfavorable development in our commercial auto business. Based upon this additional adverse development, we believe that A.M. Best is likely to downgrade our financial strength rating to “A-” (Excellent). A reduction in our financial strength rating may impact our ability to attract and retain insurance and reinsurance business that our subsidiaries write. Further, our competitive position in the industry, and therefore our business, could be adversely affected. The downgrade of our financial strength rating could result in a substantial loss of business, as policyholders might move to other companies with higher financial strength ratings.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credit agreements contain a number of financial covenants, the breach of any of which could result in acceleration of payment of our credit facilities.</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March 31, 2021, we had an outstanding unsecured balance of approximately $247.3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 breach of any of these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5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in the first quarter of 2021, we experienced $170.1 million of adverse development on reserves for losses and loss adjustment expenses principally relating to the 2019 and prior accident years for the commercial auto business in our Excess and Surplus Lines segment, and in 2020 we experienced $92.2 million of adverse development on reserves for losses and loss adjustment expenses principally relating to the 2018 and prior accident years for the commercial auto business in our Excess and Surplus Lines segment, and in 2019, we experienced $69.0 million of adverse development on reserves for losses and loss adjustment expenses principally relating to the 2016 and 2017 accident years for the commercial auto business in our Excess and Surplus lines business. We cannot assure that we will not have further adverse development in this business.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uncertainties we encounter in establishing our reserves for losses and related expenses in connection with our insurance businesses include:</w:t>
      </w:r>
    </w:p>
    <w:p>
      <w:pPr>
        <w:spacing w:after="0" w:line="140" w:lineRule="exact"/>
        <w:rPr>
          <w:sz w:val="20"/>
          <w:szCs w:val="20"/>
          <w:color w:val="auto"/>
        </w:rPr>
      </w:pPr>
    </w:p>
    <w:p>
      <w:pPr>
        <w:jc w:val="both"/>
        <w:ind w:left="660" w:hanging="328"/>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2020.</w:t>
      </w:r>
    </w:p>
    <w:p>
      <w:pPr>
        <w:spacing w:after="0" w:line="78"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“The effect of emerging claim and coverage issues on our business is uncertain” risk factor in our Annual Report on Form 10-K for the year ended December 31, 2020.</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75" w:lineRule="exact"/>
        <w:rPr>
          <w:rFonts w:ascii="Arial" w:cs="Arial" w:eastAsia="Arial" w:hAnsi="Arial"/>
          <w:sz w:val="18"/>
          <w:szCs w:val="18"/>
          <w:color w:val="auto"/>
        </w:rPr>
      </w:pPr>
    </w:p>
    <w:p>
      <w:pPr>
        <w:jc w:val="both"/>
        <w:ind w:left="660" w:right="2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occasionally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7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increased lapse of time from the occurrence of an event to the reporting of the claim and the ultimate resolution or settlement of the claim.</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ongoing effect of the 2017 Tax Act, as well as other changes in U.S. tax law, may have a significant impact on the Company.</w:t>
      </w:r>
    </w:p>
    <w:p>
      <w:pPr>
        <w:spacing w:after="0" w:line="1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Public Law No. 115-97, enacted in December 2017 and informally titled the Tax Cuts and Jobs Act (the “Tax Act”), introduced significant changes to the Internal Revenue Code of 1986, as amended.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rules, and make it more difficult for a foreign insurance company to avoid being treated as a passive foreign investment company (“PFIC”).</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complexity of the Tax Act, you are strongly encouraged to consult your own tax advisor regarding its potential impact on the U.S. federal income tax consequences to you considering your particular circumstance.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common shares.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insurance subsidiaries to comply with applicable regulations could result in a requirement for that subsidiary to cease writing business.</w:t>
      </w:r>
    </w:p>
    <w:p>
      <w:pPr>
        <w:spacing w:after="0" w:line="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National Association of Insurance Commissioners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For additional information, see “Item 1. Business—Regulation—U.S. Insurance Regulation—State Regulation.” in our Annual Report on Form 10-K for the year ended December 31, 2020, which report is incorporated into the prospectus supplement by reference.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addition, the various state insurance regulators have increased their focus on risks within an insurer’s holding company system that may pose enterprise risk to the insurer. In 2012, the NAIC adopted certain amendments, which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2012, the NAIC also adopted the Risk Management and Own Risk and Solvency Assessment Model Act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a holding company that has no substantial operations of our own and,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its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In addition, dividends paid by our U.S. subsidiaries to our U.K. holding company are subject to a 5% withholding tax by the IRS. Under U.K. domestic law, no withholding tax is applied to dividends paid by U.K. tax resident companies.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$172.9 million as of December 31, 2020.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intends to hold the 2021 annual general meeting of shareholders (the “2021 Annual Meeting”) on October 26, 2021. The record date, time and location of the 2021 Annual Meeting will be set forth in the proxy statement for the 2021 Annual Meeting to be distributed to shareholders prior to the meeting.</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date of the 2021 Annual Meeting represents a change of more than 30 days from the anniversary date of the Company’s 2020 annual general meeting of shareholders (the “2020 Annual Meeting”). As a result, the deadlines for shareholder proposals set forth in our definitive proxy statement for the 2020 Annual Meeting are no longer effective. Shareholder proposals intended for inclusion in the Company’s definitive proxy statement for the 2021 Annual Meeting pursuant to Rule 14a-8 of the Exchange Act must be received by August 17, 2021 (which the Company believes is a reasonable time before it begins to print and send its proxy materials). Any such shareholder proposal should be sent to our registered office c/o Conyers Corporate Services (Bermuda) Limited, Clarendon House, P.O. Box HM 1022, Hamilton HM DX, Bermuda. Any such proposal must comply with the requirements of Rule 14a-8.</w:t>
      </w:r>
    </w:p>
    <w:p>
      <w:pPr>
        <w:spacing w:after="0" w:line="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Company’s Third Amended and Restated Bye-laws (the “Bye-laws”), shareholders who intend to nominate a person for election as a director or submit a proposal regarding any other matter of business at the 2021 Annual Meeting must deliver written notice of the shareholder’s intention to do so, which notice must include the information required by the Bye-laws. To be timely, the shareholder’s notice must be delivered to or mailed and received by the Company’s Secretary at the registered office of the Company identified above no earlier than June 28, 2021 and no later than August 17, 2021.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ind w:left="2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2001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62877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287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162877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54775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77510" cy="8255"/>
                    </a:xfrm>
                    <a:prstGeom prst="rect">
                      <a:avLst/>
                    </a:prstGeom>
                    <a:noFill/>
                  </pic:spPr>
                </pic:pic>
              </a:graphicData>
            </a:graphic>
          </wp:anchor>
        </w:drawing>
      </w:r>
    </w:p>
    <w:p>
      <w:pPr>
        <w:spacing w:after="0" w:line="30" w:lineRule="exact"/>
        <w:rPr>
          <w:sz w:val="20"/>
          <w:szCs w:val="20"/>
          <w:color w:val="auto"/>
        </w:rPr>
      </w:pPr>
    </w:p>
    <w:p>
      <w:pPr>
        <w:jc w:val="both"/>
        <w:spacing w:after="0" w:line="289" w:lineRule="auto"/>
        <w:rPr>
          <w:rFonts w:ascii="Arial" w:cs="Arial" w:eastAsia="Arial" w:hAnsi="Arial"/>
          <w:sz w:val="16"/>
          <w:szCs w:val="16"/>
          <w:u w:val="single" w:color="auto"/>
          <w:color w:val="0000FF"/>
        </w:rPr>
      </w:pPr>
      <w:hyperlink r:id="rId76">
        <w:r>
          <w:rPr>
            <w:rFonts w:ascii="Arial" w:cs="Arial" w:eastAsia="Arial" w:hAnsi="Arial"/>
            <w:sz w:val="16"/>
            <w:szCs w:val="16"/>
            <w:u w:val="single" w:color="auto"/>
            <w:color w:val="0000FF"/>
          </w:rPr>
          <w:t>Certificate of Incorporation of James River Group Holdings, Ltd. (incorporated by reference to Exhibit 3.1 of the</w:t>
        </w:r>
      </w:hyperlink>
      <w:r>
        <w:rPr>
          <w:rFonts w:ascii="Arial" w:cs="Arial" w:eastAsia="Arial" w:hAnsi="Arial"/>
          <w:sz w:val="16"/>
          <w:szCs w:val="16"/>
          <w:u w:val="single" w:color="auto"/>
          <w:color w:val="0000FF"/>
        </w:rPr>
        <w:t xml:space="preserve"> </w:t>
      </w:r>
      <w:hyperlink r:id="rId76">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16" w:lineRule="exact"/>
        <w:rPr>
          <w:sz w:val="20"/>
          <w:szCs w:val="20"/>
          <w:color w:val="auto"/>
        </w:rPr>
      </w:pPr>
    </w:p>
    <w:p>
      <w:pPr>
        <w:jc w:val="both"/>
        <w:spacing w:after="0" w:line="235" w:lineRule="auto"/>
        <w:rPr>
          <w:rFonts w:ascii="Arial" w:cs="Arial" w:eastAsia="Arial" w:hAnsi="Arial"/>
          <w:sz w:val="18"/>
          <w:szCs w:val="18"/>
          <w:u w:val="single" w:color="auto"/>
          <w:color w:val="0000FF"/>
        </w:rPr>
      </w:pPr>
      <w:hyperlink r:id="rId77">
        <w:r>
          <w:rPr>
            <w:rFonts w:ascii="Arial" w:cs="Arial" w:eastAsia="Arial" w:hAnsi="Arial"/>
            <w:sz w:val="18"/>
            <w:szCs w:val="18"/>
            <w:u w:val="single" w:color="auto"/>
            <w:color w:val="0000FF"/>
          </w:rPr>
          <w:t>Certificate of Incorporation on Change of Name (incorporated by reference to Exhibit 3.2 of the Registration</w:t>
        </w:r>
      </w:hyperlink>
      <w:r>
        <w:rPr>
          <w:rFonts w:ascii="Arial" w:cs="Arial" w:eastAsia="Arial" w:hAnsi="Arial"/>
          <w:sz w:val="18"/>
          <w:szCs w:val="18"/>
          <w:u w:val="single" w:color="auto"/>
          <w:color w:val="0000FF"/>
        </w:rPr>
        <w:t xml:space="preserve"> </w:t>
      </w:r>
      <w:hyperlink r:id="rId77">
        <w:r>
          <w:rPr>
            <w:rFonts w:ascii="Arial" w:cs="Arial" w:eastAsia="Arial" w:hAnsi="Arial"/>
            <w:sz w:val="18"/>
            <w:szCs w:val="18"/>
            <w:u w:val="single" w:color="auto"/>
            <w:color w:val="0000FF"/>
          </w:rPr>
          <w:t>Statement on Form S-1, Registration No. 333-199958, filed with the Commission on November 7, 2014)</w:t>
        </w:r>
      </w:hyperlink>
    </w:p>
    <w:p>
      <w:pPr>
        <w:spacing w:after="0" w:line="54" w:lineRule="exact"/>
        <w:rPr>
          <w:sz w:val="20"/>
          <w:szCs w:val="20"/>
          <w:color w:val="auto"/>
        </w:rPr>
      </w:pPr>
    </w:p>
    <w:p>
      <w:pPr>
        <w:jc w:val="both"/>
        <w:spacing w:after="0" w:line="289" w:lineRule="auto"/>
        <w:rPr>
          <w:rFonts w:ascii="Arial" w:cs="Arial" w:eastAsia="Arial" w:hAnsi="Arial"/>
          <w:sz w:val="16"/>
          <w:szCs w:val="16"/>
          <w:u w:val="single" w:color="auto"/>
          <w:color w:val="0000FF"/>
        </w:rPr>
      </w:pPr>
      <w:hyperlink r:id="rId78">
        <w:r>
          <w:rPr>
            <w:rFonts w:ascii="Arial" w:cs="Arial" w:eastAsia="Arial" w:hAnsi="Arial"/>
            <w:sz w:val="16"/>
            <w:szCs w:val="16"/>
            <w:u w:val="single" w:color="auto"/>
            <w:color w:val="0000FF"/>
          </w:rPr>
          <w:t>Memorandum of Association of James River Group Holdings, Ltd. (incorporated by reference to Exhibit 3.3 of the</w:t>
        </w:r>
      </w:hyperlink>
      <w:r>
        <w:rPr>
          <w:rFonts w:ascii="Arial" w:cs="Arial" w:eastAsia="Arial" w:hAnsi="Arial"/>
          <w:sz w:val="16"/>
          <w:szCs w:val="16"/>
          <w:u w:val="single" w:color="auto"/>
          <w:color w:val="0000FF"/>
        </w:rPr>
        <w:t xml:space="preserve"> </w:t>
      </w:r>
      <w:hyperlink r:id="rId78">
        <w:r>
          <w:rPr>
            <w:rFonts w:ascii="Arial" w:cs="Arial" w:eastAsia="Arial" w:hAnsi="Arial"/>
            <w:sz w:val="16"/>
            <w:szCs w:val="16"/>
            <w:u w:val="single" w:color="auto"/>
            <w:color w:val="0000FF"/>
          </w:rPr>
          <w:t>Registration Statement on Form S-1, Registration No. 333-199958, filed with the Commission on November 7, 2014)</w:t>
        </w:r>
      </w:hyperlink>
    </w:p>
    <w:p>
      <w:pPr>
        <w:spacing w:after="0" w:line="16"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Certificate of Deposit of Memorandum of Increase of Share Capital, dated December 24, 2007 (incorporated by</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reference to Exhibit 3.4 of the Registration Statement on Form S-1, Registration No. 333-199958, filed with the</w:t>
        </w:r>
      </w:hyperlink>
      <w:r>
        <w:rPr>
          <w:rFonts w:ascii="Arial" w:cs="Arial" w:eastAsia="Arial" w:hAnsi="Arial"/>
          <w:sz w:val="18"/>
          <w:szCs w:val="18"/>
          <w:u w:val="single" w:color="auto"/>
          <w:color w:val="0000FF"/>
        </w:rPr>
        <w:t xml:space="preserve"> </w:t>
      </w:r>
      <w:hyperlink r:id="rId79">
        <w:r>
          <w:rPr>
            <w:rFonts w:ascii="Arial" w:cs="Arial" w:eastAsia="Arial" w:hAnsi="Arial"/>
            <w:sz w:val="18"/>
            <w:szCs w:val="18"/>
            <w:u w:val="single" w:color="auto"/>
            <w:color w:val="0000FF"/>
          </w:rPr>
          <w:t>Commission on November 7, 2014)</w:t>
        </w:r>
      </w:hyperlink>
    </w:p>
    <w:p>
      <w:pPr>
        <w:spacing w:after="0" w:line="55"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Certificate of Deposit of Memorandum of Increase of Share Capital, dated October 7, 2009 (incorporated by reference</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to Exhibit 3.5 of the Registration Statement on Form S-1, Registration No. 333-199958, filed with the Commission on</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November 7, 2014)</w:t>
        </w:r>
      </w:hyperlink>
    </w:p>
    <w:p>
      <w:pPr>
        <w:spacing w:after="0" w:line="55" w:lineRule="exact"/>
        <w:rPr>
          <w:rFonts w:ascii="Arial" w:cs="Arial" w:eastAsia="Arial" w:hAnsi="Arial"/>
          <w:sz w:val="18"/>
          <w:szCs w:val="18"/>
          <w:u w:val="single" w:color="auto"/>
          <w:color w:val="0000FF"/>
        </w:rPr>
      </w:pPr>
    </w:p>
    <w:p>
      <w:pPr>
        <w:jc w:val="both"/>
        <w:spacing w:after="0" w:line="235"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Third Amended and Restated Bye-Laws of James River Group Holdings, Ltd. (incorporated by reference to Exhibit</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3.6 to the Annual Report on Form 10-K filed on March 12, 2015, Commission File No. 001-36777)</w:t>
        </w:r>
      </w:hyperlink>
    </w:p>
    <w:p>
      <w:pPr>
        <w:spacing w:after="0" w:line="94"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Chief Executive Officer Certification pursuant to Rule 13a-14(a)/15d-14(a)</w:t>
        </w:r>
      </w:hyperlink>
    </w:p>
    <w:p>
      <w:pPr>
        <w:spacing w:after="0" w:line="77" w:lineRule="exact"/>
        <w:rPr>
          <w:sz w:val="20"/>
          <w:szCs w:val="20"/>
          <w:color w:val="auto"/>
        </w:rPr>
      </w:pPr>
    </w:p>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Chief Financial Officer Certification pursuant to Rule 13a-14(a)/15d-14(a)</w:t>
        </w:r>
      </w:hyperlink>
    </w:p>
    <w:p>
      <w:pPr>
        <w:spacing w:after="0" w:line="77" w:lineRule="exact"/>
        <w:rPr>
          <w:sz w:val="20"/>
          <w:szCs w:val="20"/>
          <w:color w:val="auto"/>
        </w:rPr>
      </w:pPr>
    </w:p>
    <w:p>
      <w:pPr>
        <w:spacing w:after="0" w:line="235"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Chief Executive Officer and Chief Financial Officer Certification pursuant to 18 U.S.C. Section 1350, as adopted</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pursuant to Section 906 of the Sarbanes-Oxley Act of 2002</w:t>
        </w:r>
      </w:hyperlink>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77" w:lineRule="exact"/>
        <w:rPr>
          <w:sz w:val="20"/>
          <w:szCs w:val="20"/>
          <w:color w:val="auto"/>
        </w:rPr>
      </w:pPr>
    </w:p>
    <w:p>
      <w:pPr>
        <w:ind w:right="3640"/>
        <w:spacing w:after="0" w:line="369" w:lineRule="auto"/>
        <w:rPr>
          <w:sz w:val="20"/>
          <w:szCs w:val="20"/>
          <w:color w:val="auto"/>
        </w:rPr>
      </w:pPr>
      <w:r>
        <w:rPr>
          <w:rFonts w:ascii="Arial" w:cs="Arial" w:eastAsia="Arial" w:hAnsi="Arial"/>
          <w:sz w:val="16"/>
          <w:szCs w:val="16"/>
          <w:color w:val="auto"/>
        </w:rPr>
        <w:t>Inline XBRL Taxonomy Extension Calculation Linkbase Document Inline XBRL Taxonomy Extension Definition Linkbase Document Inline XBRL Taxonomy Extension Label Linkbase Document Inline XBRL Taxonomy Extension Presentation Linkbase Document</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Cover Page Interactive Data File - the cover page XBRL tags are embedded within the Inline XBRL document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880" w:space="720"/>
            <w:col w:w="8580"/>
          </w:cols>
          <w:pgMar w:left="320" w:top="125" w:right="39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Signatures</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6680" w:type="dxa"/>
            <w:vAlign w:val="bottom"/>
            <w:gridSpan w:val="2"/>
          </w:tcPr>
          <w:p>
            <w:pPr>
              <w:ind w:left="1780"/>
              <w:spacing w:after="0"/>
              <w:rPr>
                <w:sz w:val="20"/>
                <w:szCs w:val="20"/>
                <w:color w:val="auto"/>
              </w:rPr>
            </w:pPr>
            <w:r>
              <w:rPr>
                <w:rFonts w:ascii="Arial" w:cs="Arial" w:eastAsia="Arial" w:hAnsi="Arial"/>
                <w:sz w:val="18"/>
                <w:szCs w:val="18"/>
                <w:color w:val="auto"/>
              </w:rPr>
              <w:t>James River Group Holdings, Ltd.</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20"/>
              <w:spacing w:after="0"/>
              <w:rPr>
                <w:sz w:val="20"/>
                <w:szCs w:val="20"/>
                <w:color w:val="auto"/>
              </w:rPr>
            </w:pPr>
            <w:r>
              <w:rPr>
                <w:rFonts w:ascii="Arial" w:cs="Arial" w:eastAsia="Arial" w:hAnsi="Arial"/>
                <w:sz w:val="18"/>
                <w:szCs w:val="18"/>
                <w:color w:val="auto"/>
              </w:rPr>
              <w:t>May 5, 2021</w:t>
            </w:r>
          </w:p>
        </w:tc>
        <w:tc>
          <w:tcPr>
            <w:tcW w:w="2480" w:type="dxa"/>
            <w:vAlign w:val="bottom"/>
          </w:tcPr>
          <w:p>
            <w:pPr>
              <w:ind w:left="17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22"/>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30"/>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20"/>
              <w:spacing w:after="0"/>
              <w:rPr>
                <w:sz w:val="20"/>
                <w:szCs w:val="20"/>
                <w:color w:val="auto"/>
              </w:rPr>
            </w:pPr>
            <w:r>
              <w:rPr>
                <w:rFonts w:ascii="Arial" w:cs="Arial" w:eastAsia="Arial" w:hAnsi="Arial"/>
                <w:sz w:val="18"/>
                <w:szCs w:val="18"/>
                <w:color w:val="auto"/>
              </w:rPr>
              <w:t>May 5, 2021</w:t>
            </w:r>
          </w:p>
        </w:tc>
        <w:tc>
          <w:tcPr>
            <w:tcW w:w="2480" w:type="dxa"/>
            <w:vAlign w:val="bottom"/>
          </w:tcPr>
          <w:p>
            <w:pPr>
              <w:ind w:left="1780"/>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22"/>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Sarah C. Doran</w:t>
            </w:r>
          </w:p>
        </w:tc>
      </w:tr>
      <w:tr>
        <w:trPr>
          <w:trHeight w:val="230"/>
        </w:trPr>
        <w:tc>
          <w:tcPr>
            <w:tcW w:w="5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80"/>
          </w:cols>
          <w:pgMar w:left="320" w:top="125" w:right="129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7"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320"/>
        <w:spacing w:after="0" w:line="342" w:lineRule="auto"/>
        <w:tabs>
          <w:tab w:leader="none" w:pos="1297"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40" w:hanging="320"/>
        <w:spacing w:after="0" w:line="277" w:lineRule="auto"/>
        <w:tabs>
          <w:tab w:leader="none" w:pos="1294"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14605</wp:posOffset>
            </wp:positionV>
            <wp:extent cx="3540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March 31, 2021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9" w:lineRule="exact"/>
        <w:rPr>
          <w:sz w:val="20"/>
          <w:szCs w:val="20"/>
          <w:color w:val="auto"/>
        </w:rPr>
      </w:pPr>
    </w:p>
    <w:p>
      <w:pPr>
        <w:ind w:left="640" w:hanging="63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632"/>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May 5, 2021</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May 5, 2021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2"/>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2"/>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1."/>
      <w:numFmt w:val="decimal"/>
      <w:start w:val="9"/>
    </w:lvl>
  </w:abstractNum>
  <w:abstractNum w:abstractNumId="15">
    <w:nsid w:val="6763845E"/>
    <w:multiLevelType w:val="hybridMultilevel"/>
    <w:lvl w:ilvl="0">
      <w:lvlJc w:val="left"/>
      <w:lvlText w:val="%1."/>
      <w:numFmt w:val="decimal"/>
      <w:start w:val="1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76" Type="http://schemas.openxmlformats.org/officeDocument/2006/relationships/hyperlink" Target="http://www.sec.gov/Archives/edgar/data/1620459/000157104914005924/t1401933_ex3-1.htm" TargetMode="External"/><Relationship Id="rId77" Type="http://schemas.openxmlformats.org/officeDocument/2006/relationships/hyperlink" Target="http://www.sec.gov/Archives/edgar/data/1620459/000157104914005924/t1401933_ex3-2.htm" TargetMode="External"/><Relationship Id="rId78" Type="http://schemas.openxmlformats.org/officeDocument/2006/relationships/hyperlink" Target="http://www.sec.gov/Archives/edgar/data/1620459/000157104914005924/t1401933_ex3-3.htm" TargetMode="External"/><Relationship Id="rId79" Type="http://schemas.openxmlformats.org/officeDocument/2006/relationships/hyperlink" Target="http://www.sec.gov/Archives/edgar/data/1620459/000157104914005924/t1401933_ex3-4.htm" TargetMode="External"/><Relationship Id="rId80" Type="http://schemas.openxmlformats.org/officeDocument/2006/relationships/hyperlink" Target="http://www.sec.gov/Archives/edgar/data/1620459/000157104914005924/t1401933_ex3-5.htm" TargetMode="External"/><Relationship Id="rId81" Type="http://schemas.openxmlformats.org/officeDocument/2006/relationships/hyperlink" Target="http://www.sec.gov/Archives/edgar/data/1620459/000157104915001874/t1500493_ex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2021-05-05T15:18:50Z</dcterms:created>
  <dcterms:modified xsi:type="dcterms:W3CDTF">2021-05-05T15:18:50Z</dcterms:modified>
</cp:coreProperties>
</file>