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 for the quarterly period ended June 30, 2025</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 for the transition period from _______ to _______</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001-36777</w:t>
      </w:r>
    </w:p>
    <w:tbl>
      <w:tblPr>
        <w:tblW w:w="9329" w:type="dxa"/>
        <w:jc w:val="center"/>
        <w:tblInd w:w="0" w:type="dxa"/>
        <w:tblLayout w:type="fixed"/>
        <w:tblCellMar>
          <w:top w:w="28" w:type="dxa"/>
          <w:left w:w="28" w:type="dxa"/>
          <w:bottom w:w="28" w:type="dxa"/>
          <w:right w:w="28" w:type="dxa"/>
        </w:tblCellMar>
      </w:tblPr>
      <w:tblGrid>
        <w:gridCol w:w="2988"/>
        <w:gridCol w:w="2627"/>
        <w:gridCol w:w="3714"/>
      </w:tblGrid>
      <w:tr>
        <w:trPr/>
        <w:tc>
          <w:tcPr>
            <w:tcW w:w="298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9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48"/>
              </w:rPr>
            </w:pPr>
            <w:r>
              <w:rPr>
                <w:rFonts w:ascii="Times New Roman;serif" w:hAnsi="Times New Roman;serif"/>
                <w:b/>
                <w:color w:val="000000"/>
                <w:sz w:val="48"/>
              </w:rPr>
              <w:t>JAMES RIVER GROUP HOLDINGS, LTD.</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271" w:type="dxa"/>
        <w:jc w:val="center"/>
        <w:tblInd w:w="0" w:type="dxa"/>
        <w:tblLayout w:type="fixed"/>
        <w:tblCellMar>
          <w:top w:w="28" w:type="dxa"/>
          <w:left w:w="28" w:type="dxa"/>
          <w:bottom w:w="28" w:type="dxa"/>
          <w:right w:w="28" w:type="dxa"/>
        </w:tblCellMar>
      </w:tblPr>
      <w:tblGrid>
        <w:gridCol w:w="874"/>
        <w:gridCol w:w="767"/>
        <w:gridCol w:w="773"/>
        <w:gridCol w:w="109"/>
        <w:gridCol w:w="109"/>
        <w:gridCol w:w="109"/>
        <w:gridCol w:w="447"/>
        <w:gridCol w:w="447"/>
        <w:gridCol w:w="636"/>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98-0585280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Clarendon House, 2 Church Street, Hamilton, Pembroke HM11, Bermuda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(441) 295-1422</w:t>
      </w:r>
    </w:p>
    <w:p>
      <w:pPr>
        <w:pStyle w:val="TextBody"/>
        <w:bidi w:val="0"/>
        <w:spacing w:lineRule="auto" w:line="288" w:before="0" w:after="120"/>
        <w:jc w:val="center"/>
        <w:rPr/>
      </w:pPr>
      <w:r>
        <w:rPr>
          <w:rFonts w:ascii="Times New Roman;serif" w:hAnsi="Times New Roman;serif"/>
          <w:b/>
          <w:color w:val="000000"/>
          <w:sz w:val="20"/>
        </w:rPr>
        <w:t>(Registrant</w:t>
      </w:r>
      <w:r>
        <w:rPr>
          <w:rFonts w:ascii="Times New Roman;serif" w:hAnsi="Times New Roman;serif"/>
          <w:b w:val="false"/>
          <w:color w:val="000000"/>
          <w:sz w:val="20"/>
        </w:rPr>
        <w:t>'</w:t>
      </w:r>
      <w:r>
        <w:rPr>
          <w:rFonts w:ascii="Times New Roman;serif" w:hAnsi="Times New Roman;serif"/>
          <w:b/>
          <w:color w:val="000000"/>
          <w:sz w:val="20"/>
        </w:rPr>
        <w:t>s telephone number, including area code)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075" w:type="dxa"/>
        <w:jc w:val="center"/>
        <w:tblInd w:w="0" w:type="dxa"/>
        <w:tblLayout w:type="fixed"/>
        <w:tblCellMar>
          <w:top w:w="28" w:type="dxa"/>
          <w:left w:w="28" w:type="dxa"/>
          <w:bottom w:w="28" w:type="dxa"/>
          <w:right w:w="28" w:type="dxa"/>
        </w:tblCellMar>
      </w:tblPr>
      <w:tblGrid>
        <w:gridCol w:w="1363"/>
        <w:gridCol w:w="1193"/>
        <w:gridCol w:w="1208"/>
        <w:gridCol w:w="539"/>
        <w:gridCol w:w="539"/>
        <w:gridCol w:w="541"/>
        <w:gridCol w:w="304"/>
        <w:gridCol w:w="304"/>
        <w:gridCol w:w="304"/>
        <w:gridCol w:w="304"/>
        <w:gridCol w:w="304"/>
        <w:gridCol w:w="304"/>
        <w:gridCol w:w="610"/>
        <w:gridCol w:w="610"/>
        <w:gridCol w:w="610"/>
        <w:gridCol w:w="304"/>
        <w:gridCol w:w="304"/>
        <w:gridCol w:w="430"/>
      </w:tblGrid>
      <w:tr>
        <w:trPr/>
        <w:tc>
          <w:tcPr>
            <w:tcW w:w="136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46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Names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JRVR</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Select Market</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415"/>
        <w:gridCol w:w="415"/>
        <w:gridCol w:w="416"/>
        <w:gridCol w:w="109"/>
        <w:gridCol w:w="109"/>
        <w:gridCol w:w="109"/>
        <w:gridCol w:w="540"/>
        <w:gridCol w:w="540"/>
        <w:gridCol w:w="541"/>
        <w:gridCol w:w="109"/>
        <w:gridCol w:w="109"/>
        <w:gridCol w:w="109"/>
        <w:gridCol w:w="675"/>
        <w:gridCol w:w="675"/>
        <w:gridCol w:w="676"/>
        <w:gridCol w:w="109"/>
        <w:gridCol w:w="109"/>
        <w:gridCol w:w="109"/>
        <w:gridCol w:w="663"/>
        <w:gridCol w:w="663"/>
        <w:gridCol w:w="666"/>
        <w:gridCol w:w="109"/>
        <w:gridCol w:w="109"/>
        <w:gridCol w:w="160"/>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2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Number of shares of the registrant's common shares outstanding at July 31, 2025: 45,916,453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18"/>
        <w:gridCol w:w="439"/>
        <w:gridCol w:w="439"/>
        <w:gridCol w:w="2770"/>
        <w:gridCol w:w="2658"/>
        <w:gridCol w:w="2643"/>
        <w:gridCol w:w="215"/>
        <w:gridCol w:w="215"/>
        <w:gridCol w:w="308"/>
      </w:tblGrid>
      <w:tr>
        <w:trPr/>
        <w:tc>
          <w:tcPr>
            <w:tcW w:w="51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946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9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0">
              <w:r>
                <w:rPr>
                  <w:rStyle w:val="InternetLink"/>
                  <w:rFonts w:ascii="Times New Roman;serif" w:hAnsi="Times New Roman;serif"/>
                  <w:b w:val="false"/>
                  <w:color w:val="0000FF"/>
                  <w:sz w:val="20"/>
                  <w:u w:val="single"/>
                </w:rPr>
                <w:t>PART I. FINANCIAL INFORMATION</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3">
              <w:r>
                <w:rPr>
                  <w:rStyle w:val="InternetLink"/>
                  <w:rFonts w:ascii="Times New Roman;serif" w:hAnsi="Times New Roman;serif"/>
                  <w:b w:val="false"/>
                  <w:color w:val="0000FF"/>
                  <w:sz w:val="20"/>
                  <w:u w:val="single"/>
                </w:rPr>
                <w:t>Item 1.</w:t>
              </w:r>
            </w:hyperlink>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3">
              <w:r>
                <w:rPr>
                  <w:rStyle w:val="InternetLink"/>
                  <w:rFonts w:ascii="Times New Roman;serif" w:hAnsi="Times New Roman;serif"/>
                  <w:b w:val="false"/>
                  <w:color w:val="0000FF"/>
                  <w:sz w:val="20"/>
                  <w:u w:val="single"/>
                </w:rPr>
                <w:t>Financial Statements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6">
              <w:r>
                <w:rPr>
                  <w:rStyle w:val="InternetLink"/>
                  <w:rFonts w:ascii="Times New Roman;serif" w:hAnsi="Times New Roman;serif"/>
                  <w:b w:val="false"/>
                  <w:color w:val="000080"/>
                  <w:sz w:val="20"/>
                  <w:u w:val="single"/>
                </w:rPr>
                <w:t>Condensed Consolidated Balance Sheets</w:t>
              </w:r>
            </w:hyperlink>
            <w:hyperlink w:anchor="ifa15e9aedd3244e3a8a8500423ba84ea_19">
              <w:r>
                <w:rPr>
                  <w:rStyle w:val="InternetLink"/>
                  <w:rFonts w:ascii="Times New Roman;serif" w:hAnsi="Times New Roman;serif"/>
                  <w:b w:val="false"/>
                  <w:color w:val="000080"/>
                  <w:sz w:val="20"/>
                  <w:u w:val="single"/>
                </w:rPr>
                <w:t>—</w:t>
              </w:r>
            </w:hyperlink>
            <w:hyperlink w:anchor="ifa15e9aedd3244e3a8a8500423ba84ea_16">
              <w:r>
                <w:rPr>
                  <w:rStyle w:val="InternetLink"/>
                  <w:rFonts w:ascii="Times New Roman;serif" w:hAnsi="Times New Roman;serif"/>
                  <w:b w:val="false"/>
                  <w:color w:val="000080"/>
                  <w:sz w:val="20"/>
                  <w:u w:val="single"/>
                </w:rPr>
                <w:t>June 30, 2025 and December 31, 2024</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6">
              <w:r>
                <w:rPr>
                  <w:rStyle w:val="InternetLink"/>
                  <w:rFonts w:ascii="Times New Roman;serif" w:hAnsi="Times New Roman;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9">
              <w:r>
                <w:rPr>
                  <w:rStyle w:val="InternetLink"/>
                  <w:rFonts w:ascii="Times New Roman;serif" w:hAnsi="Times New Roman;serif"/>
                  <w:b w:val="false"/>
                  <w:color w:val="0000FF"/>
                  <w:sz w:val="20"/>
                  <w:u w:val="single"/>
                </w:rPr>
                <w:t>Condensed Consolidated Statements of Income and Comprehensive Income—Three and Six Months Ended June 30, 2025 and 2024</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9">
              <w:r>
                <w:rPr>
                  <w:rStyle w:val="InternetLink"/>
                  <w:rFonts w:ascii="Times New Roman;serif" w:hAnsi="Times New Roman;serif"/>
                  <w:b w:val="false"/>
                  <w:color w:val="0000FF"/>
                  <w:sz w:val="20"/>
                  <w:u w:val="single"/>
                </w:rPr>
                <w:t>7</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22">
              <w:r>
                <w:rPr>
                  <w:rStyle w:val="InternetLink"/>
                  <w:rFonts w:ascii="Times New Roman;serif" w:hAnsi="Times New Roman;serif"/>
                  <w:b w:val="false"/>
                  <w:color w:val="0000FF"/>
                  <w:sz w:val="20"/>
                  <w:u w:val="single"/>
                </w:rPr>
                <w:t>Condensed Consolidated Statements of Changes in Shareholders’ Equity—Three and Six Months Ended June 30, 2025 and 2024</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22">
              <w:r>
                <w:rPr>
                  <w:rStyle w:val="InternetLink"/>
                  <w:rFonts w:ascii="Times New Roman;serif" w:hAnsi="Times New Roman;serif"/>
                  <w:b w:val="false"/>
                  <w:color w:val="0000FF"/>
                  <w:sz w:val="20"/>
                  <w:u w:val="single"/>
                </w:rPr>
                <w:t>8</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25">
              <w:r>
                <w:rPr>
                  <w:rStyle w:val="InternetLink"/>
                  <w:rFonts w:ascii="Times New Roman;serif" w:hAnsi="Times New Roman;serif"/>
                  <w:b w:val="false"/>
                  <w:color w:val="0000FF"/>
                  <w:sz w:val="20"/>
                  <w:u w:val="single"/>
                </w:rPr>
                <w:t>Condensed Consolidated Statements of Cash Flows—Six Months Ended June 30, 2025 and 2024</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25">
              <w:r>
                <w:rPr>
                  <w:rStyle w:val="InternetLink"/>
                  <w:rFonts w:ascii="Times New Roman;serif" w:hAnsi="Times New Roman;serif"/>
                  <w:b w:val="false"/>
                  <w:color w:val="0000FF"/>
                  <w:sz w:val="20"/>
                  <w:u w:val="single"/>
                </w:rPr>
                <w:t>10</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28">
              <w:r>
                <w:rPr>
                  <w:rStyle w:val="InternetLink"/>
                  <w:rFonts w:ascii="Times New Roman;serif" w:hAnsi="Times New Roman;serif"/>
                  <w:b w:val="false"/>
                  <w:color w:val="0000FF"/>
                  <w:sz w:val="20"/>
                  <w:u w:val="single"/>
                </w:rPr>
                <w:t>Notes to Condensed Consolidated Financial Statements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28">
              <w:r>
                <w:rPr>
                  <w:rStyle w:val="InternetLink"/>
                  <w:rFonts w:ascii="Times New Roman;serif" w:hAnsi="Times New Roman;serif"/>
                  <w:b w:val="false"/>
                  <w:color w:val="0000FF"/>
                  <w:sz w:val="20"/>
                  <w:u w:val="single"/>
                </w:rPr>
                <w:t>11</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76">
              <w:r>
                <w:rPr>
                  <w:rStyle w:val="InternetLink"/>
                  <w:rFonts w:ascii="Times New Roman;serif" w:hAnsi="Times New Roman;serif"/>
                  <w:b w:val="false"/>
                  <w:color w:val="0000FF"/>
                  <w:sz w:val="20"/>
                  <w:u w:val="single"/>
                </w:rPr>
                <w:t>Item 2.</w:t>
              </w:r>
            </w:hyperlink>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76">
              <w:r>
                <w:rPr>
                  <w:rStyle w:val="InternetLink"/>
                  <w:rFonts w:ascii="Times New Roman;serif" w:hAnsi="Times New Roman;serif"/>
                  <w:b w:val="false"/>
                  <w:color w:val="0000FF"/>
                  <w:sz w:val="20"/>
                  <w:u w:val="single"/>
                </w:rPr>
                <w:t>38</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79">
              <w:r>
                <w:rPr>
                  <w:rStyle w:val="InternetLink"/>
                  <w:rFonts w:ascii="Times New Roman;serif" w:hAnsi="Times New Roman;serif"/>
                  <w:b w:val="false"/>
                  <w:color w:val="0000FF"/>
                  <w:sz w:val="20"/>
                  <w:u w:val="single"/>
                </w:rPr>
                <w:t>Critical Accounting Policies and Estimates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79">
              <w:r>
                <w:rPr>
                  <w:rStyle w:val="InternetLink"/>
                  <w:rFonts w:ascii="Times New Roman;serif" w:hAnsi="Times New Roman;serif"/>
                  <w:b w:val="false"/>
                  <w:color w:val="0000FF"/>
                  <w:sz w:val="20"/>
                  <w:u w:val="single"/>
                </w:rPr>
                <w:t>40</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94">
              <w:r>
                <w:rPr>
                  <w:rStyle w:val="InternetLink"/>
                  <w:rFonts w:ascii="Times New Roman;serif" w:hAnsi="Times New Roman;serif"/>
                  <w:b w:val="false"/>
                  <w:color w:val="0000FF"/>
                  <w:sz w:val="20"/>
                  <w:u w:val="single"/>
                </w:rPr>
                <w:t>Item 3.</w:t>
              </w:r>
            </w:hyperlink>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94">
              <w:r>
                <w:rPr>
                  <w:rStyle w:val="InternetLink"/>
                  <w:rFonts w:ascii="Times New Roman;serif" w:hAnsi="Times New Roman;serif"/>
                  <w:b w:val="false"/>
                  <w:color w:val="0000FF"/>
                  <w:sz w:val="20"/>
                  <w:u w:val="single"/>
                </w:rPr>
                <w:t>Quantitative and Qualitative Disclosures About Market Risk</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94">
              <w:r>
                <w:rPr>
                  <w:rStyle w:val="InternetLink"/>
                  <w:rFonts w:ascii="Times New Roman;serif" w:hAnsi="Times New Roman;serif"/>
                  <w:b w:val="false"/>
                  <w:color w:val="0000FF"/>
                  <w:sz w:val="20"/>
                  <w:u w:val="single"/>
                </w:rPr>
                <w:t>63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97">
              <w:r>
                <w:rPr>
                  <w:rStyle w:val="InternetLink"/>
                  <w:rFonts w:ascii="Times New Roman;serif" w:hAnsi="Times New Roman;serif"/>
                  <w:b w:val="false"/>
                  <w:color w:val="0000FF"/>
                  <w:sz w:val="20"/>
                  <w:u w:val="single"/>
                </w:rPr>
                <w:t>Item 4.</w:t>
              </w:r>
            </w:hyperlink>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97">
              <w:r>
                <w:rPr>
                  <w:rStyle w:val="InternetLink"/>
                  <w:rFonts w:ascii="Times New Roman;serif" w:hAnsi="Times New Roman;serif"/>
                  <w:b w:val="false"/>
                  <w:color w:val="0000FF"/>
                  <w:sz w:val="20"/>
                  <w:u w:val="single"/>
                </w:rPr>
                <w:t>Controls and Procedures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97">
              <w:r>
                <w:rPr>
                  <w:rStyle w:val="InternetLink"/>
                  <w:rFonts w:ascii="Times New Roman;serif" w:hAnsi="Times New Roman;serif"/>
                  <w:b w:val="false"/>
                  <w:color w:val="0000FF"/>
                  <w:sz w:val="20"/>
                  <w:u w:val="single"/>
                </w:rPr>
                <w:t>63</w:t>
              </w:r>
            </w:hyperlink>
          </w:p>
        </w:tc>
      </w:tr>
      <w:tr>
        <w:trPr/>
        <w:tc>
          <w:tcPr>
            <w:tcW w:w="946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00">
              <w:r>
                <w:rPr>
                  <w:rStyle w:val="InternetLink"/>
                  <w:rFonts w:ascii="Times New Roman;serif" w:hAnsi="Times New Roman;serif"/>
                  <w:b w:val="false"/>
                  <w:color w:val="0000FF"/>
                  <w:sz w:val="20"/>
                  <w:u w:val="single"/>
                </w:rPr>
                <w:t>PART II. OTHER INFORMATION</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03">
              <w:r>
                <w:rPr>
                  <w:rStyle w:val="InternetLink"/>
                  <w:rFonts w:ascii="Times New Roman;serif" w:hAnsi="Times New Roman;serif"/>
                  <w:b w:val="false"/>
                  <w:color w:val="0000FF"/>
                  <w:sz w:val="20"/>
                  <w:u w:val="single"/>
                </w:rPr>
                <w:t>Item 1.</w:t>
              </w:r>
            </w:hyperlink>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03">
              <w:r>
                <w:rPr>
                  <w:rStyle w:val="InternetLink"/>
                  <w:rFonts w:ascii="Times New Roman;serif" w:hAnsi="Times New Roman;serif"/>
                  <w:b w:val="false"/>
                  <w:color w:val="0000FF"/>
                  <w:sz w:val="20"/>
                  <w:u w:val="single"/>
                </w:rPr>
                <w:t>Legal Proceedings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03">
              <w:r>
                <w:rPr>
                  <w:rStyle w:val="InternetLink"/>
                  <w:rFonts w:ascii="Times New Roman;serif" w:hAnsi="Times New Roman;serif"/>
                  <w:b w:val="false"/>
                  <w:color w:val="0000FF"/>
                  <w:sz w:val="20"/>
                  <w:u w:val="single"/>
                </w:rPr>
                <w:t>63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06">
              <w:r>
                <w:rPr>
                  <w:rStyle w:val="InternetLink"/>
                  <w:rFonts w:ascii="Times New Roman;serif" w:hAnsi="Times New Roman;serif"/>
                  <w:b w:val="false"/>
                  <w:color w:val="0000FF"/>
                  <w:sz w:val="20"/>
                  <w:u w:val="single"/>
                </w:rPr>
                <w:t>Item 1A.</w:t>
              </w:r>
            </w:hyperlink>
          </w:p>
        </w:tc>
        <w:tc>
          <w:tcPr>
            <w:tcW w:w="8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06">
              <w:r>
                <w:rPr>
                  <w:rStyle w:val="InternetLink"/>
                  <w:rFonts w:ascii="Times New Roman;serif" w:hAnsi="Times New Roman;serif"/>
                  <w:b w:val="false"/>
                  <w:color w:val="0000FF"/>
                  <w:sz w:val="20"/>
                  <w:u w:val="single"/>
                </w:rPr>
                <w:t>Risk Factors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06">
              <w:r>
                <w:rPr>
                  <w:rStyle w:val="InternetLink"/>
                  <w:rFonts w:ascii="Times New Roman;serif" w:hAnsi="Times New Roman;serif"/>
                  <w:b w:val="false"/>
                  <w:color w:val="0000FF"/>
                  <w:sz w:val="20"/>
                  <w:u w:val="single"/>
                </w:rPr>
                <w:t>63</w:t>
              </w:r>
            </w:hyperlink>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09">
              <w:r>
                <w:rPr>
                  <w:rStyle w:val="InternetLink"/>
                  <w:rFonts w:ascii="Times New Roman;serif" w:hAnsi="Times New Roman;serif"/>
                  <w:b w:val="false"/>
                  <w:color w:val="0000FF"/>
                  <w:sz w:val="20"/>
                  <w:u w:val="single"/>
                </w:rPr>
                <w:t>Item 2.</w:t>
              </w:r>
            </w:hyperlink>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09">
              <w:r>
                <w:rPr>
                  <w:rStyle w:val="InternetLink"/>
                  <w:rFonts w:ascii="Times New Roman;serif" w:hAnsi="Times New Roman;serif"/>
                  <w:b w:val="false"/>
                  <w:color w:val="0000FF"/>
                  <w:sz w:val="20"/>
                  <w:u w:val="single"/>
                </w:rPr>
                <w:t>Unregistered Sales of Equity Securities and Use of Proceeds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09">
              <w:r>
                <w:rPr>
                  <w:rStyle w:val="InternetLink"/>
                  <w:rFonts w:ascii="Times New Roman;serif" w:hAnsi="Times New Roman;serif"/>
                  <w:b w:val="false"/>
                  <w:color w:val="0000FF"/>
                  <w:sz w:val="20"/>
                  <w:u w:val="single"/>
                </w:rPr>
                <w:t>63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12">
              <w:r>
                <w:rPr>
                  <w:rStyle w:val="InternetLink"/>
                  <w:rFonts w:ascii="Times New Roman;serif" w:hAnsi="Times New Roman;serif"/>
                  <w:b w:val="false"/>
                  <w:color w:val="0000FF"/>
                  <w:sz w:val="20"/>
                  <w:u w:val="single"/>
                </w:rPr>
                <w:t>Item 3.</w:t>
              </w:r>
            </w:hyperlink>
          </w:p>
        </w:tc>
        <w:tc>
          <w:tcPr>
            <w:tcW w:w="8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12">
              <w:r>
                <w:rPr>
                  <w:rStyle w:val="InternetLink"/>
                  <w:rFonts w:ascii="Times New Roman;serif" w:hAnsi="Times New Roman;serif"/>
                  <w:b w:val="false"/>
                  <w:color w:val="0000FF"/>
                  <w:sz w:val="20"/>
                  <w:u w:val="single"/>
                </w:rPr>
                <w:t>Defaults Upon Senior Securities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12">
              <w:r>
                <w:rPr>
                  <w:rStyle w:val="InternetLink"/>
                  <w:rFonts w:ascii="Times New Roman;serif" w:hAnsi="Times New Roman;serif"/>
                  <w:b w:val="false"/>
                  <w:color w:val="0000FF"/>
                  <w:sz w:val="20"/>
                  <w:u w:val="single"/>
                </w:rPr>
                <w:t>63</w:t>
              </w:r>
            </w:hyperlink>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15">
              <w:r>
                <w:rPr>
                  <w:rStyle w:val="InternetLink"/>
                  <w:rFonts w:ascii="Times New Roman;serif" w:hAnsi="Times New Roman;serif"/>
                  <w:b w:val="false"/>
                  <w:color w:val="0000FF"/>
                  <w:sz w:val="20"/>
                  <w:u w:val="single"/>
                </w:rPr>
                <w:t>Item 4.</w:t>
              </w:r>
            </w:hyperlink>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15">
              <w:r>
                <w:rPr>
                  <w:rStyle w:val="InternetLink"/>
                  <w:rFonts w:ascii="Times New Roman;serif" w:hAnsi="Times New Roman;serif"/>
                  <w:b w:val="false"/>
                  <w:color w:val="0000FF"/>
                  <w:sz w:val="20"/>
                  <w:u w:val="single"/>
                </w:rPr>
                <w:t>Mine Safety Disclosures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15">
              <w:r>
                <w:rPr>
                  <w:rStyle w:val="InternetLink"/>
                  <w:rFonts w:ascii="Times New Roman;serif" w:hAnsi="Times New Roman;serif"/>
                  <w:b w:val="false"/>
                  <w:color w:val="0000FF"/>
                  <w:sz w:val="20"/>
                  <w:u w:val="single"/>
                </w:rPr>
                <w:t>63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18">
              <w:r>
                <w:rPr>
                  <w:rStyle w:val="InternetLink"/>
                  <w:rFonts w:ascii="Times New Roman;serif" w:hAnsi="Times New Roman;serif"/>
                  <w:b w:val="false"/>
                  <w:color w:val="0000FF"/>
                  <w:sz w:val="20"/>
                  <w:u w:val="single"/>
                </w:rPr>
                <w:t>Item 5.</w:t>
              </w:r>
            </w:hyperlink>
          </w:p>
        </w:tc>
        <w:tc>
          <w:tcPr>
            <w:tcW w:w="8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18">
              <w:r>
                <w:rPr>
                  <w:rStyle w:val="InternetLink"/>
                  <w:rFonts w:ascii="Times New Roman;serif" w:hAnsi="Times New Roman;serif"/>
                  <w:b w:val="false"/>
                  <w:color w:val="0000FF"/>
                  <w:sz w:val="20"/>
                  <w:u w:val="single"/>
                </w:rPr>
                <w:t>Other Information</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18">
              <w:r>
                <w:rPr>
                  <w:rStyle w:val="InternetLink"/>
                  <w:rFonts w:ascii="Times New Roman;serif" w:hAnsi="Times New Roman;serif"/>
                  <w:b w:val="false"/>
                  <w:color w:val="0000FF"/>
                  <w:sz w:val="20"/>
                  <w:u w:val="single"/>
                </w:rPr>
                <w:t>63</w:t>
              </w:r>
            </w:hyperlink>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21">
              <w:r>
                <w:rPr>
                  <w:rStyle w:val="InternetLink"/>
                  <w:rFonts w:ascii="Times New Roman;serif" w:hAnsi="Times New Roman;serif"/>
                  <w:b w:val="false"/>
                  <w:color w:val="0000FF"/>
                  <w:sz w:val="20"/>
                  <w:u w:val="single"/>
                </w:rPr>
                <w:t>Item 6.</w:t>
              </w:r>
            </w:hyperlink>
          </w:p>
        </w:tc>
        <w:tc>
          <w:tcPr>
            <w:tcW w:w="8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21">
              <w:r>
                <w:rPr>
                  <w:rStyle w:val="InternetLink"/>
                  <w:rFonts w:ascii="Times New Roman;serif" w:hAnsi="Times New Roman;serif"/>
                  <w:b w:val="false"/>
                  <w:color w:val="0000FF"/>
                  <w:sz w:val="20"/>
                  <w:u w:val="single"/>
                </w:rPr>
                <w:t>Exhibits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21">
              <w:r>
                <w:rPr>
                  <w:rStyle w:val="InternetLink"/>
                  <w:rFonts w:ascii="Times New Roman;serif" w:hAnsi="Times New Roman;serif"/>
                  <w:b w:val="false"/>
                  <w:color w:val="0000FF"/>
                  <w:sz w:val="20"/>
                  <w:u w:val="single"/>
                </w:rPr>
                <w:t>64</w:t>
              </w:r>
            </w:hyperlink>
          </w:p>
        </w:tc>
      </w:tr>
      <w:tr>
        <w:trPr/>
        <w:tc>
          <w:tcPr>
            <w:tcW w:w="946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15e9aedd3244e3a8a8500423ba84ea_124">
              <w:r>
                <w:rPr>
                  <w:rStyle w:val="InternetLink"/>
                  <w:rFonts w:ascii="Times New Roman;serif" w:hAnsi="Times New Roman;serif"/>
                  <w:b w:val="false"/>
                  <w:color w:val="0000FF"/>
                  <w:sz w:val="20"/>
                  <w:u w:val="single"/>
                </w:rPr>
                <w:t>Signatures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15e9aedd3244e3a8a8500423ba84ea_124">
              <w:r>
                <w:rPr>
                  <w:rStyle w:val="InternetLink"/>
                  <w:rFonts w:ascii="Times New Roman;serif" w:hAnsi="Times New Roman;serif"/>
                  <w:b w:val="false"/>
                  <w:color w:val="0000FF"/>
                  <w:sz w:val="20"/>
                  <w:u w:val="single"/>
                </w:rPr>
                <w:t>65</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materially from those expressed in, or implied by, the forward-looking statements included in this Quarterly Report as a result of various factors, many of which are beyond our control, including, among others: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inherent uncertainty of estimating reserves and the possibility that incurred losses may be greater than our estimate used to compute loss and loss adjustment expense reserves;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inaccurate estimates and judgments in our risk management may expose us to greater risks than intended;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downgrades in the financial strength rating or outlook of our regulated insurance subsidiaries impacting our competitive position and ability to attract and retain insurance business that our subsidiaries write and ultimately our financial condition;</w:t>
      </w:r>
    </w:p>
    <w:p>
      <w:pPr>
        <w:pStyle w:val="TextBody"/>
        <w:bidi w:val="0"/>
        <w:spacing w:lineRule="auto" w:line="288" w:before="0" w:after="120"/>
        <w:ind w:left="0" w:right="0" w:hanging="540"/>
        <w:jc w:val="both"/>
        <w:rPr/>
      </w:pPr>
      <w:r>
        <w:rPr>
          <w:color w:val="000000"/>
          <w:shd w:fill="FFFFFF" w:val="clear"/>
        </w:rPr>
        <w:t>•</w:t>
      </w:r>
      <w:r>
        <w:rPr>
          <w:rFonts w:ascii="Times New Roman;serif" w:hAnsi="Times New Roman;serif"/>
          <w:b w:val="false"/>
          <w:color w:val="000000"/>
          <w:sz w:val="20"/>
          <w:shd w:fill="FFFFFF" w:val="clear"/>
        </w:rPr>
        <w:t>the outcome of the litigation in connection with the sale of our casualty reinsurance business;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potential loss of key members of our management team or key employees, and our ability to attract and retain personnel;</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adverse economic and competitive factors resulting in the sale of fewer policies than expected or an increase in the frequency or severity of claims, or both;</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impact of a higher than expected inflationary environment on our reserves, loss adjustment expenses, the values of our investments and investment returns, and our compensation expenses;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exposure to credit risk, interest rate risk and other market risk in our investment portfolio and our reinsurers;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reliance on a select group of brokers and agents for a significant portion of our business and the impact of our potential failure to maintain such relationships;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reliance on a select group of customers for a significant portion of our business and the impact of our potential failure to maintain, or decision to terminate, such relationships;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our ability to obtain insurance and reinsurance coverage at prices and on terms that allow us to transfer risk, adequately protect our Company against financial loss and that supports our growth plans;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inherent uncertainty of estimating reinsurance recoverable on unpaid losses and the possibility that reinsurance may be less than our estimate of reinsurance recoverable on unpaid losses;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inadequacy of premiums we charge to compensate us for our losses incurred;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laws or government regulation, including tax or insurance laws and regulations;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in the event we did not qualify for the insurance company exception to the passive foreign investment company (“PFIC”) rules and were therefore considered a PFIC, there could be material adverse tax consequences to an investor that is subject to U.S. federal income taxation;</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Company or its foreign subsidiary becoming subject to U.S. federal income taxation;</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 failure of any of the loss limitations or exclusions we utilize in our insurance products to shield us from unanticipated financial losses or legal exposures, or other liabilities;</w:t>
      </w:r>
    </w:p>
    <w:p>
      <w:pPr>
        <w:pStyle w:val="TextBody"/>
        <w:bidi w:val="0"/>
        <w:spacing w:lineRule="auto" w:line="288" w:before="0" w:after="120"/>
        <w:ind w:left="0" w:right="0" w:hanging="540"/>
        <w:jc w:val="both"/>
        <w:rPr/>
      </w:pPr>
      <w:r>
        <w:rPr>
          <w:color w:val="000000"/>
          <w:shd w:fill="FFFFFF" w:val="clear"/>
        </w:rPr>
        <w:t>•</w:t>
      </w:r>
      <w:r>
        <w:rPr>
          <w:rFonts w:ascii="Times New Roman;serif" w:hAnsi="Times New Roman;serif"/>
          <w:b w:val="false"/>
          <w:color w:val="000000"/>
          <w:sz w:val="20"/>
          <w:shd w:fill="FFFFFF" w:val="clear"/>
        </w:rPr>
        <w:t>losses from catastrophic events, such as natural disasters and terrorist acts, which substantially exceed our expectations and/or exceed the amount of reinsurance we have purchased to protect us from such events;</w:t>
      </w:r>
    </w:p>
    <w:p>
      <w:pPr>
        <w:pStyle w:val="TextBody"/>
        <w:bidi w:val="0"/>
        <w:spacing w:lineRule="auto" w:line="288" w:before="0" w:after="120"/>
        <w:ind w:left="0" w:right="0" w:hanging="540"/>
        <w:jc w:val="both"/>
        <w:rPr/>
      </w:pPr>
      <w:r>
        <w:rPr>
          <w:color w:val="000000"/>
          <w:shd w:fill="FFFFFF" w:val="clear"/>
        </w:rPr>
        <w:t>•</w:t>
      </w:r>
      <w:r>
        <w:rPr>
          <w:rFonts w:ascii="Times New Roman;serif" w:hAnsi="Times New Roman;serif"/>
          <w:b w:val="false"/>
          <w:color w:val="000000"/>
          <w:sz w:val="20"/>
        </w:rPr>
        <w:t>potential effects on our business of emerging claim and coverage issues;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potential impact of internal or external fraud, operational errors, systems malfunctions or cyber security incidents;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failure to maintain effective internal controls in accordance with the Sarbanes-Oxley Act of 2002, as amended;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our financial condition, regulations or other factors that may restrict our subsidiaries’ ability to pay us dividends;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an adverse result in any litigation or legal proceedings we are or may become subject to; and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other risks and uncertainties discussed in this Quarterly Report.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you should read this Quarterly Report completely and with the understanding that our actual future results may be materially different from information contained in the forward-looking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2024 filed with the SEC on March 4, 2025.</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1.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98"/>
        <w:gridCol w:w="2203"/>
        <w:gridCol w:w="2199"/>
        <w:gridCol w:w="250"/>
        <w:gridCol w:w="1157"/>
        <w:gridCol w:w="128"/>
        <w:gridCol w:w="109"/>
        <w:gridCol w:w="109"/>
        <w:gridCol w:w="109"/>
        <w:gridCol w:w="211"/>
        <w:gridCol w:w="976"/>
        <w:gridCol w:w="156"/>
      </w:tblGrid>
      <w:tr>
        <w:trPr/>
        <w:tc>
          <w:tcPr>
            <w:tcW w:w="259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Invested assets:</w:t>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 at fair value (amortized cost: 2025 – $1,364,455; 2024 – $1,278,337)</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 (cost: 2025 – $84,173; 2024 – $82,678)</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 at fair value</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invested assets</w:t>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1,716,486 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and agents’ balances, net</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 net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1,985,830 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paid losses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reinsurance premiums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5,018,322 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5,007,076 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76"/>
        <w:gridCol w:w="2245"/>
        <w:gridCol w:w="2250"/>
        <w:gridCol w:w="238"/>
        <w:gridCol w:w="1102"/>
        <w:gridCol w:w="122"/>
        <w:gridCol w:w="109"/>
        <w:gridCol w:w="109"/>
        <w:gridCol w:w="109"/>
        <w:gridCol w:w="211"/>
        <w:gridCol w:w="976"/>
        <w:gridCol w:w="158"/>
      </w:tblGrid>
      <w:tr>
        <w:trPr/>
        <w:tc>
          <w:tcPr>
            <w:tcW w:w="2576"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3,076,498 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3,084,406 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to reinsurers</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debt</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4,392,649 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4,413,046 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 (Note 8)</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redeemable preferred shares – 2025 and 2024: 165,000 shares authorized; 112,500 shares issued and outstanding</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 2025 and 2024: $0.0002 par value; 200,000,000 shares authorized; 45,895,335 and 45,644,318 shares issued and outstanding, respectively</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 2025 and 2024: $0.00125 par value; 19,835,000 shares authorized; no shares issued and outstanding</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Series A redeemable preferred shares, and shareholders’ equity</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5,018,322 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5,007,076 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erif" w:hAnsi="Times New Roman;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23"/>
        <w:gridCol w:w="1476"/>
        <w:gridCol w:w="1498"/>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56"/>
      </w:tblGrid>
      <w:tr>
        <w:trPr/>
        <w:tc>
          <w:tcPr>
            <w:tcW w:w="192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written premiums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Ceded written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written premiums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319,525 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net unearned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earned premiums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and unrealized (losses) gains on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and loss adjustment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336,267 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on continuing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 (Note 2):</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loss from discontinued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Series A preferred shares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available to common shareholders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unrealized gains (losses), net of taxes of $1,310 and $5,117 in 2025 and $(627) and $(2,693) in 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income</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declared per common share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45,918,697 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37,801,516 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38,037,393 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44,762,563 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i/>
          <w:color w:val="000000"/>
          <w:sz w:val="20"/>
        </w:rPr>
        <w:t>See accompanying notes.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421" w:type="dxa"/>
        <w:jc w:val="left"/>
        <w:tblInd w:w="0" w:type="dxa"/>
        <w:tblLayout w:type="fixed"/>
        <w:tblCellMar>
          <w:top w:w="28" w:type="dxa"/>
          <w:left w:w="28" w:type="dxa"/>
          <w:bottom w:w="28" w:type="dxa"/>
          <w:right w:w="28" w:type="dxa"/>
        </w:tblCellMar>
      </w:tblPr>
      <w:tblGrid>
        <w:gridCol w:w="678"/>
        <w:gridCol w:w="253"/>
        <w:gridCol w:w="255"/>
        <w:gridCol w:w="480"/>
        <w:gridCol w:w="481"/>
        <w:gridCol w:w="336"/>
        <w:gridCol w:w="109"/>
        <w:gridCol w:w="109"/>
        <w:gridCol w:w="109"/>
        <w:gridCol w:w="274"/>
        <w:gridCol w:w="338"/>
        <w:gridCol w:w="154"/>
        <w:gridCol w:w="109"/>
        <w:gridCol w:w="109"/>
        <w:gridCol w:w="109"/>
        <w:gridCol w:w="223"/>
        <w:gridCol w:w="463"/>
        <w:gridCol w:w="12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196"/>
        <w:gridCol w:w="73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45,892,706 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45,895,335 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December 31, 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45,644,318 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251,017 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45,895,335 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421" w:type="dxa"/>
        <w:jc w:val="left"/>
        <w:tblInd w:w="0" w:type="dxa"/>
        <w:tblLayout w:type="fixed"/>
        <w:tblCellMar>
          <w:top w:w="28" w:type="dxa"/>
          <w:left w:w="28" w:type="dxa"/>
          <w:bottom w:w="28" w:type="dxa"/>
          <w:right w:w="28" w:type="dxa"/>
        </w:tblCellMar>
      </w:tblPr>
      <w:tblGrid>
        <w:gridCol w:w="678"/>
        <w:gridCol w:w="253"/>
        <w:gridCol w:w="255"/>
        <w:gridCol w:w="480"/>
        <w:gridCol w:w="481"/>
        <w:gridCol w:w="336"/>
        <w:gridCol w:w="109"/>
        <w:gridCol w:w="109"/>
        <w:gridCol w:w="109"/>
        <w:gridCol w:w="274"/>
        <w:gridCol w:w="338"/>
        <w:gridCol w:w="154"/>
        <w:gridCol w:w="109"/>
        <w:gridCol w:w="109"/>
        <w:gridCol w:w="109"/>
        <w:gridCol w:w="223"/>
        <w:gridCol w:w="463"/>
        <w:gridCol w:w="12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196"/>
        <w:gridCol w:w="73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37,822,340 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37,825,767 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(73,853)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December 31, 2023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37,641,563 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184,204 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37,825,767 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(73,853)</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erif" w:hAnsi="Times New Roman;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before="0" w:after="0"/>
        <w:jc w:val="left"/>
        <w:rPr/>
      </w:pPr>
      <w:r>
        <w:rPr/>
      </w:r>
    </w:p>
    <w:tbl>
      <w:tblPr>
        <w:tblW w:w="9068" w:type="dxa"/>
        <w:jc w:val="center"/>
        <w:tblInd w:w="0" w:type="dxa"/>
        <w:tblLayout w:type="fixed"/>
        <w:tblCellMar>
          <w:top w:w="28" w:type="dxa"/>
          <w:left w:w="28" w:type="dxa"/>
          <w:bottom w:w="28" w:type="dxa"/>
          <w:right w:w="28" w:type="dxa"/>
        </w:tblCellMar>
      </w:tblPr>
      <w:tblGrid>
        <w:gridCol w:w="2320"/>
        <w:gridCol w:w="2035"/>
        <w:gridCol w:w="2049"/>
        <w:gridCol w:w="211"/>
        <w:gridCol w:w="826"/>
        <w:gridCol w:w="109"/>
        <w:gridCol w:w="109"/>
        <w:gridCol w:w="109"/>
        <w:gridCol w:w="109"/>
        <w:gridCol w:w="211"/>
        <w:gridCol w:w="826"/>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JRG 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and calls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redemptions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principal repayments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receivable or payable,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 issuances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 repayments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withheld and remitted on net settlement of RSUs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Series A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at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pPr>
      <w:r>
        <w:rPr>
          <w:rFonts w:ascii="Times New Roman;serif" w:hAnsi="Times New Roman;serif"/>
          <w:b w:val="false"/>
          <w:color w:val="000000"/>
          <w:sz w:val="16"/>
        </w:rPr>
        <w:t xml:space="preserve">(a) Cash provided by operating activities for the six months ended June 30, 2025 and 2024 includes the restricted cash activity above related to a former insured, per the terms of a collateral trust. See “Item 2. Management’s Discussion and Analysis of Financial Condition and Results of Operations – </w:t>
      </w:r>
      <w:r>
        <w:rPr>
          <w:rFonts w:ascii="Times New Roman;serif" w:hAnsi="Times New Roman;serif"/>
          <w:b w:val="false"/>
          <w:i/>
          <w:color w:val="000000"/>
          <w:sz w:val="16"/>
        </w:rPr>
        <w:t>Amounts Recoverable from an Indemnifying Party and Reinsurer on Legacy Commercial Auto Book</w:t>
      </w:r>
      <w:r>
        <w:rPr>
          <w:color w:val="000000"/>
        </w:rPr>
        <w:t>”</w:t>
      </w:r>
      <w:r>
        <w:rPr>
          <w:rFonts w:ascii="Times New Roman;serif" w:hAnsi="Times New Roman;serif"/>
          <w:b w:val="false"/>
          <w:color w:val="000000"/>
          <w:sz w:val="16"/>
        </w:rPr>
        <w:t>. Excluding the restricted cash activity, cash (used in) provided by operating activities was $(26.9) million and $59.9 million for the six months ended June 30, 2025 and 2024, respectively.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Accounting Policies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Group Holdings, Ltd. (referred to as “JRG Holdings” or, with its subsidiaries, the “Company”) is an exempted holding company registered in Bermuda, organized for the purpose of acquiring and managing insurance entities.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owns five insurance companies based in the United States (“U.S.”) focused on specialty insurance niches as described below: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James River Group Holdings UK Limited (“James River UK”) is an insurance holding company formed in 2015 in the United Kingdom (“U.K.”). JRG Holdings contributed James River Group, Inc. (“James River Group”), a U.S. insurance holding company, to James River UK in 2015.</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James River Insurance Company is an Ohio domiciled excess and surplus lines insurance company that, with its wholly-owned insurance subsidiary, James River Casualty Company, an Ohio domiciled company, is authorized to write business in every state and the District of Columbia.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Falls Lake National Insurance Company (“Falls Lake National”) is an Ohio domiciled insurance company which wholly owns Stonewood Insurance Company, an Ohio domiciled company, and Falls Lake Fire and Casualty Company, a California domiciled company. Falls Lake National and its subsidiaries primarily write specialty admitted fronting and program business.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The Company has no continued involvement with JRG Re following the sale. See Discontinued Operations below and Note 2 for additional disclosure.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2024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2024 was derived from the Company’s audited annual consolidated financial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Intercompany transactions and balances have been eliminated.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a component of the Company are reported in discontinued operations when certain criteria are met as of the date of disposal, or earlier if classified as held-for-sale. The Company determined that the sale of JRG Re, which closed on April 16, 2024, represented a strategic shift that will have a major effect on the Company's operations. Accordingly, the results of JRG Re's operations have been presented as discontinued operations for all periods presented in this interim report on Form 10-Q. See Note 2 for additional disclosure.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Estimates and Assumptions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Preparation of the condensed consolidated financial statements in conformity with U.S. GAAP requires management to make estimates and assumptions that affect the amounts reported in the condensed consolidated financial statements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accompanying disclosures. Those estimates are inherently subject to change, and actual results may ultimately differ from those estimates.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Variable Interest Entities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$7.3 million at June 30, 2025 and $7.7 million at December 31, 2024, representing the Company’s maximum exposure to loss.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effective tax rate fluctuates from period to period based on the relative mix of income from continuing operations reported by country and the respective tax rates imposed by each tax jurisdiction. Statutory tax rates are 0% and 21% for Bermuda and the U.S. For the three and six months ended June 30, 2025, our effective tax rate on income from continuing operations was 30.1% and 31.0%, respectively (28.3% and 28.5% in the respective prior year periods).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Adopted Accounting Standards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standards adopted in 2025 that materially impacted the Company's financial statements.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Prospective Accounting Standards</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guidance in ASU 2023-09</w:t>
      </w:r>
      <w:r>
        <w:rPr>
          <w:color w:val="000000"/>
        </w:rPr>
        <w:t>—</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was designed to increase transparency about income tax information through improvements to the rate reconciliation and disclosure of income taxes paid. This ASU is effective for fiscal years beginning after December 15, 2024. Although the Company continues to evaluate the impact of adopting this new accounting standard, the amendments are disclosure-related and are not expected to have a material impact on the Company's financial statements.</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guidance in ASU 2024-03</w:t>
      </w:r>
      <w:r>
        <w:rPr>
          <w:rFonts w:ascii="Times New Roman;serif" w:hAnsi="Times New Roman;serif"/>
          <w:b w:val="false"/>
          <w:i/>
          <w:color w:val="000000"/>
          <w:sz w:val="20"/>
        </w:rPr>
        <w:t>, 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requires additional, disaggregated disclosure around certain income statement expense line items. This ASU is effective for fiscal years beginning after December 15, 2026 and interim periods beginning after December 15, 2027, although early adoption is permitted. The Company is in the process of evaluating the impact of this new guidance on the disclosures in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2.    Discontinued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8, 2023, the Company entered into a Stock Purchase Agreement (the “Stock Purchase Agreement”) with Fleming Intermediate Holdings LLC, a Cayman Islands limited liability company (“Fleming”). Pursuant to the Stock Purchase Agreement, and on the terms and subject to the conditions therein, Fleming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Stock Purchase Agreement, the aggregate consideration received by the Company, after giving effect to estimated adjustments based on changes in JRG Re’s adjusted net worth between March 31, 2023 and the closing, totaled approximately $291.4 million (the “Closing Date Purchase Price”). The aggregate Closing Date Purchase Price was comprised of (i) $152.4 million paid in cash by Fleming and (ii) an aggregate $139.0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was subject to final post-closing adjustments, which resulted in the downward adjustment to the cash portion of the Closing Date Purchase Price discussed below.</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the Stock Purchase Agreement, the Company and Fleming engaged in a post-closing purchase price true-up process. The Company agreed with an initial $11.4 million downward adjustment to the Closing Date Purchase Price due to losses from JRG Re’s operations between the date of the balance sheet used to produce the estimated closing statement and the Closing Date, which downward adjustment was paid to Fleming on October 18, 2024. On April 18, 2025, the independent accounting firm appointed by the parties issued its final determination, concluding the post-closing purchase price true-up process. Pursuant to this final determination, the Company paid $522,789 to Fleming on April 29, 2025 comprised of a $483,625 final downward adjustment to the Closing Date Purchase Price and interest due according to terms of the Stock Purchase Agreement.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sale of JRG Re represented a strategic shift that will have a major effect on its operations. Accordingly, the results of JRG Re's operations have been presented as discontinued operations for all periods presented in this interim report on Form 10-Q.</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$139.0 million pre-closing dividend was completed in the first quarter of 2024. It included the forgiveness of $133.2 million owed from JRG Holdings to JRG Re and $5.8 million paid in cash to JRG Holdings. The loss on disposal for the six months ended June 30, 2024 of $1.4 million includes a $2.4 million gain for the change in the estimated loss on sale and selling costs incurred of $3.8 million. For the six months ended June 30, 2025, the loss on disposal of $1.8 million includes the $522,789 downward adjustment to the Closing Date Purchase Price plus interest and $1.3 million of additional selling costs incurred by the Company related to the sale of JRG Re.</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The operating results of JRG Re reported in discontinued operations were as follows:</w:t>
      </w:r>
    </w:p>
    <w:tbl>
      <w:tblPr>
        <w:tblW w:w="8426" w:type="dxa"/>
        <w:jc w:val="left"/>
        <w:tblInd w:w="0" w:type="dxa"/>
        <w:tblLayout w:type="fixed"/>
        <w:tblCellMar>
          <w:top w:w="28" w:type="dxa"/>
          <w:left w:w="28" w:type="dxa"/>
          <w:bottom w:w="28" w:type="dxa"/>
          <w:right w:w="28" w:type="dxa"/>
        </w:tblCellMar>
      </w:tblPr>
      <w:tblGrid>
        <w:gridCol w:w="1499"/>
        <w:gridCol w:w="1317"/>
        <w:gridCol w:w="1324"/>
        <w:gridCol w:w="211"/>
        <w:gridCol w:w="406"/>
        <w:gridCol w:w="109"/>
        <w:gridCol w:w="109"/>
        <w:gridCol w:w="109"/>
        <w:gridCol w:w="109"/>
        <w:gridCol w:w="215"/>
        <w:gridCol w:w="475"/>
        <w:gridCol w:w="109"/>
        <w:gridCol w:w="109"/>
        <w:gridCol w:w="109"/>
        <w:gridCol w:w="109"/>
        <w:gridCol w:w="235"/>
        <w:gridCol w:w="455"/>
        <w:gridCol w:w="109"/>
        <w:gridCol w:w="109"/>
        <w:gridCol w:w="109"/>
        <w:gridCol w:w="109"/>
        <w:gridCol w:w="211"/>
        <w:gridCol w:w="616"/>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written premiums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unearned premiums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on investments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discontinued operations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from discontinued operations</w:t>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Cash flows from discontinued operations included in the consolidated statements of cash flows were as follows:</w:t>
      </w:r>
    </w:p>
    <w:tbl>
      <w:tblPr>
        <w:tblW w:w="7884" w:type="dxa"/>
        <w:jc w:val="left"/>
        <w:tblInd w:w="0" w:type="dxa"/>
        <w:tblLayout w:type="fixed"/>
        <w:tblCellMar>
          <w:top w:w="28" w:type="dxa"/>
          <w:left w:w="28" w:type="dxa"/>
          <w:bottom w:w="28" w:type="dxa"/>
          <w:right w:w="28" w:type="dxa"/>
        </w:tblCellMar>
      </w:tblPr>
      <w:tblGrid>
        <w:gridCol w:w="2056"/>
        <w:gridCol w:w="1802"/>
        <w:gridCol w:w="1812"/>
        <w:gridCol w:w="211"/>
        <w:gridCol w:w="406"/>
        <w:gridCol w:w="109"/>
        <w:gridCol w:w="109"/>
        <w:gridCol w:w="109"/>
        <w:gridCol w:w="109"/>
        <w:gridCol w:w="211"/>
        <w:gridCol w:w="79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of 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of discontinued operations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by discontinued operations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Investments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available-for-sale fixed maturity securities are summarized as follows:</w:t>
      </w:r>
    </w:p>
    <w:tbl>
      <w:tblPr>
        <w:tblW w:w="10205" w:type="dxa"/>
        <w:jc w:val="left"/>
        <w:tblInd w:w="0" w:type="dxa"/>
        <w:tblLayout w:type="fixed"/>
        <w:tblCellMar>
          <w:top w:w="28" w:type="dxa"/>
          <w:left w:w="28" w:type="dxa"/>
          <w:bottom w:w="28" w:type="dxa"/>
          <w:right w:w="28" w:type="dxa"/>
        </w:tblCellMar>
      </w:tblPr>
      <w:tblGrid>
        <w:gridCol w:w="1712"/>
        <w:gridCol w:w="1502"/>
        <w:gridCol w:w="1342"/>
        <w:gridCol w:w="211"/>
        <w:gridCol w:w="976"/>
        <w:gridCol w:w="109"/>
        <w:gridCol w:w="109"/>
        <w:gridCol w:w="109"/>
        <w:gridCol w:w="109"/>
        <w:gridCol w:w="211"/>
        <w:gridCol w:w="616"/>
        <w:gridCol w:w="109"/>
        <w:gridCol w:w="109"/>
        <w:gridCol w:w="109"/>
        <w:gridCol w:w="109"/>
        <w:gridCol w:w="211"/>
        <w:gridCol w:w="773"/>
        <w:gridCol w:w="109"/>
        <w:gridCol w:w="109"/>
        <w:gridCol w:w="109"/>
        <w:gridCol w:w="109"/>
        <w:gridCol w:w="211"/>
        <w:gridCol w:w="976"/>
        <w:gridCol w:w="156"/>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5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available-for-sale investments in fixed maturity securities at June 30, 2025 are summarized, by contractual maturity, as follows:</w:t>
      </w:r>
    </w:p>
    <w:tbl>
      <w:tblPr>
        <w:tblW w:w="6308" w:type="dxa"/>
        <w:jc w:val="left"/>
        <w:tblInd w:w="0" w:type="dxa"/>
        <w:tblLayout w:type="fixed"/>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for some securities because borrowers have the right to call or prepay obligations with or without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863"/>
        <w:gridCol w:w="638"/>
        <w:gridCol w:w="258"/>
        <w:gridCol w:w="211"/>
        <w:gridCol w:w="826"/>
        <w:gridCol w:w="109"/>
        <w:gridCol w:w="109"/>
        <w:gridCol w:w="109"/>
        <w:gridCol w:w="109"/>
        <w:gridCol w:w="211"/>
        <w:gridCol w:w="738"/>
        <w:gridCol w:w="109"/>
        <w:gridCol w:w="109"/>
        <w:gridCol w:w="109"/>
        <w:gridCol w:w="109"/>
        <w:gridCol w:w="211"/>
        <w:gridCol w:w="826"/>
        <w:gridCol w:w="109"/>
        <w:gridCol w:w="109"/>
        <w:gridCol w:w="109"/>
        <w:gridCol w:w="109"/>
        <w:gridCol w:w="211"/>
        <w:gridCol w:w="738"/>
        <w:gridCol w:w="109"/>
        <w:gridCol w:w="109"/>
        <w:gridCol w:w="109"/>
        <w:gridCol w:w="109"/>
        <w:gridCol w:w="211"/>
        <w:gridCol w:w="976"/>
        <w:gridCol w:w="109"/>
        <w:gridCol w:w="109"/>
        <w:gridCol w:w="109"/>
        <w:gridCol w:w="109"/>
        <w:gridCol w:w="211"/>
        <w:gridCol w:w="738"/>
        <w:gridCol w:w="158"/>
      </w:tblGrid>
      <w:tr>
        <w:trPr/>
        <w:tc>
          <w:tcPr>
            <w:tcW w:w="8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rPr/>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4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2025, the Company held fixed maturity securities of 402 issuers that were in an unrealized loss position with a total fair value of $890.0 million and gross unrealized losses of $70.2 million. None of the fixed maturity securities with unrealized losses has ever missed, or been delinquent on a scheduled principal or interest payment. At June 30, 2025, 100.0% of the Company’s fixed maturity security portfolio was rated “BBB-” or better (“investment grade”) by Standard &amp; Poor’s or received an equivalent rating from another nationally recognized rating agency.</w:t>
      </w:r>
    </w:p>
    <w:p>
      <w:pPr>
        <w:pStyle w:val="TextBody"/>
        <w:bidi w:val="0"/>
        <w:spacing w:lineRule="auto" w:line="288" w:before="0" w:after="120"/>
        <w:ind w:left="0" w:right="0" w:firstLine="360"/>
        <w:jc w:val="both"/>
        <w:rPr/>
      </w:pPr>
      <w:r>
        <w:rPr>
          <w:rFonts w:ascii="Times New Roman;serif" w:hAnsi="Times New Roman;serif"/>
          <w:b w:val="false"/>
          <w:color w:val="231F20"/>
          <w:sz w:val="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erif" w:hAnsi="Times New Roman;serif"/>
          <w:b w:val="false"/>
          <w:color w:val="000000"/>
          <w:sz w:val="20"/>
        </w:rPr>
        <w:t>et realized and unrealized gains (losses) on investments</w:t>
      </w:r>
      <w:r>
        <w:rPr>
          <w:rFonts w:ascii="Times New Roman;serif" w:hAnsi="Times New Roman;serif"/>
          <w:b w:val="false"/>
          <w:color w:val="231F20"/>
          <w:sz w:val="20"/>
        </w:rPr>
        <w:t>. Unrealized losses that are not credit-related are recognized in other comprehensive income.</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June 30, 2025, December 31, 2024, or June 30, 2024. During the three months ended June 30, 2024, management recognized an impairment loss of $207,000 for one fixed maturity security due to the Company’s inability to hold the security until a recovery in its value to the amortized cost basis. For securities in an unrealized loss position at June 30, 2025, management does not intend to sell the securities, and </w:t>
      </w:r>
      <w:r>
        <w:rPr>
          <w:rFonts w:ascii="Times New Roman;serif" w:hAnsi="Times New Roman;serif"/>
          <w:b w:val="false"/>
          <w:color w:val="231F20"/>
          <w:sz w:val="20"/>
        </w:rPr>
        <w:t>it is not “more likely than not” that the Company will be required to sell these securities before a recovery in their value to their amortized cost basis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to account for bank loan participations. Under the fair value option, bank loan participations are measured at fair value, and changes in unrealized gains and losses in bank loan participations are reported in the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ASU 2016-13, which would have otherwise been required. </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At June 30, 2025, the Company's bank loan portfolio had an aggregate fair value of $158.9 million and unpaid principal of </w:t>
      </w:r>
      <w:r>
        <w:rPr>
          <w:rFonts w:ascii="Times New Roman;serif" w:hAnsi="Times New Roman;serif"/>
          <w:b w:val="false"/>
          <w:color w:val="000000"/>
          <w:sz w:val="20"/>
        </w:rPr>
        <w:t xml:space="preserve">$164.6 million. </w:t>
      </w:r>
      <w:r>
        <w:rPr>
          <w:rFonts w:ascii="Times New Roman;serif" w:hAnsi="Times New Roman;serif"/>
          <w:b w:val="false"/>
          <w:color w:val="231F20"/>
          <w:sz w:val="20"/>
        </w:rPr>
        <w:t>Investment income on bank loan participations included in net investment income was $3.1 million</w:t>
      </w:r>
      <w:r>
        <w:rPr>
          <w:color w:val="000000"/>
        </w:rPr>
        <w:t xml:space="preserve"> </w:t>
      </w:r>
      <w:r>
        <w:rPr>
          <w:rFonts w:ascii="Times New Roman;serif" w:hAnsi="Times New Roman;serif"/>
          <w:b w:val="false"/>
          <w:color w:val="000000"/>
          <w:sz w:val="20"/>
        </w:rPr>
        <w:t>and</w:t>
      </w:r>
      <w:r>
        <w:rPr>
          <w:color w:val="231F20"/>
        </w:rPr>
        <w:t xml:space="preserve"> </w:t>
      </w:r>
      <w:r>
        <w:rPr>
          <w:rFonts w:ascii="Times New Roman;serif" w:hAnsi="Times New Roman;serif"/>
          <w:b w:val="false"/>
          <w:color w:val="231F20"/>
          <w:sz w:val="20"/>
        </w:rPr>
        <w:t xml:space="preserve">$6.3 million for the </w:t>
      </w:r>
      <w:r>
        <w:rPr>
          <w:rFonts w:ascii="Times New Roman;serif" w:hAnsi="Times New Roman;serif"/>
          <w:b w:val="false"/>
          <w:color w:val="000000"/>
          <w:sz w:val="20"/>
        </w:rPr>
        <w:t>three and six</w:t>
      </w:r>
      <w:r>
        <w:rPr>
          <w:color w:val="231F20"/>
        </w:rPr>
        <w:t xml:space="preserve"> </w:t>
      </w:r>
      <w:r>
        <w:rPr>
          <w:rFonts w:ascii="Times New Roman;serif" w:hAnsi="Times New Roman;serif"/>
          <w:b w:val="false"/>
          <w:color w:val="231F20"/>
          <w:sz w:val="20"/>
        </w:rPr>
        <w:t>months ended June 30, 2025, respectively (</w:t>
      </w:r>
      <w:r>
        <w:rPr>
          <w:rFonts w:ascii="Times New Roman;serif" w:hAnsi="Times New Roman;serif"/>
          <w:b w:val="false"/>
          <w:color w:val="000000"/>
          <w:sz w:val="20"/>
        </w:rPr>
        <w:t>$4.6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$9.1 million for the respective prior year periods)</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 xml:space="preserve">Net realized and unrealized gains (losses) on bank loan participations were </w:t>
      </w:r>
      <w:r>
        <w:rPr>
          <w:rFonts w:ascii="Times New Roman;serif" w:hAnsi="Times New Roman;serif"/>
          <w:b w:val="false"/>
          <w:color w:val="000000"/>
          <w:sz w:val="20"/>
        </w:rPr>
        <w:t xml:space="preserve">$253,000 and $(2.1) million </w:t>
      </w:r>
      <w:r>
        <w:rPr>
          <w:rFonts w:ascii="Times New Roman;serif" w:hAnsi="Times New Roman;serif"/>
          <w:b w:val="false"/>
          <w:color w:val="231F20"/>
          <w:sz w:val="20"/>
        </w:rPr>
        <w:t xml:space="preserve">for the </w:t>
      </w:r>
      <w:r>
        <w:rPr>
          <w:rFonts w:ascii="Times New Roman;serif" w:hAnsi="Times New Roman;serif"/>
          <w:b w:val="false"/>
          <w:color w:val="000000"/>
          <w:sz w:val="20"/>
        </w:rPr>
        <w:t>three and six</w:t>
      </w:r>
      <w:r>
        <w:rPr>
          <w:color w:val="231F20"/>
        </w:rPr>
        <w:t xml:space="preserve"> </w:t>
      </w:r>
      <w:r>
        <w:rPr>
          <w:rFonts w:ascii="Times New Roman;serif" w:hAnsi="Times New Roman;serif"/>
          <w:b w:val="false"/>
          <w:color w:val="231F20"/>
          <w:sz w:val="20"/>
        </w:rPr>
        <w:t>months ended June 30, 2025, respectively (</w:t>
      </w:r>
      <w:r>
        <w:rPr>
          <w:rFonts w:ascii="Times New Roman;serif" w:hAnsi="Times New Roman;serif"/>
          <w:b w:val="false"/>
          <w:color w:val="000000"/>
          <w:sz w:val="20"/>
        </w:rPr>
        <w:t>$(843,000)</w:t>
      </w:r>
      <w:r>
        <w:rPr>
          <w:color w:val="231F20"/>
        </w:rPr>
        <w:t xml:space="preserve"> </w:t>
      </w:r>
      <w:r>
        <w:rPr>
          <w:rFonts w:ascii="Times New Roman;serif" w:hAnsi="Times New Roman;serif"/>
          <w:b w:val="false"/>
          <w:color w:val="000000"/>
          <w:sz w:val="20"/>
        </w:rPr>
        <w:t>and $(1.1) million in the respective prior year periods)</w:t>
      </w:r>
      <w:r>
        <w:rPr>
          <w:rFonts w:ascii="Times New Roman;serif" w:hAnsi="Times New Roman;serif"/>
          <w:b w:val="false"/>
          <w:color w:val="231F20"/>
          <w:sz w:val="20"/>
        </w:rPr>
        <w:t xml:space="preserve">. As of June 30, 2025, management concluded that none of the unrealized losses of bank loan participations were due to credit-related impairments. For the </w:t>
      </w:r>
      <w:r>
        <w:rPr>
          <w:rFonts w:ascii="Times New Roman;serif" w:hAnsi="Times New Roman;serif"/>
          <w:b w:val="false"/>
          <w:color w:val="000000"/>
          <w:sz w:val="20"/>
        </w:rPr>
        <w:t>three and six months ended June 30, 2024</w:t>
      </w:r>
      <w:r>
        <w:rPr>
          <w:rFonts w:ascii="Times New Roman;serif" w:hAnsi="Times New Roman;serif"/>
          <w:b w:val="false"/>
          <w:color w:val="231F20"/>
          <w:sz w:val="20"/>
        </w:rPr>
        <w:t xml:space="preserve">, management concluded that </w:t>
      </w:r>
      <w:r>
        <w:rPr>
          <w:rFonts w:ascii="Times New Roman;serif" w:hAnsi="Times New Roman;serif"/>
          <w:b w:val="false"/>
          <w:color w:val="000000"/>
          <w:sz w:val="20"/>
        </w:rPr>
        <w:t xml:space="preserve">$1.4 million and $2.6 million </w:t>
      </w:r>
      <w:r>
        <w:rPr>
          <w:rFonts w:ascii="Times New Roman;serif" w:hAnsi="Times New Roman;serif"/>
          <w:b w:val="false"/>
          <w:color w:val="231F20"/>
          <w:sz w:val="20"/>
        </w:rPr>
        <w:t>of the net realized and unrealized 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2025 or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net realized and unrealized gains and losses on investments are summarized as follows:</w:t>
      </w:r>
    </w:p>
    <w:tbl>
      <w:tblPr>
        <w:tblW w:w="9000" w:type="dxa"/>
        <w:jc w:val="left"/>
        <w:tblInd w:w="0" w:type="dxa"/>
        <w:tblLayout w:type="fixed"/>
        <w:tblCellMar>
          <w:top w:w="28" w:type="dxa"/>
          <w:left w:w="28" w:type="dxa"/>
          <w:bottom w:w="28" w:type="dxa"/>
          <w:right w:w="28" w:type="dxa"/>
        </w:tblCellMar>
      </w:tblPr>
      <w:tblGrid>
        <w:gridCol w:w="1505"/>
        <w:gridCol w:w="1323"/>
        <w:gridCol w:w="1327"/>
        <w:gridCol w:w="211"/>
        <w:gridCol w:w="541"/>
        <w:gridCol w:w="109"/>
        <w:gridCol w:w="109"/>
        <w:gridCol w:w="109"/>
        <w:gridCol w:w="109"/>
        <w:gridCol w:w="211"/>
        <w:gridCol w:w="691"/>
        <w:gridCol w:w="109"/>
        <w:gridCol w:w="109"/>
        <w:gridCol w:w="109"/>
        <w:gridCol w:w="109"/>
        <w:gridCol w:w="211"/>
        <w:gridCol w:w="691"/>
        <w:gridCol w:w="109"/>
        <w:gridCol w:w="109"/>
        <w:gridCol w:w="109"/>
        <w:gridCol w:w="109"/>
        <w:gridCol w:w="211"/>
        <w:gridCol w:w="61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values of bank loan participations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values of 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and other:</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Realized investment gains or losses are determined on a specific identification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selectively in private debt and equity opportunities. These investments, which together comprise the Company’s other invested assets, are primarily focused in renewable energy, limited partnerships, and private debt.</w:t>
      </w:r>
    </w:p>
    <w:tbl>
      <w:tblPr>
        <w:tblW w:w="10205" w:type="dxa"/>
        <w:jc w:val="left"/>
        <w:tblInd w:w="0" w:type="dxa"/>
        <w:tblLayout w:type="fixed"/>
        <w:tblCellMar>
          <w:top w:w="28" w:type="dxa"/>
          <w:left w:w="28" w:type="dxa"/>
          <w:bottom w:w="28" w:type="dxa"/>
          <w:right w:w="28" w:type="dxa"/>
        </w:tblCellMar>
      </w:tblPr>
      <w:tblGrid>
        <w:gridCol w:w="870"/>
        <w:gridCol w:w="730"/>
        <w:gridCol w:w="732"/>
        <w:gridCol w:w="211"/>
        <w:gridCol w:w="721"/>
        <w:gridCol w:w="109"/>
        <w:gridCol w:w="109"/>
        <w:gridCol w:w="109"/>
        <w:gridCol w:w="109"/>
        <w:gridCol w:w="217"/>
        <w:gridCol w:w="742"/>
        <w:gridCol w:w="111"/>
        <w:gridCol w:w="109"/>
        <w:gridCol w:w="109"/>
        <w:gridCol w:w="109"/>
        <w:gridCol w:w="211"/>
        <w:gridCol w:w="515"/>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7"/>
      </w:tblGrid>
      <w:tr>
        <w:trPr/>
        <w:tc>
          <w:tcPr>
            <w:tcW w:w="8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Renewable energy LLCs </w:t>
            </w:r>
            <w:r>
              <w:rPr>
                <w:rFonts w:ascii="Times New Roman;serif" w:hAnsi="Times New Roman;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Renewable energy notes receivable (</w:t>
            </w:r>
            <w:r>
              <w:rPr>
                <w:rFonts w:ascii="Times New Roman;serif" w:hAnsi="Times New Roman;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Limited partnerships </w:t>
            </w:r>
            <w:r>
              <w:rPr>
                <w:rFonts w:ascii="Times New Roman;serif" w:hAnsi="Times New Roman;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Private Debt </w:t>
            </w:r>
            <w:r>
              <w:rPr>
                <w:rFonts w:ascii="Times New Roman;serif" w:hAnsi="Times New Roman;serif"/>
                <w:b w:val="false"/>
                <w:i/>
                <w:color w:val="000000"/>
                <w:sz w:val="20"/>
              </w:rPr>
              <w:t>(d)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hanging="360"/>
        <w:jc w:val="both"/>
        <w:rPr/>
      </w:pPr>
      <w:r>
        <w:rPr>
          <w:rFonts w:ascii="Times New Roman;serif" w:hAnsi="Times New Roman;serif"/>
          <w:b w:val="false"/>
          <w:color w:val="231F20"/>
          <w:sz w:val="20"/>
        </w:rPr>
        <w:t>(a)</w:t>
      </w:r>
      <w:r>
        <w:rPr>
          <w:rFonts w:ascii="Times New Roman;serif" w:hAnsi="Times New Roman;serif"/>
          <w:b w:val="false"/>
          <w:color w:val="000000"/>
          <w:sz w:val="20"/>
        </w:rPr>
        <w:t>The Company's Excess and Surplus Lines segment owns equity interests ranging from 3.6% to 5.0% in various LLCs whose principal objective is capital appreciation and income generation from owning and operating renewable energy production facilities (wind and solar).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In the three months ended June 30, 2024, the Company received $1.2 million of additional proceeds from a previous sale of two LLCs including $880,000 in the Excess and Surplus Lines and $293,000 in the Corporate and Other segment. The Company received cash distributions from these investments totaling $48,000 and $161,000 in the six months ended June 30, 2025 and 2024, respectively.</w:t>
      </w:r>
    </w:p>
    <w:p>
      <w:pPr>
        <w:pStyle w:val="TextBody"/>
        <w:bidi w:val="0"/>
        <w:spacing w:lineRule="auto" w:line="288" w:before="0" w:after="120"/>
        <w:ind w:left="0" w:right="0" w:hanging="360"/>
        <w:jc w:val="both"/>
        <w:rPr/>
      </w:pPr>
      <w:r>
        <w:rPr>
          <w:rFonts w:ascii="Times New Roman;serif" w:hAnsi="Times New Roman;serif"/>
          <w:b w:val="false"/>
          <w:color w:val="000000"/>
          <w:sz w:val="20"/>
        </w:rPr>
        <w:t>(b)</w:t>
      </w:r>
      <w:r>
        <w:rPr>
          <w:rFonts w:ascii="Times New Roman;serif" w:hAnsi="Times New Roman;serif"/>
          <w:b w:val="false"/>
          <w:color w:val="231F20"/>
          <w:sz w:val="20"/>
        </w:rPr>
        <w:t xml:space="preserve">The Company's </w:t>
      </w:r>
      <w:r>
        <w:rPr>
          <w:rFonts w:ascii="Times New Roman;serif" w:hAnsi="Times New Roman;serif"/>
          <w:b w:val="false"/>
          <w:color w:val="000000"/>
          <w:sz w:val="20"/>
        </w:rPr>
        <w:t xml:space="preserve">Excess and Surplus Lines and </w:t>
      </w:r>
      <w:r>
        <w:rPr>
          <w:rFonts w:ascii="Times New Roman;serif" w:hAnsi="Times New Roman;serif"/>
          <w:b w:val="false"/>
          <w:color w:val="231F20"/>
          <w:sz w:val="20"/>
        </w:rPr>
        <w:t xml:space="preserve">Corporate and Other segments invested in two notes receivable for renewable energy projects. Interest on the notes was fixed at 12%. During the </w:t>
      </w:r>
      <w:r>
        <w:rPr>
          <w:rFonts w:ascii="Times New Roman;serif" w:hAnsi="Times New Roman;serif"/>
          <w:b w:val="false"/>
          <w:color w:val="000000"/>
          <w:sz w:val="20"/>
        </w:rPr>
        <w:t>six months ended June 30, 2024</w:t>
      </w:r>
      <w:r>
        <w:rPr>
          <w:rFonts w:ascii="Times New Roman;serif" w:hAnsi="Times New Roman;serif"/>
          <w:b w:val="false"/>
          <w:color w:val="231F20"/>
          <w:sz w:val="20"/>
        </w:rPr>
        <w:t>, the Company received final principal repayments of $608,000 and $761,000 on the notes receivable in the Company's Excess and Surplus Lines segment and Corporate and Other segment, respectively.</w:t>
      </w:r>
    </w:p>
    <w:p>
      <w:pPr>
        <w:pStyle w:val="TextBody"/>
        <w:bidi w:val="0"/>
        <w:spacing w:lineRule="auto" w:line="276" w:before="0" w:after="120"/>
        <w:ind w:left="0" w:right="0" w:hanging="360"/>
        <w:jc w:val="both"/>
        <w:rPr/>
      </w:pPr>
      <w:r>
        <w:rPr>
          <w:rFonts w:ascii="Times New Roman;serif" w:hAnsi="Times New Roman;serif"/>
          <w:b w:val="false"/>
          <w:color w:val="231F20"/>
          <w:sz w:val="20"/>
        </w:rPr>
        <w:t>(c)</w:t>
      </w:r>
      <w:r>
        <w:rPr>
          <w:rFonts w:ascii="Times New Roman;serif" w:hAnsi="Times New Roman;serif"/>
          <w:b w:val="false"/>
          <w:color w:val="000000"/>
          <w:sz w:val="20"/>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Times New Roman;serif" w:hAnsi="Times New Roman;serif"/>
          <w:b w:val="false"/>
          <w:color w:val="231F20"/>
          <w:sz w:val="20"/>
        </w:rPr>
        <w:t>Income f</w:t>
      </w:r>
      <w:r>
        <w:rPr>
          <w:rFonts w:ascii="Times New Roman;serif" w:hAnsi="Times New Roman;serif"/>
          <w:b w:val="false"/>
          <w:color w:val="000000"/>
          <w:sz w:val="20"/>
        </w:rPr>
        <w:t>rom the partnerships is recognized under the equity method of accounting. At June 30, 2025, the Company’s Excess and Surplus Lines segment has outstanding commitments to invest another $9.3 million in the limited partnerships.</w:t>
      </w:r>
    </w:p>
    <w:p>
      <w:pPr>
        <w:pStyle w:val="TextBody"/>
        <w:bidi w:val="0"/>
        <w:spacing w:lineRule="auto" w:line="288" w:before="0" w:after="120"/>
        <w:ind w:left="0" w:right="0" w:hanging="360"/>
        <w:jc w:val="both"/>
        <w:rPr/>
      </w:pPr>
      <w:r>
        <w:rPr>
          <w:rFonts w:ascii="Times New Roman;serif" w:hAnsi="Times New Roman;serif"/>
          <w:b w:val="false"/>
          <w:color w:val="231F20"/>
          <w:sz w:val="20"/>
        </w:rPr>
        <w:t>(d)</w:t>
      </w:r>
      <w:r>
        <w:rPr>
          <w:rFonts w:ascii="Times New Roman;serif" w:hAnsi="Times New Roman;serif"/>
          <w:b w:val="false"/>
          <w:color w:val="000000"/>
          <w:sz w:val="20"/>
        </w:rPr>
        <w:t xml:space="preserve">The Company's Excess and Surplus Lines segment has invested in seven notes receivable for structured private specialty credit. Interest on two notes maturing in 2031 is fixed at 4.25% and 5.25%. Interest on two notes maturing in 2035 is fixed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6.50% and 8.00%. At June 30, 2025, the Company’s Excess and Surplus Lines segment has outstanding commitments to invest another $5.6 million in these notes.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April 11, 2025, the Company entered into an investment agreement with Sixth Street, the parent of Enstar. Pursuant to the agreement, the Company's Excess and Surplus Lines segment has invested in collateralized investment grade notes receivable for structured private specialty credit. Interest on three notes maturing in 2064 is fixed at 6.79%, 8.04%, and 9.04%. At June 30, 2025, the Company’s Excess and Surplus Lines segment has outstanding commitments to invest another $64.6 million in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2025 and December 31, 2024.</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for each major specifically identifiable intangible asset class were as follows: </w:t>
      </w:r>
    </w:p>
    <w:tbl>
      <w:tblPr>
        <w:tblW w:w="10205" w:type="dxa"/>
        <w:jc w:val="left"/>
        <w:tblInd w:w="0" w:type="dxa"/>
        <w:tblLayout w:type="fixed"/>
        <w:tblCellMar>
          <w:top w:w="28" w:type="dxa"/>
          <w:left w:w="28" w:type="dxa"/>
          <w:bottom w:w="28" w:type="dxa"/>
          <w:right w:w="28" w:type="dxa"/>
        </w:tblCellMar>
      </w:tblPr>
      <w:tblGrid>
        <w:gridCol w:w="1414"/>
        <w:gridCol w:w="1142"/>
        <w:gridCol w:w="1149"/>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9"/>
      </w:tblGrid>
      <w:tr>
        <w:trPr/>
        <w:tc>
          <w:tcPr>
            <w:tcW w:w="14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licenses and authorities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not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represents a reconciliation of the numerator and denominator of the basic and diluted earnings per common share computations contained in the condensed consolidated financial statements:</w:t>
      </w:r>
    </w:p>
    <w:tbl>
      <w:tblPr>
        <w:tblW w:w="10205" w:type="dxa"/>
        <w:jc w:val="left"/>
        <w:tblInd w:w="0" w:type="dxa"/>
        <w:tblLayout w:type="fixed"/>
        <w:tblCellMar>
          <w:top w:w="28" w:type="dxa"/>
          <w:left w:w="28" w:type="dxa"/>
          <w:bottom w:w="28" w:type="dxa"/>
          <w:right w:w="28" w:type="dxa"/>
        </w:tblCellMar>
      </w:tblPr>
      <w:tblGrid>
        <w:gridCol w:w="1638"/>
        <w:gridCol w:w="1388"/>
        <w:gridCol w:w="1392"/>
        <w:gridCol w:w="275"/>
        <w:gridCol w:w="806"/>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55"/>
      </w:tblGrid>
      <w:tr>
        <w:trPr/>
        <w:tc>
          <w:tcPr>
            <w:tcW w:w="163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amounts)</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available to common shareholders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37,801,516 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46,726,255 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38,037,393 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46,432,481 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44,762,563 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three and six</w:t>
      </w:r>
      <w:r>
        <w:rPr>
          <w:color w:val="231F20"/>
        </w:rPr>
        <w:t xml:space="preserve"> </w:t>
      </w:r>
      <w:r>
        <w:rPr>
          <w:rFonts w:ascii="Times New Roman;serif" w:hAnsi="Times New Roman;serif"/>
          <w:b w:val="false"/>
          <w:color w:val="231F20"/>
          <w:sz w:val="20"/>
        </w:rPr>
        <w:t xml:space="preserve">months ended June 30, 2025, potential common shares of </w:t>
      </w:r>
      <w:r>
        <w:rPr>
          <w:rFonts w:ascii="Times New Roman;serif" w:hAnsi="Times New Roman;serif"/>
          <w:b w:val="false"/>
          <w:color w:val="000000"/>
          <w:sz w:val="20"/>
        </w:rPr>
        <w:t>13,521,634</w:t>
      </w:r>
      <w:r>
        <w:rPr>
          <w:color w:val="231F20"/>
        </w:rPr>
        <w:t xml:space="preserve"> </w:t>
      </w:r>
      <w:r>
        <w:rPr>
          <w:rFonts w:ascii="Times New Roman;serif" w:hAnsi="Times New Roman;serif"/>
          <w:b w:val="false"/>
          <w:color w:val="000000"/>
          <w:sz w:val="20"/>
        </w:rPr>
        <w:t>were excluded from the calculation of diluted earnings per common share as their effects were anti-dilutive</w:t>
      </w:r>
      <w:r>
        <w:rPr>
          <w:rFonts w:ascii="Times New Roman;serif" w:hAnsi="Times New Roman;serif"/>
          <w:b w:val="false"/>
          <w:color w:val="231F20"/>
          <w:sz w:val="20"/>
        </w:rPr>
        <w:t xml:space="preserve">. For the </w:t>
      </w:r>
      <w:r>
        <w:rPr>
          <w:rFonts w:ascii="Times New Roman;serif" w:hAnsi="Times New Roman;serif"/>
          <w:b w:val="false"/>
          <w:color w:val="000000"/>
          <w:sz w:val="20"/>
        </w:rPr>
        <w:t>three months ended June 30, 2024</w:t>
      </w:r>
      <w:r>
        <w:rPr>
          <w:rFonts w:ascii="Times New Roman;serif" w:hAnsi="Times New Roman;serif"/>
          <w:b w:val="false"/>
          <w:color w:val="231F20"/>
          <w:sz w:val="20"/>
        </w:rPr>
        <w:t xml:space="preserve">, potential common shares of </w:t>
      </w:r>
      <w:r>
        <w:rPr>
          <w:rFonts w:ascii="Times New Roman;serif" w:hAnsi="Times New Roman;serif"/>
          <w:b w:val="false"/>
          <w:color w:val="000000"/>
          <w:sz w:val="20"/>
        </w:rPr>
        <w:t>6,848,763 were excluded from the calculation of diluted earnings per common share as their effects were anti-dilutive. For the six months ended June 30, 2024</w:t>
      </w:r>
      <w:r>
        <w:rPr>
          <w:rFonts w:ascii="Times New Roman;serif" w:hAnsi="Times New Roman;serif"/>
          <w:b w:val="false"/>
          <w:color w:val="231F20"/>
          <w:sz w:val="20"/>
        </w:rPr>
        <w:t xml:space="preserve">, all potential common shares were dilutive and included in the </w:t>
      </w:r>
      <w:r>
        <w:rPr>
          <w:rFonts w:ascii="Times New Roman;serif" w:hAnsi="Times New Roman;serif"/>
          <w:b w:val="false"/>
          <w:color w:val="000000"/>
          <w:sz w:val="20"/>
        </w:rPr>
        <w:t>calculation of diluted earnings per common share</w:t>
      </w:r>
      <w:r>
        <w:rPr>
          <w:rFonts w:ascii="Times New Roman;serif" w:hAnsi="Times New Roman;serif"/>
          <w:b w:val="false"/>
          <w:color w:val="231F20"/>
          <w:sz w:val="20"/>
        </w:rPr>
        <w:t>.</w:t>
      </w:r>
    </w:p>
    <w:p>
      <w:pPr>
        <w:pStyle w:val="TextBody"/>
        <w:bidi w:val="0"/>
        <w:spacing w:lineRule="auto" w:line="288" w:before="18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amended the Series A Preferred Shares on November 11, 2024, which, among other things, reduced the voluntary conversion price (see Note 13). The lower conversion price results in a higher number of potential common shares under an assumed conversion when the Series A Preferred Shares are determined to be dilutive in the earnings per share calculation. In applying the if-converted method in the calculation of diluted earnings per share from continuing operations when the Series A Preferred Shares are dilutive, the dividends on the Series A Preferred Shares are added back to income from continuing operations available to common shareholders in the numerator of the calculation and the additional common shares from an assumed conversion of the Series A Preferred Shares are added in the denominator of the 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Reserve for Losses and Loss Adjustment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$1.5 million at June 30, 2025 and March 31, 2025, $1.2 million at December 31, 2024, $744,000 at June 30, 2024, and $660,000 at March 31, 2024 and December 31, 2023.</w:t>
      </w:r>
    </w:p>
    <w:tbl>
      <w:tblPr>
        <w:tblW w:w="10205" w:type="dxa"/>
        <w:jc w:val="left"/>
        <w:tblInd w:w="0" w:type="dxa"/>
        <w:tblLayout w:type="fixed"/>
        <w:tblCellMar>
          <w:top w:w="28" w:type="dxa"/>
          <w:left w:w="28" w:type="dxa"/>
          <w:bottom w:w="28" w:type="dxa"/>
          <w:right w:w="28" w:type="dxa"/>
        </w:tblCellMar>
      </w:tblPr>
      <w:tblGrid>
        <w:gridCol w:w="1445"/>
        <w:gridCol w:w="1270"/>
        <w:gridCol w:w="127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net of reinsurance recoverables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Incurred losses and loss adjustment expenses net of reinsurance: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 - retroactive reinsurance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 - excluding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 losses and loss and adjustment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Loss and loss adjustment expense payments net of reinsurance: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and loss adjustment expense payments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Change in deferred reinsurance gain -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net of reinsurance recoverables at end of period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Reinsurance recoverables on unpaid losses and loss adjustment expenses at end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gross of reinsurance recoverables on unpaid losses and loss adjustment expenses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2,720,198 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$3.0 million of net adverse reserve development in the three months ended June 30, 2025 on the reserve for losses and loss adjustment expenses held at December 31, 2024 (excluding adverse prior year development subject to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$2.3 million of net adverse development in the Excess and Surplus Lines segment and $700,000 of net adverse development in the Specialty Admitted Insurance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$10.7 million of net adverse reserve development in the three months ended June 30, 2024 on the reserve for losses and loss adjustment expenses held at December 31, 2023 (excluding adverse prior year development subject to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$10.7 million of net adverse development in the Excess and Surplus Lines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$2.9 million of net adverse reserve development in the six months ended June 30, 2025 on the reserve for losses and loss adjustment expenses held at December 31, 2024 (excluding adverse prior year development subject to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$2.3 million of net adverse development in the Excess and Surplus Lines segment and $579,000 of net adverse development in the Specialty Admitted Insurance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$10.3 million of net adverse reserve development in the six months ended June 30, 2024 on the reserve for losses and loss adjustment expenses held at December 31, 2023 (excluding adverse prior year development subject to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$10.7 million of net adverse development in the Excess and Surplus Lines segment and $442,000 of net favorable development in the Specialty Admitted Insurance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Loss Portfolio Transfers and Adverse Development Covers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Commercial Auto Loss Portfolio Transfer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$458.0 million and $459.3 million as of June 30, 2025 and December 31, 2024, respectively.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 2024,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The Company has $28.8 million of aggregate limit remaining on the E&amp;S ADC at June 30,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11, 2024, Enstar Group Limited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The Company has $75.0 million of aggregate limit remaining on the E&amp;S Top Up ADC at June 30,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Retroactive Reinsurance Accounting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the Company's operating results in the short-term, over the life of the contract, we would expect no economic impact to the Company as long as the counterparty performs under the contract. The impact of retroactive reinsurance accounting is not indicative of the Company's current and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retroactive reinsurance accounting for the Commercial Auto LPT and the E&amp;S ADC for the three and six months ended June 30, 2025 and 2024, respectively.</w:t>
      </w:r>
    </w:p>
    <w:tbl>
      <w:tblPr>
        <w:tblW w:w="10205" w:type="dxa"/>
        <w:jc w:val="left"/>
        <w:tblInd w:w="0" w:type="dxa"/>
        <w:tblLayout w:type="fixed"/>
        <w:tblCellMar>
          <w:top w:w="28" w:type="dxa"/>
          <w:left w:w="28" w:type="dxa"/>
          <w:bottom w:w="28" w:type="dxa"/>
          <w:right w:w="28" w:type="dxa"/>
        </w:tblCellMar>
      </w:tblPr>
      <w:tblGrid>
        <w:gridCol w:w="1819"/>
        <w:gridCol w:w="1593"/>
        <w:gridCol w:w="16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Commercial Auto LPT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ADC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Other Comprehensive Income (Loss)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other comprehensive income (loss):</w:t>
      </w:r>
    </w:p>
    <w:tbl>
      <w:tblPr>
        <w:tblW w:w="10205" w:type="dxa"/>
        <w:jc w:val="left"/>
        <w:tblInd w:w="0" w:type="dxa"/>
        <w:tblLayout w:type="fixed"/>
        <w:tblCellMar>
          <w:top w:w="28" w:type="dxa"/>
          <w:left w:w="28" w:type="dxa"/>
          <w:bottom w:w="28" w:type="dxa"/>
          <w:right w:w="28" w:type="dxa"/>
        </w:tblCellMar>
      </w:tblPr>
      <w:tblGrid>
        <w:gridCol w:w="1911"/>
        <w:gridCol w:w="1591"/>
        <w:gridCol w:w="1601"/>
        <w:gridCol w:w="211"/>
        <w:gridCol w:w="616"/>
        <w:gridCol w:w="109"/>
        <w:gridCol w:w="109"/>
        <w:gridCol w:w="109"/>
        <w:gridCol w:w="109"/>
        <w:gridCol w:w="211"/>
        <w:gridCol w:w="676"/>
        <w:gridCol w:w="109"/>
        <w:gridCol w:w="109"/>
        <w:gridCol w:w="109"/>
        <w:gridCol w:w="109"/>
        <w:gridCol w:w="211"/>
        <w:gridCol w:w="721"/>
        <w:gridCol w:w="109"/>
        <w:gridCol w:w="109"/>
        <w:gridCol w:w="109"/>
        <w:gridCol w:w="109"/>
        <w:gridCol w:w="211"/>
        <w:gridCol w:w="781"/>
        <w:gridCol w:w="156"/>
      </w:tblGrid>
      <w:tr>
        <w:trPr/>
        <w:tc>
          <w:tcPr>
            <w:tcW w:w="191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arising during the period, before U.S.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arising during the period, net of U.S.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investment losses realized in 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net realized investment gains (losses) on available-for-sale fixed maturities disclosed above, the Company also recognized net realized and unrealized investment gains (losses) on its investments in bank loan participations and equity securities in the respective periods. Refer to Note 3 for disclosure of these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Contingent Liabilities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proceedings,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11, 2024, the Company filed a complaint in the Supreme Court of the State of New York, New York County, Commercial Division against Fleming relating to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 on the motion to dismiss.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On July 15, 2024, Fleming filed a lawsuit in the U.S. District Court, Southern District of New York against JRG Holdings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 second amended complaint. On November 15, 2024, the Company filed a motion to dismiss the second amended complaint, on December 23, 2024 Fleming filed an opposition to the motion to dismiss, on January 17, 2025 the Company filed its reply to Fleming's opposition, on July 2, 2025 the court heard oral argument on the motion to dismiss, and on July 17, 2025 the court granted the Company's motion to dismiss. </w:t>
      </w:r>
      <w:r>
        <w:rPr>
          <w:rFonts w:ascii="Times New Roman;serif" w:hAnsi="Times New Roman;serif"/>
          <w:b w:val="false"/>
          <w:color w:val="212121"/>
          <w:sz w:val="20"/>
        </w:rPr>
        <w:t>The deadline for Fleming to file a notice of appeal is August 18,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Amounts Recoverable from Reinsurers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June 30, 2025, the allowance for credit losses on reinsurance recoverables was $1.5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Rasier and Aleka are required to post collateral equal to 102% of James River's estimate of the respective party's obligations in trusts pursuant to the terms of the Indemnity Agreements and the Commercial Auto LPT, respectively. At June 30, 2025, the total balance of collateral securing Rasier's obligations under the Indemnity Agreements was $55.3 million and Aleka's obligations under the Commercial Auto LPT was $26.5 million. At June 30, 2025, the total reinsurance recoverables under the Commercial Auto LPT was $24.1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June 30, 2025, the balance in the Loss Fund Trust was $29.3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Segment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continuing operations are comprised of three reportable segments, two of which are separately managed business units and the third (“Corporate and Other”) includes the Company’s remaining operations. The Excess and Surplus Lines segment primarily offers commercial excess and surplus lines liability and excess property insurance products. The Specialty Admitted Insurance segment offers specialty admitted fronting and program business and, prior to the sale of the Company's renewal rights in 2023, workers’ compensation insurance coverage. The Corporate and Other segment consists of certain management and treasury activities of James River Group, James River UK, and JRG Holdings as well as interest expense associated with senior debt and Junior Subordinated Debt, and investment income. The accounting policies of the reportable segments are the same as those described in the summary of significant accounting policies.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pStyle w:val="TextBody"/>
        <w:bidi w:val="0"/>
        <w:spacing w:lineRule="auto" w:line="288" w:before="0" w:after="120"/>
        <w:ind w:left="0" w:right="0" w:firstLine="405"/>
        <w:jc w:val="both"/>
        <w:rPr/>
      </w:pPr>
      <w:r>
        <w:rPr>
          <w:rFonts w:ascii="Times New Roman;serif" w:hAnsi="Times New Roman;serif"/>
          <w:b w:val="false"/>
          <w:color w:val="000000"/>
          <w:sz w:val="20"/>
        </w:rPr>
        <w:t xml:space="preserve">Segment profit (loss) is measured by underwriting profit (loss), which is generally defined as net earned premiums and gross fee income (in specific instances when the Company is not retaining insurance risk) in “other income” in the Condensed Consolidated Statements of Income and Comprehensive Income less loss and loss adjustment expenses on business not subject to retroactive reinsurance accounting (see </w:t>
      </w:r>
      <w:r>
        <w:rPr>
          <w:rFonts w:ascii="Times New Roman;serif" w:hAnsi="Times New Roman;serif"/>
          <w:b w:val="false"/>
          <w:i/>
          <w:color w:val="000000"/>
          <w:sz w:val="20"/>
        </w:rPr>
        <w:t xml:space="preserve">Retroactive Reinsurance Accounting </w:t>
      </w:r>
      <w:r>
        <w:rPr>
          <w:rFonts w:ascii="Times New Roman;serif" w:hAnsi="Times New Roman;serif"/>
          <w:b w:val="false"/>
          <w:color w:val="000000"/>
          <w:sz w:val="20"/>
        </w:rPr>
        <w:t>in</w:t>
      </w:r>
      <w:r>
        <w:rPr>
          <w:color w:val="000000"/>
        </w:rPr>
        <w:t xml:space="preserve"> </w:t>
      </w:r>
      <w:r>
        <w:rPr>
          <w:rFonts w:ascii="Times New Roman;serif" w:hAnsi="Times New Roman;serif"/>
          <w:b w:val="false"/>
          <w:i/>
          <w:color w:val="000000"/>
          <w:sz w:val="20"/>
        </w:rPr>
        <w:t>Note 6 - Reserve for Losses and Loss Adjustment Expenses</w:t>
      </w:r>
      <w:r>
        <w:rPr>
          <w:rFonts w:ascii="Times New Roman;serif" w:hAnsi="Times New Roman;serif"/>
          <w:b w:val="false"/>
          <w:color w:val="000000"/>
          <w:sz w:val="20"/>
        </w:rPr>
        <w:t xml:space="preserve">) and other operating expenses. Other operating expenses include the underwriting, acquisition, and insurance expenses of the operating segments and, for consolidated underwriting profit, the expenses of the Corporate and Other segment. Other operating expenses for the Corporate and Other segment include personnel costs associated with the Bermuda and U.S. holding companies, professional fees, long-term incentive compensation (including share-based compensation) for the full Company, public company expenses and various other corporate expenses. Net commissions in the table below are net of amounts deferred as deferred policy acquisition costs. Employee compensation includes both cash and share-based compensation, as well as employer expenses related to payroll taxes and benefits, and is net of amounts allocated to losses and loss adjustment expenses and amounts deferred. All other operating expenses include, amongst other expenses, costs for insurance, outside professional fees including legal, audit, and consulting, office rent, bad debt expense, and taxes, licenses and fees on business written. Segment results are reported prior to the effects of intercompany pooling agreements and intercompany reinsurance agreements. All gross written premiums and net earned premiums for all periods presented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generated from policies issued to U.S. based insureds. Segment revenues for each reportable segment include net earned premiums, net investment income, and realized and unrealized (losses) gains on investments.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has final authority over segment resource allocation decisions and performance assessment, and consequently, is identified as the Chief Operating Decision Maker (“CODM”). The CEO considers segment underwriting profit (loss) in the annual budget and forecasting process, and in monthly financial reviews of actual segment results compared to budget and prior year periods in order to assess segment performance and make strategic operating decisions regarding the business written by the segments, the allocation of capital and personnel to the segments, and compensation for segment employees. The segment information presented below aligns with the information that is presented regularly to the CEO.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segment results:</w:t>
      </w:r>
    </w:p>
    <w:tbl>
      <w:tblPr>
        <w:tblW w:w="10205" w:type="dxa"/>
        <w:jc w:val="left"/>
        <w:tblInd w:w="0" w:type="dxa"/>
        <w:tblLayout w:type="fixed"/>
        <w:tblCellMar>
          <w:top w:w="28" w:type="dxa"/>
          <w:left w:w="28" w:type="dxa"/>
          <w:bottom w:w="28" w:type="dxa"/>
          <w:right w:w="28" w:type="dxa"/>
        </w:tblCellMar>
      </w:tblPr>
      <w:tblGrid>
        <w:gridCol w:w="1805"/>
        <w:gridCol w:w="1480"/>
        <w:gridCol w:w="1487"/>
        <w:gridCol w:w="211"/>
        <w:gridCol w:w="826"/>
        <w:gridCol w:w="109"/>
        <w:gridCol w:w="109"/>
        <w:gridCol w:w="109"/>
        <w:gridCol w:w="109"/>
        <w:gridCol w:w="220"/>
        <w:gridCol w:w="756"/>
        <w:gridCol w:w="109"/>
        <w:gridCol w:w="109"/>
        <w:gridCol w:w="109"/>
        <w:gridCol w:w="109"/>
        <w:gridCol w:w="253"/>
        <w:gridCol w:w="487"/>
        <w:gridCol w:w="131"/>
        <w:gridCol w:w="109"/>
        <w:gridCol w:w="109"/>
        <w:gridCol w:w="109"/>
        <w:gridCol w:w="211"/>
        <w:gridCol w:w="826"/>
        <w:gridCol w:w="313"/>
      </w:tblGrid>
      <w:tr>
        <w:trPr/>
        <w:tc>
          <w:tcPr>
            <w:tcW w:w="180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7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and</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Three Months Ended June 30,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23,422 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47,471 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174,843 </w:t>
            </w:r>
          </w:p>
        </w:tc>
        <w:tc>
          <w:tcPr>
            <w:tcW w:w="3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5,018,322 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62"/>
        <w:gridCol w:w="1428"/>
        <w:gridCol w:w="1435"/>
        <w:gridCol w:w="211"/>
        <w:gridCol w:w="826"/>
        <w:gridCol w:w="109"/>
        <w:gridCol w:w="109"/>
        <w:gridCol w:w="109"/>
        <w:gridCol w:w="109"/>
        <w:gridCol w:w="211"/>
        <w:gridCol w:w="826"/>
        <w:gridCol w:w="109"/>
        <w:gridCol w:w="109"/>
        <w:gridCol w:w="109"/>
        <w:gridCol w:w="109"/>
        <w:gridCol w:w="282"/>
        <w:gridCol w:w="544"/>
        <w:gridCol w:w="131"/>
        <w:gridCol w:w="109"/>
        <w:gridCol w:w="109"/>
        <w:gridCol w:w="109"/>
        <w:gridCol w:w="211"/>
        <w:gridCol w:w="826"/>
        <w:gridCol w:w="313"/>
      </w:tblGrid>
      <w:tr>
        <w:trPr/>
        <w:tc>
          <w:tcPr>
            <w:tcW w:w="176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and</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Three Months Ended June 30,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412,247 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119,155 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24,206 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44,096 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188,289 </w:t>
            </w:r>
          </w:p>
        </w:tc>
        <w:tc>
          <w:tcPr>
            <w:tcW w:w="3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4,738,206 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Six Months Ended June 30,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205,355 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24,712 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51,083 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347,132 </w:t>
            </w:r>
          </w:p>
        </w:tc>
        <w:tc>
          <w:tcPr>
            <w:tcW w:w="3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5,018,322 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62"/>
        <w:gridCol w:w="1429"/>
        <w:gridCol w:w="1434"/>
        <w:gridCol w:w="211"/>
        <w:gridCol w:w="826"/>
        <w:gridCol w:w="109"/>
        <w:gridCol w:w="109"/>
        <w:gridCol w:w="109"/>
        <w:gridCol w:w="109"/>
        <w:gridCol w:w="211"/>
        <w:gridCol w:w="826"/>
        <w:gridCol w:w="109"/>
        <w:gridCol w:w="109"/>
        <w:gridCol w:w="109"/>
        <w:gridCol w:w="109"/>
        <w:gridCol w:w="282"/>
        <w:gridCol w:w="544"/>
        <w:gridCol w:w="131"/>
        <w:gridCol w:w="109"/>
        <w:gridCol w:w="109"/>
        <w:gridCol w:w="109"/>
        <w:gridCol w:w="211"/>
        <w:gridCol w:w="826"/>
        <w:gridCol w:w="313"/>
      </w:tblGrid>
      <w:tr>
        <w:trPr/>
        <w:tc>
          <w:tcPr>
            <w:tcW w:w="176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and</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Six Months Ended June 30, 2024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743,057 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225,520 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233,206 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20,501 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51,003 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94,906 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389,416 </w:t>
            </w:r>
          </w:p>
        </w:tc>
        <w:tc>
          <w:tcPr>
            <w:tcW w:w="3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4,738,206 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underwriting profit (loss) of the operating segments by individual segment to consolidated income from continuing operations before income taxes:</w:t>
      </w:r>
    </w:p>
    <w:tbl>
      <w:tblPr>
        <w:tblW w:w="10205" w:type="dxa"/>
        <w:jc w:val="left"/>
        <w:tblInd w:w="0" w:type="dxa"/>
        <w:tblLayout w:type="fixed"/>
        <w:tblCellMar>
          <w:top w:w="28" w:type="dxa"/>
          <w:left w:w="28" w:type="dxa"/>
          <w:bottom w:w="28" w:type="dxa"/>
          <w:right w:w="28" w:type="dxa"/>
        </w:tblCellMar>
      </w:tblPr>
      <w:tblGrid>
        <w:gridCol w:w="1817"/>
        <w:gridCol w:w="1594"/>
        <w:gridCol w:w="16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 of the operating segments: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profit of operating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gains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10.    Other Operating Expenses and Other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consist of the following:</w:t>
      </w:r>
    </w:p>
    <w:tbl>
      <w:tblPr>
        <w:tblW w:w="10205" w:type="dxa"/>
        <w:jc w:val="left"/>
        <w:tblInd w:w="0" w:type="dxa"/>
        <w:tblLayout w:type="fixed"/>
        <w:tblCellMar>
          <w:top w:w="28" w:type="dxa"/>
          <w:left w:w="28" w:type="dxa"/>
          <w:bottom w:w="28" w:type="dxa"/>
          <w:right w:w="28" w:type="dxa"/>
        </w:tblCellMar>
      </w:tblPr>
      <w:tblGrid>
        <w:gridCol w:w="1816"/>
        <w:gridCol w:w="1594"/>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policy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expenses of the operating segments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erif" w:hAnsi="Times New Roman;serif"/>
          <w:b w:val="false"/>
          <w:color w:val="000000"/>
          <w:sz w:val="20"/>
        </w:rPr>
        <w:t>Other expenses of $1.0 million and $1.6 million for the three and six</w:t>
      </w:r>
      <w:r>
        <w:rPr>
          <w:color w:val="231F20"/>
        </w:rPr>
        <w:t xml:space="preserve"> </w:t>
      </w:r>
      <w:r>
        <w:rPr>
          <w:rFonts w:ascii="Times New Roman;serif" w:hAnsi="Times New Roman;serif"/>
          <w:b w:val="false"/>
          <w:color w:val="231F20"/>
          <w:sz w:val="20"/>
        </w:rPr>
        <w:t>months ended June 30, 2025</w:t>
      </w:r>
      <w:r>
        <w:rPr>
          <w:rFonts w:ascii="Times New Roman;serif" w:hAnsi="Times New Roman;serif"/>
          <w:b w:val="false"/>
          <w:color w:val="000000"/>
          <w:sz w:val="20"/>
        </w:rPr>
        <w:t>, respectively ($2.1 million and $2.8 million in the respective prior year periods), primarily consist of certain nonoperating expenses including legal and other professional fees and other expenses related to various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11.    Senior Debt</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On June 12, 2025, the Company entered into a Credit Agreement (the “Credit Agreement”). The Credit Agreement replaced the Company’s previous Third Amended and Restated Credit Agreement dated as of July 7, 2023, as amended (the “Previous Credit Agreement”), that provided for a $212.5 million unsecured revolving credit facility and a $45.0 million secured revolving credit facility.</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Credit Agreement provides for a $212.5 million unsecured revolving credit facility available for general corporate purposes and matures on June 12, 2028. Following the sale of JRG Re, the Company no longer has a need for the secured revolving credit facility provided by the Previous Credit Agreement. The interest rates applicable to the loans under the Credit Agreement are generally based on the Secured Overnight Financing Rate (“SOFR”) plus a specified margin based on the Company’s Leverage Ratio (as defined in the Credit Agreement). In addition, the Company will pay an unused facility fee on each lender’s commitment.</w:t>
      </w:r>
    </w:p>
    <w:p>
      <w:pPr>
        <w:pStyle w:val="TextBody"/>
        <w:bidi w:val="0"/>
        <w:spacing w:lineRule="auto" w:line="288" w:before="0" w:after="120"/>
        <w:ind w:left="0" w:right="0" w:firstLine="360"/>
        <w:jc w:val="both"/>
        <w:rPr/>
      </w:pPr>
      <w:r>
        <w:rPr>
          <w:rFonts w:ascii="Times New Roman;serif" w:hAnsi="Times New Roman;serif"/>
          <w:b w:val="false"/>
          <w:color w:val="231F20"/>
          <w:sz w:val="20"/>
        </w:rPr>
        <w:t>At</w:t>
      </w:r>
      <w:r>
        <w:rPr>
          <w:color w:val="000000"/>
        </w:rPr>
        <w:t xml:space="preserve"> </w:t>
      </w:r>
      <w:r>
        <w:rPr>
          <w:rFonts w:ascii="Times New Roman;serif" w:hAnsi="Times New Roman;serif"/>
          <w:b w:val="false"/>
          <w:color w:val="231F20"/>
          <w:sz w:val="20"/>
        </w:rPr>
        <w:t>June 30, 2025</w:t>
      </w:r>
      <w:r>
        <w:rPr>
          <w:rFonts w:ascii="Times New Roman;serif" w:hAnsi="Times New Roman;serif"/>
          <w:b w:val="false"/>
          <w:color w:val="000000"/>
          <w:sz w:val="20"/>
        </w:rPr>
        <w:t>, the Company had a drawn balance of $210.8 million outstanding on the unsecured revolver of the Credit Agreement, including $25.0 million previously borrowed on January 27, 2025 under the Previous Credit Agreement which was contributed to our regulated insurance entities.</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Credit Agreement provides for an accordion feature that permits the Company to request that one or more lenders (without the consent of the other lenders) or new financial institutions (with the consent of the Administrative Agent) provide it with increases in the credit facility of up to an aggregate of $30.0 million, subject to satisfaction of certain conditions.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serif" w:hAnsi="Times New Roman;serif"/>
          <w:b w:val="false"/>
          <w:color w:val="000000"/>
          <w:sz w:val="20"/>
        </w:rPr>
        <w:t xml:space="preserve">with which the Company was in compliance at </w:t>
      </w:r>
      <w:r>
        <w:rPr>
          <w:rFonts w:ascii="Times New Roman;serif" w:hAnsi="Times New Roman;serif"/>
          <w:b w:val="false"/>
          <w:color w:val="231F20"/>
          <w:sz w:val="20"/>
        </w:rPr>
        <w:t>June 30, 2025.</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 connection with the Credit Agreement, James River UK and James River Group each entered into a Continuing Guaranty of Payment dated June 12, 2025 (each, a “Payment Guaranty”). Pursuant to its respective Payment Guaranty, each of James River UK and James River Group guarantees the payment and performance of the Company’s obligations under the Credit Agreement and other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fixed maturity securities, equity securities, and bank loan participations have been determined using fair value prices provided by the Company’s investment accounting services provider or investment managers, who utilize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0"/>
        </w:rPr>
        <w:t>internationally recognized independent pricing services. The prices provided by the independent pricing services are generally based on observable market data in active markets (</w:t>
      </w:r>
      <w:r>
        <w:rPr>
          <w:rFonts w:ascii="Times New Roman;serif" w:hAnsi="Times New Roman;serif"/>
          <w:b w:val="false"/>
          <w:i/>
          <w:color w:val="000000"/>
          <w:sz w:val="20"/>
        </w:rPr>
        <w:t>e.g.</w:t>
      </w:r>
      <w:r>
        <w:rPr>
          <w:color w:val="000000"/>
        </w:rPr>
        <w:t xml:space="preserve"> </w:t>
      </w:r>
      <w:r>
        <w:rPr>
          <w:rFonts w:ascii="Times New Roman;serif" w:hAnsi="Times New Roman;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2023.</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June 30, 2025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111,216 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December 31, 2024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97,074 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tbl>
      <w:tblPr>
        <w:tblW w:w="7112" w:type="dxa"/>
        <w:jc w:val="center"/>
        <w:tblInd w:w="0" w:type="dxa"/>
        <w:tblLayout w:type="fixed"/>
        <w:tblCellMar>
          <w:top w:w="28" w:type="dxa"/>
          <w:left w:w="28" w:type="dxa"/>
          <w:bottom w:w="28" w:type="dxa"/>
          <w:right w:w="28" w:type="dxa"/>
        </w:tblCellMar>
      </w:tblPr>
      <w:tblGrid>
        <w:gridCol w:w="1289"/>
        <w:gridCol w:w="1130"/>
        <w:gridCol w:w="1136"/>
        <w:gridCol w:w="213"/>
        <w:gridCol w:w="259"/>
        <w:gridCol w:w="110"/>
        <w:gridCol w:w="110"/>
        <w:gridCol w:w="110"/>
        <w:gridCol w:w="110"/>
        <w:gridCol w:w="213"/>
        <w:gridCol w:w="366"/>
        <w:gridCol w:w="110"/>
        <w:gridCol w:w="109"/>
        <w:gridCol w:w="109"/>
        <w:gridCol w:w="109"/>
        <w:gridCol w:w="211"/>
        <w:gridCol w:w="256"/>
        <w:gridCol w:w="109"/>
        <w:gridCol w:w="109"/>
        <w:gridCol w:w="109"/>
        <w:gridCol w:w="109"/>
        <w:gridCol w:w="211"/>
        <w:gridCol w:w="361"/>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out of Level 3</w:t>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in to Level 3</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calls and paydowns</w:t>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or losses (realized/unrealized):</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earnings</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comprehensive income</w:t>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held one equity security at December 31, 2024 and June 30, 2025 for which the fair value was determined using significant unobservable inputs (Level 3). The fair value of $1,000 at June 30, 2025 for the equity security was obtained from our asset manager and was derived from an internal model.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held one equity security at December 31, 2023 and June 30, 2024 for which the fair value was determined using significant unobservable inputs (Level 3). The fair value of $5,000 at June 30, 2024 for the equity security was obtained from our asset manager and was derived from an internal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during the six months ended June 30, 2025 or 2024. The Company recognizes transfers between levels at the beginning of the reporting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2025 and December 31, 2024, there were no investments for which external sources were unavailable to determine fair value.</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values and fair values of financial instruments are summarized below:</w:t>
      </w:r>
    </w:p>
    <w:tbl>
      <w:tblPr>
        <w:tblW w:w="9840" w:type="dxa"/>
        <w:jc w:val="left"/>
        <w:tblInd w:w="0" w:type="dxa"/>
        <w:tblLayout w:type="fixed"/>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other invested assets-notes receivable, senior debt, and junior subordinated debt at June 30, 2025 and December 31, 2024 were determined by calculating the present value of expected future cash flows under the terms of the note agreements or debt agreements, as applicable, discounted at an estimated market rate of interest at June 30, 2025 and December 31, 2024, respectively. The Company also utilized an internally developed valuation model based on the spread of a comparable market index to determine the fair value of certain other invested assets-notes receivable at June 30, 2025 and December 31,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senior debt, junior subordinated debt, and investments in notes receivable, classified in other invested assets, at June 30, 2025 and December 31, 2024 were determined using inputs to the valuation methodology that are unobservable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Series A Preferred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112,500 7% Series A Perpetual Cumulative Convertible Preferred Shares, par value $0.00125 per share (the “Series A Preferred Shares”) outstanding as of June 30, 2025 and December 31, 2024. The Series A Preferred Shares were issued on March 1, 2022 and are held by GPC Partners Investments (Thames) LP (“GPC Partners”), an affiliate of Gallatin Point Capital LLC.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Series A Preferred Shares are entitled to a dividend at the rate of 7% of the Liquidation Preference per annum, paid in cash, in-kind in common shares or in Series A Preferred Shares, at the Company’s election. On October 1, 2029, and each five-year anniversary thereafter, the dividend rate will reset to a rate equal to the five-year U.S. treasury rate plus 5.2%, subject to a cap of 8.0%. Dividends accrue and are payable quarterly. Cash dividends of $3.9 million and $5.3 million were paid on the Series A Preferred Shares in the six months ended June 30, 2025 and 2024, respectively.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Preferred Shares are convertible at the option of the holders thereof at any time into common shares at a conversion price of $8.32, making the Series A Preferred Shares convertible into 13,521,634 common shares. The conversion price is subject to customary anti-dilution adjustments, including cash dividends on the common shares above specified levels.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Certificate of Designations setting forth the terms of the Series A Preferred Shares (the “Certificate of Designations”)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insurance subsidiaries satisfy certain capital requirements. Share dividends payable on the common shares to the Company's shareholders also trigger a reduction of the conversion price applicable to the Series A Preferred Shares. None of the triggers that would result in additional adjustments to the conversion price have been met at June 30,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at any time the volume-weighted average price (“VWAP”) per common share is greater than 200% of the then applicable conversation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any Mandatory Conversion on or before March 1, 2027, all dividends that would have accrued from the date of the Mandatory Conversion to the later of March 1, 2027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conversion.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the Series A Preferred Shares may require the Company to repurchase their shares upon the occurrence of certain change of control events. Upon the occurrence of a Fundamental Change (as defined in the Certificate of Designations),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March 1, 2027, all dividends that would have accrued up to such date, but that have not been paid. The repurchase price will be payable in cash.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the Company may be required to repurchase all or a portion of the Series A Preferred Shares at the option of the holder upon the occurrence of certain change of control events, the Series A Preferred Shares are classified as mezzanine equity in the Company's condensed consolidated balance sheets and recognized at their determined fair value of $133.1 million. The Series A Preferred Shares were valued using a lattice method commonly applied to value preferred shares. The Series A Preferred Shares are classified as Level 3 in the valuation hierarchy due to the presence of significant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Certificate of Designations limits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Investment Agreement, GPC Partners has the right to designate one member of the Board (the “Series A Designee”). GPC Partners designated Matthew Botein as the Series A Designee, and Mr. Botein was approved by the Board as a Class I director with a term that expired at the 2024 annual general meeting of the Company’s shareholders. Mr. Botein was re-elected as a director at the 2024 annual general meeting for a term ending at the 2025 annual general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Capital Stock and Equity Awards</w:t>
      </w:r>
    </w:p>
    <w:p>
      <w:pPr>
        <w:pStyle w:val="TextBody"/>
        <w:bidi w:val="0"/>
        <w:spacing w:lineRule="auto" w:line="268" w:before="0" w:after="120"/>
        <w:jc w:val="both"/>
        <w:rPr>
          <w:rFonts w:ascii="Times New Roman;serif" w:hAnsi="Times New Roman;serif"/>
          <w:b/>
          <w:i/>
          <w:color w:val="000000"/>
          <w:sz w:val="20"/>
        </w:rPr>
      </w:pPr>
      <w:r>
        <w:rPr>
          <w:rFonts w:ascii="Times New Roman;serif" w:hAnsi="Times New Roman;serif"/>
          <w:b/>
          <w:i/>
          <w:color w:val="000000"/>
          <w:sz w:val="20"/>
        </w:rPr>
        <w:t>Common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common shares outstanding increased from 45,644,318 at December 31, 2024 to 45,895,335 at June 30, 2025, reflecting 251,017 common shares issued in the six months ended June 30, 2025 related to vesting of RSUs.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the following dividends on common shares during the first six months of 2025 and 2024:</w:t>
      </w:r>
    </w:p>
    <w:tbl>
      <w:tblPr>
        <w:tblW w:w="10205" w:type="dxa"/>
        <w:jc w:val="left"/>
        <w:tblInd w:w="0" w:type="dxa"/>
        <w:tblLayout w:type="fixed"/>
        <w:tblCellMar>
          <w:top w:w="28" w:type="dxa"/>
          <w:left w:w="28" w:type="dxa"/>
          <w:bottom w:w="28" w:type="dxa"/>
          <w:right w:w="28" w:type="dxa"/>
        </w:tblCellMar>
      </w:tblPr>
      <w:tblGrid>
        <w:gridCol w:w="554"/>
        <w:gridCol w:w="487"/>
        <w:gridCol w:w="490"/>
        <w:gridCol w:w="109"/>
        <w:gridCol w:w="109"/>
        <w:gridCol w:w="109"/>
        <w:gridCol w:w="530"/>
        <w:gridCol w:w="1283"/>
        <w:gridCol w:w="273"/>
        <w:gridCol w:w="109"/>
        <w:gridCol w:w="109"/>
        <w:gridCol w:w="109"/>
        <w:gridCol w:w="884"/>
        <w:gridCol w:w="884"/>
        <w:gridCol w:w="887"/>
        <w:gridCol w:w="109"/>
        <w:gridCol w:w="109"/>
        <w:gridCol w:w="109"/>
        <w:gridCol w:w="426"/>
        <w:gridCol w:w="426"/>
        <w:gridCol w:w="428"/>
        <w:gridCol w:w="109"/>
        <w:gridCol w:w="109"/>
        <w:gridCol w:w="109"/>
        <w:gridCol w:w="211"/>
        <w:gridCol w:w="976"/>
        <w:gridCol w:w="158"/>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Date of Declaration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Payable to Shareholders of Record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1,938,439 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3,878,849 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in the total dividends for the six months ended June 30, 2025 and 2024 are $36,000 and $96,000, respectively, of dividend equivalents on unvested RSUs. The balance of dividends payable on unvested RSUs was $137,000 at June 30, 2025 and $252,000 at December 31, 2024.</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Employees are eligible to receive non-qualified stock options, incentive stock options, share appreciation rights, performance shares, restricted shares, RSUs, and other awards under the 2014 LTIP. At June 30, 2025, the maximum number of shares available for issuance under the 2014 LTIP was 5,507,650 and 599,695 shares were available for grant.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PRSUs awarded in the first quarter of 2023 have a performance period of January 1, 2023 through December 31, 2025. The PRSUs awarded in the first quarter of 2024 have a performance period of January 1, 2024 through December 31, 2026. The PRSUs awarded in the first quarter of 2025 have a performance period of January 1, 2025 through December 31,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Non-employee directors of the Company are eligible to receive non-qualified stock options, share appreciation rights, performance shares, restricted shares, RSUs, and other awards under the 2014 Director Plan. At June 30, 2025, the maximum number of shares available for issuance under the 2014 Director Plan was 250,000 and 50,410 shares were available for grant.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w:t>
      </w:r>
    </w:p>
    <w:tbl>
      <w:tblPr>
        <w:tblW w:w="7778" w:type="dxa"/>
        <w:jc w:val="left"/>
        <w:tblInd w:w="0" w:type="dxa"/>
        <w:tblLayout w:type="fixed"/>
        <w:tblCellMar>
          <w:top w:w="28" w:type="dxa"/>
          <w:left w:w="28" w:type="dxa"/>
          <w:bottom w:w="28" w:type="dxa"/>
          <w:right w:w="28" w:type="dxa"/>
        </w:tblCellMar>
      </w:tblPr>
      <w:tblGrid>
        <w:gridCol w:w="939"/>
        <w:gridCol w:w="825"/>
        <w:gridCol w:w="830"/>
        <w:gridCol w:w="488"/>
        <w:gridCol w:w="488"/>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(268,993)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1,723,321 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943,016 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RSUs granted to employees generally vest ratably over a three year vesting period in the case of time-vest RSUs and cliff vest at the end of a three-year performance period in the case of PRSUs. RSUs granted to non-employee directors generally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generally based on the market price of the underlying shares at the date of grant. The RSUs granted in 2025 and 2024 include 620,108 and 231,492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pStyle w:val="TextBody"/>
        <w:bidi w:val="0"/>
        <w:spacing w:lineRule="auto" w:line="288" w:before="80" w:after="120"/>
        <w:jc w:val="both"/>
        <w:rPr>
          <w:rFonts w:ascii="Times New Roman;serif" w:hAnsi="Times New Roman;serif"/>
          <w:b/>
          <w:i/>
          <w:color w:val="000000"/>
          <w:sz w:val="20"/>
        </w:rPr>
      </w:pPr>
      <w:r>
        <w:rPr>
          <w:rFonts w:ascii="Times New Roman;serif" w:hAnsi="Times New Roman;serif"/>
          <w:b/>
          <w:i/>
          <w:color w:val="000000"/>
          <w:sz w:val="20"/>
        </w:rPr>
        <w:t>Options</w:t>
      </w:r>
    </w:p>
    <w:p>
      <w:pPr>
        <w:pStyle w:val="TextBody"/>
        <w:bidi w:val="0"/>
        <w:spacing w:lineRule="auto" w:line="288" w:before="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2023, the Company had 74,390 options outstanding with an average weighted exercise price of $42.17. The options lapsed in the six months ended June 30, 2024, after which, there have been no options outstanding.</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Compensation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 based compensation expense is recognized on a straight-line basis over the vesting period. The amount of expense and related tax benefit is summarized below:</w:t>
      </w:r>
    </w:p>
    <w:tbl>
      <w:tblPr>
        <w:tblW w:w="9104" w:type="dxa"/>
        <w:jc w:val="left"/>
        <w:tblInd w:w="0" w:type="dxa"/>
        <w:tblLayout w:type="fixed"/>
        <w:tblCellMar>
          <w:top w:w="28" w:type="dxa"/>
          <w:left w:w="28" w:type="dxa"/>
          <w:bottom w:w="28" w:type="dxa"/>
          <w:right w:w="28" w:type="dxa"/>
        </w:tblCellMar>
      </w:tblPr>
      <w:tblGrid>
        <w:gridCol w:w="1625"/>
        <w:gridCol w:w="1426"/>
        <w:gridCol w:w="1433"/>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Share based compensation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tax benefit on share based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2025, the Company had $6.9 million of unrecognized share based compensation expense expected to be charged to earnings over a weighted-average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2025, the Board of Directors declared a cash dividend of $0.01 per common share. The dividend is payable on September 30, 2025 to shareholders of record on September 15,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2025, the Board of Directors declared a dividend of up to $2.0 million on the Series A Preferred Shares. The dividend will be payable in cash on September 30, 2025 to shareholders of record on September 15,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 LTD.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2025, the Board of Directors approved awards under the 2014 LTIP and the 2014 Director Plan to the Company’s employees and directors with fair values of $250,000 and $31,000, respectively, and grant dates of August 6, 2025 and July 24, 2025, respectively.</w:t>
      </w:r>
    </w:p>
    <w:p>
      <w:pPr>
        <w:pStyle w:val="TextBody"/>
        <w:bidi w:val="0"/>
        <w:spacing w:lineRule="auto" w:line="288" w:before="0" w:after="120"/>
        <w:ind w:left="0" w:right="0" w:firstLine="360"/>
        <w:jc w:val="both"/>
        <w:rPr/>
      </w:pPr>
      <w:r>
        <w:rPr>
          <w:rFonts w:ascii="Times New Roman;serif" w:hAnsi="Times New Roman;serif"/>
          <w:b w:val="false"/>
          <w:color w:val="000000"/>
          <w:sz w:val="20"/>
        </w:rPr>
        <w:t>On</w:t>
      </w:r>
      <w:r>
        <w:rPr>
          <w:color w:val="212121"/>
        </w:rPr>
        <w:t xml:space="preserve"> </w:t>
      </w:r>
      <w:r>
        <w:rPr>
          <w:rFonts w:ascii="Times New Roman;serif" w:hAnsi="Times New Roman;serif"/>
          <w:b w:val="false"/>
          <w:color w:val="212121"/>
          <w:sz w:val="20"/>
        </w:rPr>
        <w:t>July 17, 2025, the U.S. District Court, Southern District of New York granted the Company’s motion to dismiss the lawsuit filed on July 15, 2024 by Fleming against JRG Holdings and certain of its officers, asserting claims under Sections 10(b) and 20(a) of the Securities Exchange Act of 1934, common law fraud, and breaches of contract associated with Fleming’s purchase of JRG Re pursuant to the Stock Purchase Agreement. The deadline for Fleming to file a notice of appeal is August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and Part I, Item 1A “Risk Factors” in our Annual Report on Form 10-K for the year ended December 31, 2024. The results of operations for the three and six months ended June 30, 2025 are not necessarily indicative of the results that may be expected for the full year ending December 31, 2025,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Group Holdings, Ltd. (“JRG Holdings”) is a Bermuda-based holding company. We own and operate a group of five insurance companies with the objective of generating compelling returns on tangible equity while limiting underwriting and investment volatility. We seek to accomplish this by earning profits from insurance underwriting and generating meaningful investment returns, while managing our capital to meet our risk management, regulatory and rating agency requirements.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report our continuing operations in three reportable segments: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Specialty Admitted Insurance segment focuses on niche classes within the standard insurance markets with a primary focus on fronting business, where we retain a minority share of the risk and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managing general agents;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Corporate and Other segment consists of the management, technology, and treasury activities of our holding companies, interest expense associated with our debt, and expenses of our holding companies, including public company expenses and long-term incentive compensation (including share-based compensation) for the group.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discontinued operations include JRG Reinsurance Company Ltd. (“JRG Re”), which comprised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of JRG Re, which closed on April 16, 2024, resulted in the Company’s disposition of its casualty reinsurance business and related assets. The Company has no continued involvement with JRG Re following the sale.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Company’s U.S.-domiciled insurance subsidiaries are party to an intercompany reinsurance “pooling” agreement that distributes the net underwriting results among the group companies based on their approximate pro-rata level of statutory capital and surplus to the total Company statutory capital and surplus.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 Best Company financial strength rating for our U.S. insurance subsidiaries is “A-” (Excellent).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certain key metrics, described below, which we believe provide useful information about our business and the operational factors underlying our financial performance.</w:t>
      </w:r>
    </w:p>
    <w:p>
      <w:pPr>
        <w:pStyle w:val="TextBody"/>
        <w:bidi w:val="0"/>
        <w:spacing w:lineRule="auto" w:line="288" w:before="0" w:after="120"/>
        <w:jc w:val="both"/>
        <w:rPr/>
      </w:pPr>
      <w:r>
        <w:rPr>
          <w:rFonts w:ascii="Times New Roman;serif" w:hAnsi="Times New Roman;serif"/>
          <w:b w:val="false"/>
          <w:i/>
          <w:color w:val="000000"/>
          <w:sz w:val="20"/>
        </w:rPr>
        <w:t>Underwriting profit</w:t>
      </w:r>
      <w:r>
        <w:rPr>
          <w:color w:val="000000"/>
        </w:rPr>
        <w:t xml:space="preserve"> </w:t>
      </w:r>
      <w:r>
        <w:rPr>
          <w:rFonts w:ascii="Times New Roman;serif" w:hAnsi="Times New Roman;serif"/>
          <w:b w:val="false"/>
          <w:color w:val="000000"/>
          <w:sz w:val="20"/>
        </w:rPr>
        <w:t xml:space="preserve">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because our objective is to consistently earn underwriting profits. We evaluate the performance of our segments and allocate resources based primarily on the potential for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pStyle w:val="TextBody"/>
        <w:bidi w:val="0"/>
        <w:spacing w:lineRule="auto" w:line="288" w:before="0" w:after="120"/>
        <w:jc w:val="both"/>
        <w:rPr/>
      </w:pPr>
      <w:r>
        <w:rPr>
          <w:rFonts w:ascii="Times New Roman;serif" w:hAnsi="Times New Roman;serif"/>
          <w:b w:val="false"/>
          <w:i/>
          <w:color w:val="000000"/>
          <w:sz w:val="20"/>
        </w:rPr>
        <w:t>Loss ratio</w:t>
      </w:r>
      <w:r>
        <w:rPr>
          <w:rFonts w:ascii="Times New Roman;serif" w:hAnsi="Times New Roman;serif"/>
          <w:b w:val="false"/>
          <w:color w:val="000000"/>
          <w:sz w:val="20"/>
        </w:rPr>
        <w:t>, expressed as a percentage, is the ratio of losses and loss adjustment expenses on business from continuing operations not subject to retroactive reinsurance accounting to net earned premiums. Our definition of loss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erif" w:hAnsi="Times New Roman;serif"/>
          <w:b w:val="false"/>
          <w:i/>
          <w:color w:val="000000"/>
          <w:sz w:val="20"/>
        </w:rPr>
        <w:t>Accident year loss ratio</w:t>
      </w:r>
      <w:r>
        <w:rPr>
          <w:rFonts w:ascii="Times New Roman;serif" w:hAnsi="Times New Roman;serif"/>
          <w:b w:val="false"/>
          <w:color w:val="000000"/>
          <w:sz w:val="20"/>
        </w:rPr>
        <w:t>, expressed as a percentage, is the ratio of losses and loss adjustment expenses for the current accident year (excluding development on prior accident year reserves) to net earned premiums for the current year (excluding ceded earned premium associated with adverse development covers covering prior accident years and net earned premium adjustments on certain reinsurance treaties with reinstatement premiums associated with prior years).</w:t>
      </w:r>
    </w:p>
    <w:p>
      <w:pPr>
        <w:pStyle w:val="TextBody"/>
        <w:bidi w:val="0"/>
        <w:spacing w:lineRule="auto" w:line="288" w:before="0" w:after="120"/>
        <w:jc w:val="both"/>
        <w:rPr/>
      </w:pPr>
      <w:r>
        <w:rPr>
          <w:rFonts w:ascii="Times New Roman;serif" w:hAnsi="Times New Roman;serif"/>
          <w:b w:val="false"/>
          <w:i/>
          <w:color w:val="000000"/>
          <w:sz w:val="20"/>
        </w:rPr>
        <w:t>Expense ratio</w:t>
      </w:r>
      <w:r>
        <w:rPr>
          <w:rFonts w:ascii="Times New Roman;serif" w:hAnsi="Times New Roman;serif"/>
          <w:b w:val="false"/>
          <w:color w:val="000000"/>
          <w:sz w:val="20"/>
        </w:rPr>
        <w:t>, expressed as a percentage, is the ratio of other operating expenses net of gross fee income included in other income to net earned premiums.</w:t>
      </w:r>
    </w:p>
    <w:p>
      <w:pPr>
        <w:pStyle w:val="TextBody"/>
        <w:bidi w:val="0"/>
        <w:spacing w:lineRule="auto" w:line="288" w:before="0" w:after="120"/>
        <w:jc w:val="both"/>
        <w:rPr/>
      </w:pPr>
      <w:r>
        <w:rPr>
          <w:rFonts w:ascii="Times New Roman;serif" w:hAnsi="Times New Roman;serif"/>
          <w:b w:val="false"/>
          <w:i/>
          <w:color w:val="000000"/>
          <w:sz w:val="20"/>
        </w:rPr>
        <w:t>Combined ratio</w:t>
      </w:r>
      <w:r>
        <w:rPr>
          <w:color w:val="000000"/>
        </w:rPr>
        <w:t xml:space="preserve"> </w:t>
      </w:r>
      <w:r>
        <w:rPr>
          <w:rFonts w:ascii="Times New Roman;serif" w:hAnsi="Times New Roman;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erif" w:hAnsi="Times New Roman;serif"/>
          <w:b w:val="false"/>
          <w:i/>
          <w:color w:val="000000"/>
          <w:sz w:val="20"/>
        </w:rPr>
        <w:t>Adjusted net operating income</w:t>
      </w:r>
      <w:r>
        <w:rPr>
          <w:color w:val="000000"/>
        </w:rPr>
        <w:t xml:space="preserve"> </w:t>
      </w:r>
      <w:r>
        <w:rPr>
          <w:rFonts w:ascii="Times New Roman;serif" w:hAnsi="Times New Roman;serif"/>
          <w:b w:val="false"/>
          <w:color w:val="000000"/>
          <w:sz w:val="20"/>
        </w:rPr>
        <w:t>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pStyle w:val="TextBody"/>
        <w:bidi w:val="0"/>
        <w:spacing w:lineRule="auto" w:line="288" w:before="0" w:after="120"/>
        <w:jc w:val="both"/>
        <w:rPr/>
      </w:pPr>
      <w:r>
        <w:rPr>
          <w:rFonts w:ascii="Times New Roman;serif" w:hAnsi="Times New Roman;serif"/>
          <w:b w:val="false"/>
          <w:i/>
          <w:color w:val="000000"/>
          <w:sz w:val="20"/>
        </w:rPr>
        <w:t xml:space="preserve">Tangible equity </w:t>
      </w:r>
      <w:r>
        <w:rPr>
          <w:rFonts w:ascii="Times New Roman;serif" w:hAnsi="Times New Roman;serif"/>
          <w:b w:val="false"/>
          <w:color w:val="000000"/>
          <w:sz w:val="20"/>
        </w:rPr>
        <w:t>is defined as shareholders' equity plus mezzanine Series A Preferred Shares (as defined below) and the unrecognized deferred retroactive reinsurance gain less goodwill and intangible assets, net of amortization.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bidi w:val="0"/>
        <w:spacing w:lineRule="auto" w:line="288" w:before="0" w:after="120"/>
        <w:jc w:val="both"/>
        <w:rPr/>
      </w:pPr>
      <w:r>
        <w:rPr>
          <w:rFonts w:ascii="Times New Roman;serif" w:hAnsi="Times New Roman;serif"/>
          <w:b w:val="false"/>
          <w:i/>
          <w:color w:val="000000"/>
          <w:sz w:val="20"/>
        </w:rPr>
        <w:t xml:space="preserve">Tangible equity per share </w:t>
      </w:r>
      <w:r>
        <w:rPr>
          <w:rFonts w:ascii="Times New Roman;serif" w:hAnsi="Times New Roman;serif"/>
          <w:b w:val="false"/>
          <w:color w:val="000000"/>
          <w:sz w:val="20"/>
        </w:rPr>
        <w:t>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w:t>
      </w:r>
    </w:p>
    <w:p>
      <w:pPr>
        <w:pStyle w:val="TextBody"/>
        <w:bidi w:val="0"/>
        <w:spacing w:lineRule="auto" w:line="288" w:before="0" w:after="120"/>
        <w:jc w:val="both"/>
        <w:rPr/>
      </w:pPr>
      <w:r>
        <w:rPr>
          <w:rFonts w:ascii="Times New Roman;serif" w:hAnsi="Times New Roman;serif"/>
          <w:b w:val="false"/>
          <w:i/>
          <w:color w:val="000000"/>
          <w:sz w:val="20"/>
        </w:rPr>
        <w:t>Tangible common equity</w:t>
      </w:r>
      <w:r>
        <w:rPr>
          <w:color w:val="000000"/>
        </w:rPr>
        <w:t xml:space="preserve"> </w:t>
      </w:r>
      <w:r>
        <w:rPr>
          <w:rFonts w:ascii="Times New Roman;serif" w:hAnsi="Times New Roman;serif"/>
          <w:b w:val="false"/>
          <w:color w:val="000000"/>
          <w:sz w:val="20"/>
        </w:rPr>
        <w:t>is defined as shareholders' equity plus the unrecognized deferred retroactive reinsurance gain less goodwill and intangible assets, net of amortization. We believe tangible common equity is a good measure to evaluate the strength of our balance sheet and to compare returns relative to this measure. Key financial measures that we use to assess our longer term financial performance include the percentage growth in our tangible common equity per share and our return on tangible common equity. Tangible common equity is a non-GAAP measure and should not be viewed as a substitute for shareholders’ equity calculated in accordance with GAAP. Our definition of tangible common equity may not be comparable to that of other companies. See “Reconciliation of Non-GAAP Measures” for a reconciliation of shareholders' equity to tangible common equity.</w:t>
      </w:r>
    </w:p>
    <w:p>
      <w:pPr>
        <w:pStyle w:val="TextBody"/>
        <w:bidi w:val="0"/>
        <w:spacing w:lineRule="auto" w:line="288" w:before="0" w:after="120"/>
        <w:jc w:val="both"/>
        <w:rPr/>
      </w:pPr>
      <w:r>
        <w:rPr>
          <w:rFonts w:ascii="Times New Roman;serif" w:hAnsi="Times New Roman;serif"/>
          <w:b w:val="false"/>
          <w:i/>
          <w:color w:val="000000"/>
          <w:sz w:val="20"/>
        </w:rPr>
        <w:t>Adjusted net operating return on tangible common equity</w:t>
      </w:r>
      <w:r>
        <w:rPr>
          <w:color w:val="000000"/>
        </w:rPr>
        <w:t xml:space="preserve"> </w:t>
      </w:r>
      <w:r>
        <w:rPr>
          <w:rFonts w:ascii="Times New Roman;serif" w:hAnsi="Times New Roman;serif"/>
          <w:b w:val="false"/>
          <w:color w:val="000000"/>
          <w:sz w:val="20"/>
        </w:rPr>
        <w:t>is defined as annualized adjusted net operating income expressed as a percentage of the average quarterly tangible common equity balances in the respective period.</w:t>
      </w:r>
    </w:p>
    <w:p>
      <w:pPr>
        <w:pStyle w:val="TextBody"/>
        <w:bidi w:val="0"/>
        <w:spacing w:lineRule="auto" w:line="288" w:before="0" w:after="120"/>
        <w:jc w:val="both"/>
        <w:rPr/>
      </w:pPr>
      <w:r>
        <w:rPr>
          <w:rFonts w:ascii="Times New Roman;serif" w:hAnsi="Times New Roman;serif"/>
          <w:b w:val="false"/>
          <w:i/>
          <w:color w:val="000000"/>
          <w:sz w:val="20"/>
        </w:rPr>
        <w:t>Tangible common equity per share</w:t>
      </w:r>
      <w:r>
        <w:rPr>
          <w:color w:val="000000"/>
        </w:rPr>
        <w:t xml:space="preserve"> </w:t>
      </w:r>
      <w:r>
        <w:rPr>
          <w:rFonts w:ascii="Times New Roman;serif" w:hAnsi="Times New Roman;serif"/>
          <w:b w:val="false"/>
          <w:color w:val="000000"/>
          <w:sz w:val="20"/>
        </w:rPr>
        <w:t>represents tangible common equity divided by the total common shares outstanding.</w:t>
      </w:r>
    </w:p>
    <w:p>
      <w:pPr>
        <w:pStyle w:val="TextBody"/>
        <w:bidi w:val="0"/>
        <w:spacing w:lineRule="auto" w:line="288" w:before="0" w:after="120"/>
        <w:jc w:val="both"/>
        <w:rPr/>
      </w:pPr>
      <w:r>
        <w:rPr>
          <w:rFonts w:ascii="Times New Roman;serif" w:hAnsi="Times New Roman;serif"/>
          <w:b w:val="false"/>
          <w:i/>
          <w:color w:val="000000"/>
          <w:sz w:val="20"/>
        </w:rPr>
        <w:t>Net retention</w:t>
      </w:r>
      <w:r>
        <w:rPr>
          <w:color w:val="000000"/>
        </w:rPr>
        <w:t xml:space="preserve"> </w:t>
      </w:r>
      <w:r>
        <w:rPr>
          <w:rFonts w:ascii="Times New Roman;serif" w:hAnsi="Times New Roman;serif"/>
          <w:b w:val="false"/>
          <w:color w:val="000000"/>
          <w:sz w:val="20"/>
        </w:rPr>
        <w:t>is defined as the ratio of net written premiums to gross written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i/>
          <w:color w:val="000000"/>
          <w:sz w:val="20"/>
        </w:rPr>
        <w:t>Gross investment yield</w:t>
      </w:r>
      <w:r>
        <w:rPr>
          <w:color w:val="000000"/>
        </w:rPr>
        <w:t xml:space="preserve"> </w:t>
      </w:r>
      <w:r>
        <w:rPr>
          <w:rFonts w:ascii="Times New Roman;serif" w:hAnsi="Times New Roman;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bidi w:val="0"/>
        <w:spacing w:lineRule="auto" w:line="288" w:before="0" w:after="120"/>
        <w:ind w:left="0" w:right="0" w:firstLine="360"/>
        <w:jc w:val="both"/>
        <w:rPr/>
      </w:pPr>
      <w:r>
        <w:rPr>
          <w:rFonts w:ascii="Times New Roman;serif" w:hAnsi="Times New Roman;serif"/>
          <w:b w:val="false"/>
          <w:color w:val="000000"/>
          <w:sz w:val="20"/>
        </w:rPr>
        <w:t>Unless specified otherwise, all references to our defined metrics above in this “Item 2. Management’s Discussion and Analysis of Financial Condition and Results of Operations”</w:t>
      </w:r>
      <w:r>
        <w:rPr>
          <w:color w:val="000000"/>
        </w:rPr>
        <w:t xml:space="preserve"> </w:t>
      </w:r>
      <w:r>
        <w:rPr>
          <w:rFonts w:ascii="Times New Roman;serif" w:hAnsi="Times New Roman;serif"/>
          <w:b w:val="false"/>
          <w:color w:val="000000"/>
          <w:sz w:val="20"/>
        </w:rPr>
        <w:t>are for our business from continuing operations that is not subject to retroactive reinsurance accounting.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2024. There have been no significant changes to any of these policies during the current year.</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Recent Strategic Actions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2024, the Board of Directors concluded the strategic review process announced in November of 2023. While the strategic review process has been completed, in the ordinary course of business the Company and Board of Directors expect to consider opportunities consistent with its fiduciary duty.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 2024, James River Insurance and James River Casualty (together,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The Company has $28.8 million of aggregate limit remaining on the E&amp;S ADC at June 30,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Enstar Strategic Relationship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commenced a multi-pronged strategic relationship with Enstar Group Limited (“Enstar”). As part of this, on November 11, 2024, Enstar, through its subsidiary Cavello Bay Reinsurance Limited (“Cavello Bay”), entered into (i) a subscription agreement to purchase $12.5 million of the Company’s common shares at a share price of $6.40, which shares are in addition to 637,640 shares Enstar previously purchased in the open market, and (ii) an adverse development cover agreement with James River (the “E&amp;S Top Up ADC”). Pursuant to the E&amp;S Top Up ADC,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 Enstar’s purchase of common shares and the E&amp;S Top Up ADC closed on December 23, 2024. The Company recognized a $52.8 million reduction in pre-tax income in connection with the E&amp;S Top Up ADC upon closing. The Company has $75.0 million of aggregate limit remaining on the E&amp;S Top Up ADC at June 30,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Series A Preferred Share Amendment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11, 2024, the Company amended the Certificate of Designations setting forth the terms of the Series A Preferred Shares held by GPC Partners to, among other things, (i) convert $37.5 million of the outstanding Series A Preferred Shares to common stock at a per share price of $6.40 (the “Minimum Price”), (ii) increase the voluntary conversion price from 127.5% to 130% of the Minimum Price, (iii) increase the mandatory conversion price from 130% to 200% of the voluntary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conversion price, (iv) delay the first date on which the dividend rate re-sets from March 1, 2027 to October 1, 2029, (v) cap the dividend rate at 8%, (vi) eliminate the adverse development anti-dilution adjustment provision, and (vii) limit transfers of the Series A Preferred Shares without the Company’s consent if, after the transfer, the transferee would hold 9.9% or more of the voting equity of the Company or, in the event of an A.M. Best downgrade of James River Insurance below A- (Excellent), 19.9% of the voting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w:t>
      </w:r>
    </w:p>
    <w:tbl>
      <w:tblPr>
        <w:tblW w:w="10205" w:type="dxa"/>
        <w:jc w:val="left"/>
        <w:tblInd w:w="0" w:type="dxa"/>
        <w:tblLayout w:type="fixed"/>
        <w:tblCellMar>
          <w:top w:w="28" w:type="dxa"/>
          <w:left w:w="28" w:type="dxa"/>
          <w:bottom w:w="28" w:type="dxa"/>
          <w:right w:w="28" w:type="dxa"/>
        </w:tblCellMar>
      </w:tblPr>
      <w:tblGrid>
        <w:gridCol w:w="635"/>
        <w:gridCol w:w="310"/>
        <w:gridCol w:w="312"/>
        <w:gridCol w:w="211"/>
        <w:gridCol w:w="826"/>
        <w:gridCol w:w="271"/>
        <w:gridCol w:w="109"/>
        <w:gridCol w:w="109"/>
        <w:gridCol w:w="109"/>
        <w:gridCol w:w="211"/>
        <w:gridCol w:w="826"/>
        <w:gridCol w:w="271"/>
        <w:gridCol w:w="109"/>
        <w:gridCol w:w="109"/>
        <w:gridCol w:w="109"/>
        <w:gridCol w:w="262"/>
        <w:gridCol w:w="264"/>
        <w:gridCol w:w="483"/>
        <w:gridCol w:w="109"/>
        <w:gridCol w:w="109"/>
        <w:gridCol w:w="109"/>
        <w:gridCol w:w="211"/>
        <w:gridCol w:w="826"/>
        <w:gridCol w:w="271"/>
        <w:gridCol w:w="109"/>
        <w:gridCol w:w="109"/>
        <w:gridCol w:w="109"/>
        <w:gridCol w:w="211"/>
        <w:gridCol w:w="826"/>
        <w:gridCol w:w="271"/>
        <w:gridCol w:w="109"/>
        <w:gridCol w:w="109"/>
        <w:gridCol w:w="109"/>
        <w:gridCol w:w="262"/>
        <w:gridCol w:w="264"/>
        <w:gridCol w:w="546"/>
      </w:tblGrid>
      <w:tr>
        <w:trPr/>
        <w:tc>
          <w:tcPr>
            <w:tcW w:w="6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4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(9.5)</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retention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303,946 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319,525 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(9.1)</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(11.9)</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profit </w:t>
            </w:r>
            <w:r>
              <w:rPr>
                <w:rFonts w:ascii="Times New Roman;serif" w:hAnsi="Times New Roman;serif"/>
                <w:b w:val="false"/>
                <w:color w:val="000000"/>
                <w:sz w:val="16"/>
              </w:rPr>
              <w:t>(1), (2)</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(70.2)</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gains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(11.6)</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(56.1)</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on continuing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(52.3)</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(57.6)</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(94.7)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(88.1)</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(37.8)</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Series A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(41.5)</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operating income </w:t>
            </w:r>
            <w:r>
              <w:rPr>
                <w:rFonts w:ascii="Times New Roman;serif" w:hAnsi="Times New Roman;serif"/>
                <w:b w:val="false"/>
                <w:color w:val="000000"/>
                <w:sz w:val="16"/>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(24.4)</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Ratios:</w:t>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year 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profit and adjusted net operating income are non-GAAP measures. See “Reconciliation of Non-GAAP Measures.”</w:t>
      </w:r>
    </w:p>
    <w:p>
      <w:pPr>
        <w:pStyle w:val="TextBody"/>
        <w:bidi w:val="0"/>
        <w:spacing w:lineRule="auto" w:line="288" w:before="0" w:after="240"/>
        <w:ind w:left="0" w:right="0" w:hanging="360"/>
        <w:jc w:val="left"/>
        <w:rPr/>
      </w:pPr>
      <w:r>
        <w:rPr>
          <w:rFonts w:ascii="Times New Roman;serif" w:hAnsi="Times New Roman;serif"/>
          <w:b w:val="false"/>
          <w:i/>
          <w:color w:val="000000"/>
          <w:sz w:val="20"/>
        </w:rPr>
        <w:t>(2)Included in underwriting results for the three and six months ended June 30, 2025 and 2024 is gross fee income of $3.9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$8.3 million, respectively ($5.6 million and $10.9 million in the respective prior year periods).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Three Months Ended June 30, 2025 and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produced net income from continuing operations of $5.1 million for the three months ended June 30, 2025 compared to $14.5 million for the three months ended June 30, 2024. Adjusted net operating income was $11.7 million and $12.7 million in the respective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Underwriting profits were $2.1 million and $1.2 million (combined ratios of 98.6% and 99.3%) for the three months ended June 30, 2025 and 2024, respectively, reflecting higher underwriting profit in our Excess and Surplus Lines segment which was partially offset by an underwriting loss in our Specialty Admitted Insurance segment. Underwriting results for the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ended June 30, 2025 and 2024 include $2.7 million and $1.2 million of premium adjustments associated with prior years including reinstatement premium in the Excess and Surplus Lines segment. The premium adjustments reduced net written and net earned premiums, and underwriting profit in the respective quarters, and resulted in increases to our combined ratio of 1.7 and 0.7 percentage points,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ratio for the three months ended June 30, 2025 improved compared to the prior year quarter largely driven by net reserve development on prior accident years (excluding adverse prior year development from continuing operations that is subject to retroactive reinsurance accounting - see discussion below) which was $3.0 million or 2.0 points adverse in the three months ended June 30, 2025 compared to $10.7 million or 6.5 points adverse in the three months ended June 30, 2024. Premium adjustments associated with prior years including reinstatement premium in the Excess and Surplus Lines segment increased the respective loss ratios by 1.2 and 0.5 points. The loss ratio for the current year quarter also benefited from a lower current accident year loss ratio and segment mix with the Excess and Surplus Lines segment representing 92.6% of consolidated net earned premiums in the three months ended June 30, 2025 compared to 86.1% in the three months ended June 30,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expense ratio increased from 26.3% in the prior year quarter to 30.5% in the current year quarter reflecting higher expense ratios for both operating segments, partially offset by lower expenses in the Corporate and Other segment. Refer to the Segment Results section below for further discussion of the segment expense ratios. Premium adjustments associated with prior years including reinstatement premium in the Excess and Surplus Lines segment increased the respective consolidated expense ratios by 0.5 and 0.3 points in the respective three month periods.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Investment income declined by $4.4 million or 17.7% in the three months ended June 30, 2025 compared to the same period in the prior year driven by lower invested assets following the funding of strategic initiatives during the second half of 2024 including the reinsurance premium paid to enter the E&amp;S ADC and the E&amp;S Top Up ADC, as well as lower yields. Net realized and unrealized losses on investments were lower in the current year quarter largely due to unfavorable mark-to-market adjustments in the prior year quarter on equity securities of $1.1 million and bank loan participations of $753,000 (see </w:t>
      </w:r>
      <w:r>
        <w:rPr>
          <w:rFonts w:ascii="Times New Roman;serif" w:hAnsi="Times New Roman;serif"/>
          <w:b w:val="false"/>
          <w:i/>
          <w:color w:val="000000"/>
          <w:sz w:val="20"/>
        </w:rPr>
        <w:t>Investing Results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definitive agreement on November 8, 2023 to sell JRG Re. The sale closed on April 16, 2024 and discontinued operations in the prior year period includes the operating results of JRG Re which were a loss of $5.7 million for the period April 1, 2024 to April 16, 2024. The loss on disposal, also included in discontinued operations above, was $361,000 and $1.2 million in the three months ended June 30, 2025 and 2024,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operating results decreased by $971,000 or 7.7% from the prior year quarter mostly due to the lower investment income. Growth in tangible common equity of 5.3% in the current quarter was largely driven by net income and unrealized gains on fixed maturities in other comprehensive income due to a decline in interest rates. Our 14.0% adjusted net operating return on tangible common equity for the three months ended June 30, 2025 compares to a 14.9% return for the three months ended June 30, 2024.</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Six Months Ended June 30, 2025 and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produced net income from continuing operations of $16.1 million for the six months ended June 30, 2025 compared to $38.0 million for the six months ended June 30, 2024. Adjusted net operating income was $20.8 million and $27.5 million in the respective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Underwriting profits were $2.8 million and $9.4 million (combined ratios of 99.1% and 97.2%) for the six months ended June 30, 2025 and 2024, respectively. Underwriting results for the respective six month periods include $5.8 million and $1.2 million of premium adjustments associated with prior years including reinstatement premium in the Excess and Surplus Lines segment. The premium adjustments reduced net written and net earned premiums, and underwriting profit and increased our combined ratio by 1.9 and 0.3 percentage points in the respective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loss ratio of 67.4% for the six months ended June 30, 2025 improved compared to the prior year loss ratio of 69.6% primarily reflecting net reserve development on prior accident years (excluding adverse prior year development from continuing operations that is subject to retroactive reinsurance accounting - see discussion below) which was $2.9 million or 1.0 points adverse in the six months ended June 30, 2025 compared to $10.3 million or 3.1 points adverse in the six months ended June 30, 2024. Premium adjustments associated with prior years including reinstatement premium in the Excess and Surplus Lines segment increased the respective loss ratios by 1.2 and 0.2 points. The current year loss ratio also benefited from a lower current accident year loss ratio and segment mix with the Excess and Surplus Lines segment representing 91.4% of consolidated net earned premiums in the six months ended June 30, 2025 compared to 85.4% in the six months ended June 30,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expense ratio increased from 27.6% in the prior year to 31.7% in the current year reflecting higher expense ratios for both operating segments, partially offset by lower expenses in the Corporate and Other segment. Refer to the Segment Results section below for further discussion of the segment expense ratios. Premium adjustments associated with prior years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reinstatement premium in the Excess and Surplus Lines segment increased the respective consolidated expense ratios by 0.7 and 0.1 points.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Investment income declined by $7.0 million or 14.8% in the six months ended June 30, 2025 compared to the same period in the prior year driven by lower invested assets following the funding of strategic initiatives during the second half of 2024 including the reinsurance premium paid to enter the E&amp;S ADC and the E&amp;S Top Up ADC, as well as lower yields. Net realized and unrealized losses on investments of $1.7 million for the six months ended June 30, 2025 include $2.1 million of net realized and unrealized losses on bank loan participations, partially offset by $313,000 of net realized and unrealized gains on equity securities. Net realized and unrealized gains of $2.3 million for the six months ended June 30, 2024 were largely due to favorable mark-to-market adjustments on equity securities of $3.1 million (see </w:t>
      </w:r>
      <w:r>
        <w:rPr>
          <w:rFonts w:ascii="Times New Roman;serif" w:hAnsi="Times New Roman;serif"/>
          <w:b w:val="false"/>
          <w:i/>
          <w:color w:val="000000"/>
          <w:sz w:val="20"/>
        </w:rPr>
        <w:t>Investing Results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Discontinued operations in the prior year period includes the operating results of JRG Re which were a loss of $13.6 million for the six months ended June 30, 2024. The prior year loss from discontinued operations primarily reflects net adverse development of $7.1 million on treaties not subject to the Casualty Re loss portfolio transfer. The loss on disposal, also included in discontinued operations above, was $1.8 million and $1.4 million in the six months ended June 30, 2025 and 2024,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operating results declined from the prior year by $6.7 million or 24.4% due to the lower underwriting results and lower investment income. Growth in tangible common equity of 12.8% for the six months ended June 30, 2025 was largely driven by net income and unrealized gains on fixed maturities in other comprehensive income due to a decline in interest rates. Our 12.8% adjusted net operating return on tangible common equity for the six months ended June 30, 2025 compares to a 16.1% return for the six months ended June 30, 2024.</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Loss Portfolio Transfers and Adverse Development Covers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strategy. In addition to the E&amp;S ADC and E&amp;S Top Up ADC described in “Recent Strategic Actions”, the Company also participates in a Commercial Auto loss portfolio transfer.</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Commercial Auto Loss Portfolio Transfer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$458.0 million and $459.3 million as of June 30, 2025 and December 31, 2024, respectively.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Retroactive Reinsurance Accounting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our results in the short-term, over the life of the contract, we would expect no economic impact to the Company as long as the counterparty performs under the contract and losses are within the limit (if any). The impact of retroactive reinsurance accounting is not indicative of our current and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retroactive reinsurance accounting for the Commercial Auto LPT and the E&amp;S ADC for the three and six months ended June 30, 2025 and 2024, respectively.</w:t>
      </w:r>
    </w:p>
    <w:tbl>
      <w:tblPr>
        <w:tblW w:w="10205" w:type="dxa"/>
        <w:jc w:val="left"/>
        <w:tblInd w:w="0" w:type="dxa"/>
        <w:tblLayout w:type="fixed"/>
        <w:tblCellMar>
          <w:top w:w="28" w:type="dxa"/>
          <w:left w:w="28" w:type="dxa"/>
          <w:bottom w:w="28" w:type="dxa"/>
          <w:right w:w="28" w:type="dxa"/>
        </w:tblCellMar>
      </w:tblPr>
      <w:tblGrid>
        <w:gridCol w:w="1819"/>
        <w:gridCol w:w="1593"/>
        <w:gridCol w:w="16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Commercial Auto LPT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ADC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Premiums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 premiums are earned ratably over the terms of our insurance policies, generally twelve months. The following table summarizes the change in premium volume by component and business segment:</w:t>
      </w:r>
    </w:p>
    <w:tbl>
      <w:tblPr>
        <w:tblW w:w="10205" w:type="dxa"/>
        <w:jc w:val="left"/>
        <w:tblInd w:w="0" w:type="dxa"/>
        <w:tblLayout w:type="fixed"/>
        <w:tblCellMar>
          <w:top w:w="28" w:type="dxa"/>
          <w:left w:w="28" w:type="dxa"/>
          <w:bottom w:w="28" w:type="dxa"/>
          <w:right w:w="28" w:type="dxa"/>
        </w:tblCellMar>
      </w:tblPr>
      <w:tblGrid>
        <w:gridCol w:w="747"/>
        <w:gridCol w:w="655"/>
        <w:gridCol w:w="660"/>
        <w:gridCol w:w="211"/>
        <w:gridCol w:w="826"/>
        <w:gridCol w:w="109"/>
        <w:gridCol w:w="109"/>
        <w:gridCol w:w="109"/>
        <w:gridCol w:w="109"/>
        <w:gridCol w:w="211"/>
        <w:gridCol w:w="826"/>
        <w:gridCol w:w="109"/>
        <w:gridCol w:w="109"/>
        <w:gridCol w:w="109"/>
        <w:gridCol w:w="109"/>
        <w:gridCol w:w="284"/>
        <w:gridCol w:w="284"/>
        <w:gridCol w:w="367"/>
        <w:gridCol w:w="109"/>
        <w:gridCol w:w="109"/>
        <w:gridCol w:w="109"/>
        <w:gridCol w:w="211"/>
        <w:gridCol w:w="826"/>
        <w:gridCol w:w="109"/>
        <w:gridCol w:w="109"/>
        <w:gridCol w:w="109"/>
        <w:gridCol w:w="109"/>
        <w:gridCol w:w="211"/>
        <w:gridCol w:w="826"/>
        <w:gridCol w:w="109"/>
        <w:gridCol w:w="109"/>
        <w:gridCol w:w="109"/>
        <w:gridCol w:w="109"/>
        <w:gridCol w:w="284"/>
        <w:gridCol w:w="284"/>
        <w:gridCol w:w="421"/>
      </w:tblGrid>
      <w:tr>
        <w:trPr/>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(32.9)</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(9.5)</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(45.1)</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(46.5)</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(9.1)</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written premiums for the Excess and Surplus Lines segment (which represents 76.4% of our consolidated gross written premiums from continuing operations in the six months ended June 30, 2025) grew by 2.6% and 1.4% over the three and six month periods in the prior year driven by expansion in our largest underwriting divisions. Given changes in our underwriting appetite, we are being selective in certain lines of business. Submissions for Core E&amp;S lines (excluding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commercial auto) for the six months ended June 30, 2025 was 5.7% higher than the same period in the prior year. The number of bound policies in the six months ended June 30, 2025 declined 2.5% from the prior year period, and average premium size decreased 16.0% due to our focus on writing smaller accounts and the mix of business. Renewal rates for the Excess and Surplus Lines segment were up 13.9% and 11.7% compared to the three and six months ended June 30, 2024, respectively. The increases were widespread across most underwriting divisions. Excess Casualty, our largest division, saw increases of 24.2% and 20.2% compared to the three and six month prior year periods. The change in gross written premiums was notable in several divisions as shown below:</w:t>
      </w:r>
    </w:p>
    <w:tbl>
      <w:tblPr>
        <w:tblW w:w="10205" w:type="dxa"/>
        <w:jc w:val="center"/>
        <w:tblInd w:w="0" w:type="dxa"/>
        <w:tblLayout w:type="fixed"/>
        <w:tblCellMar>
          <w:top w:w="28" w:type="dxa"/>
          <w:left w:w="28" w:type="dxa"/>
          <w:bottom w:w="28" w:type="dxa"/>
          <w:right w:w="28" w:type="dxa"/>
        </w:tblCellMar>
      </w:tblPr>
      <w:tblGrid>
        <w:gridCol w:w="841"/>
        <w:gridCol w:w="708"/>
        <w:gridCol w:w="563"/>
        <w:gridCol w:w="211"/>
        <w:gridCol w:w="826"/>
        <w:gridCol w:w="109"/>
        <w:gridCol w:w="109"/>
        <w:gridCol w:w="109"/>
        <w:gridCol w:w="109"/>
        <w:gridCol w:w="211"/>
        <w:gridCol w:w="826"/>
        <w:gridCol w:w="109"/>
        <w:gridCol w:w="109"/>
        <w:gridCol w:w="109"/>
        <w:gridCol w:w="109"/>
        <w:gridCol w:w="271"/>
        <w:gridCol w:w="271"/>
        <w:gridCol w:w="367"/>
        <w:gridCol w:w="109"/>
        <w:gridCol w:w="109"/>
        <w:gridCol w:w="109"/>
        <w:gridCol w:w="211"/>
        <w:gridCol w:w="826"/>
        <w:gridCol w:w="109"/>
        <w:gridCol w:w="109"/>
        <w:gridCol w:w="109"/>
        <w:gridCol w:w="109"/>
        <w:gridCol w:w="211"/>
        <w:gridCol w:w="826"/>
        <w:gridCol w:w="109"/>
        <w:gridCol w:w="109"/>
        <w:gridCol w:w="109"/>
        <w:gridCol w:w="109"/>
        <w:gridCol w:w="271"/>
        <w:gridCol w:w="271"/>
        <w:gridCol w:w="423"/>
      </w:tblGrid>
      <w:tr>
        <w:trPr/>
        <w:tc>
          <w:tcPr>
            <w:tcW w:w="84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0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Casualty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Casualty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Manufacturers &amp; Contractors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(17.2)</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Health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17.6 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(30.8)</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Core E&amp;S divisions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Core E&amp;S divisions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Auto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 gross written premium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written premiums for the Specialty Admitted Insurance segment (which represents 23.6% of our consolidated gross written premiums for the six months ended June 30, 2025) declined from the three and six month periods in the prior year driven by several non-renewals in our fronting business, reflective of the Company's strategy to remain opportunistic in the current market environment and manage this segment to retain minimal risk. Individual risk workers' compensation premium continues to run off following the sale of the renewal rights to that business in 2023. </w:t>
      </w:r>
    </w:p>
    <w:p>
      <w:pPr>
        <w:pStyle w:val="TextBody"/>
        <w:bidi w:val="0"/>
        <w:spacing w:lineRule="auto" w:line="288" w:before="100" w:after="120"/>
        <w:jc w:val="left"/>
        <w:rPr>
          <w:rFonts w:ascii="Times New Roman;serif" w:hAnsi="Times New Roman;serif"/>
          <w:b/>
          <w:i/>
          <w:color w:val="000000"/>
          <w:sz w:val="20"/>
        </w:rPr>
      </w:pPr>
      <w:r>
        <w:rPr>
          <w:rFonts w:ascii="Times New Roman;serif" w:hAnsi="Times New Roman;serif"/>
          <w:b/>
          <w:i/>
          <w:color w:val="000000"/>
          <w:sz w:val="20"/>
        </w:rPr>
        <w:t>Net Retention</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premium retention is summarized by segment as follows:</w:t>
      </w:r>
    </w:p>
    <w:tbl>
      <w:tblPr>
        <w:tblW w:w="6942" w:type="dxa"/>
        <w:jc w:val="left"/>
        <w:tblInd w:w="0" w:type="dxa"/>
        <w:tblLayout w:type="fixed"/>
        <w:tblCellMar>
          <w:top w:w="28" w:type="dxa"/>
          <w:left w:w="28" w:type="dxa"/>
          <w:bottom w:w="28" w:type="dxa"/>
          <w:right w:w="28" w:type="dxa"/>
        </w:tblCellMar>
      </w:tblPr>
      <w:tblGrid>
        <w:gridCol w:w="911"/>
        <w:gridCol w:w="801"/>
        <w:gridCol w:w="808"/>
        <w:gridCol w:w="255"/>
        <w:gridCol w:w="256"/>
        <w:gridCol w:w="333"/>
        <w:gridCol w:w="134"/>
        <w:gridCol w:w="134"/>
        <w:gridCol w:w="134"/>
        <w:gridCol w:w="255"/>
        <w:gridCol w:w="256"/>
        <w:gridCol w:w="333"/>
        <w:gridCol w:w="109"/>
        <w:gridCol w:w="109"/>
        <w:gridCol w:w="109"/>
        <w:gridCol w:w="255"/>
        <w:gridCol w:w="256"/>
        <w:gridCol w:w="292"/>
        <w:gridCol w:w="117"/>
        <w:gridCol w:w="117"/>
        <w:gridCol w:w="117"/>
        <w:gridCol w:w="255"/>
        <w:gridCol w:w="256"/>
        <w:gridCol w:w="340"/>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premium retention for the Excess and Surplus Lines segment in the three and six months ended June 30, 2025 was impacted by $2.7 million and $5.8 million ($1.2 million in each of the respective three and six month prior year periods) of premium adjustments associated with prior years including reinstatement premium which reduced net written premiums and the net retention ratio.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net premium retention for the fronting business in the Specialty Admitted Insurance segment declined in the three and six months ended June 30, 2025 as compared to the respective prior year periods due to the mix of business, including the impact of certain non-renewals in our fronting business, and changes in reinsurance as coverages renew.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combined ratios by segment:</w:t>
      </w:r>
    </w:p>
    <w:tbl>
      <w:tblPr>
        <w:tblW w:w="7152" w:type="dxa"/>
        <w:jc w:val="left"/>
        <w:tblInd w:w="0" w:type="dxa"/>
        <w:tblLayout w:type="fixed"/>
        <w:tblCellMar>
          <w:top w:w="28" w:type="dxa"/>
          <w:left w:w="28" w:type="dxa"/>
          <w:bottom w:w="28" w:type="dxa"/>
          <w:right w:w="28" w:type="dxa"/>
        </w:tblCellMar>
      </w:tblPr>
      <w:tblGrid>
        <w:gridCol w:w="911"/>
        <w:gridCol w:w="801"/>
        <w:gridCol w:w="808"/>
        <w:gridCol w:w="307"/>
        <w:gridCol w:w="309"/>
        <w:gridCol w:w="333"/>
        <w:gridCol w:w="134"/>
        <w:gridCol w:w="134"/>
        <w:gridCol w:w="134"/>
        <w:gridCol w:w="255"/>
        <w:gridCol w:w="256"/>
        <w:gridCol w:w="333"/>
        <w:gridCol w:w="109"/>
        <w:gridCol w:w="109"/>
        <w:gridCol w:w="109"/>
        <w:gridCol w:w="307"/>
        <w:gridCol w:w="309"/>
        <w:gridCol w:w="292"/>
        <w:gridCol w:w="117"/>
        <w:gridCol w:w="117"/>
        <w:gridCol w:w="117"/>
        <w:gridCol w:w="255"/>
        <w:gridCol w:w="256"/>
        <w:gridCol w:w="340"/>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Excess and Surplus Lines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Results for the Excess and Surplus Lines segment are as follows:</w:t>
      </w:r>
    </w:p>
    <w:tbl>
      <w:tblPr>
        <w:tblW w:w="10205" w:type="dxa"/>
        <w:jc w:val="left"/>
        <w:tblInd w:w="0" w:type="dxa"/>
        <w:tblLayout w:type="fixed"/>
        <w:tblCellMar>
          <w:top w:w="28" w:type="dxa"/>
          <w:left w:w="28" w:type="dxa"/>
          <w:bottom w:w="28" w:type="dxa"/>
          <w:right w:w="28" w:type="dxa"/>
        </w:tblCellMar>
      </w:tblPr>
      <w:tblGrid>
        <w:gridCol w:w="751"/>
        <w:gridCol w:w="430"/>
        <w:gridCol w:w="433"/>
        <w:gridCol w:w="211"/>
        <w:gridCol w:w="826"/>
        <w:gridCol w:w="271"/>
        <w:gridCol w:w="109"/>
        <w:gridCol w:w="109"/>
        <w:gridCol w:w="109"/>
        <w:gridCol w:w="211"/>
        <w:gridCol w:w="826"/>
        <w:gridCol w:w="271"/>
        <w:gridCol w:w="109"/>
        <w:gridCol w:w="109"/>
        <w:gridCol w:w="109"/>
        <w:gridCol w:w="254"/>
        <w:gridCol w:w="257"/>
        <w:gridCol w:w="367"/>
        <w:gridCol w:w="109"/>
        <w:gridCol w:w="109"/>
        <w:gridCol w:w="109"/>
        <w:gridCol w:w="211"/>
        <w:gridCol w:w="826"/>
        <w:gridCol w:w="271"/>
        <w:gridCol w:w="109"/>
        <w:gridCol w:w="109"/>
        <w:gridCol w:w="109"/>
        <w:gridCol w:w="211"/>
        <w:gridCol w:w="826"/>
        <w:gridCol w:w="271"/>
        <w:gridCol w:w="109"/>
        <w:gridCol w:w="109"/>
        <w:gridCol w:w="109"/>
        <w:gridCol w:w="212"/>
        <w:gridCol w:w="213"/>
        <w:gridCol w:w="421"/>
      </w:tblGrid>
      <w:tr>
        <w:trPr/>
        <w:tc>
          <w:tcPr>
            <w:tcW w:w="7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9.6 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profit </w:t>
            </w:r>
            <w:r>
              <w:rPr>
                <w:rFonts w:ascii="Times New Roman;serif" w:hAnsi="Times New Roman;serif"/>
                <w:b w:val="false"/>
                <w:i/>
                <w:color w:val="000000"/>
                <w:sz w:val="16"/>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(6.2)</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Ratios:</w:t>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Profit is a non-GAAP Measure. See “Reconciliation of Non-GAAP Measures.”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Excess and Surplus Lines segment produced underwriting profits of $11.7 million and $6.4 million (combined ratios of 91.7% and 95.4%) in the three months ended June 30, 2025 and 2024, respectively. The underwriting results for the respective three month periods were impacted by $2.7 million and $1.2 million of premium adjustments associated with prior years including reinstatement premium which reduced net written and net earned premiums, and underwriting profit. The premium adjustments increased the segment combined ratios by 1.7 and 0.8 percentage points,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ratio for the three months ended June 30, 2025 improved compared to the ratio for the prior year period primarily due to less net adverse reserve development on prior accident years (excluding adverse prior year development that is subject to retroactive reinsurance accounting - see discussion above) which was $2.3 million or 1.6 points adverse in the three months ended June 30, 2025 compared to $10.7 million or 7.6 points adverse in the three months ended June 30, 2024. The adverse development in the prior year period included $9.7 million that was subject to the E&amp;S ADC. The E&amp;S ADC was effective January 1, 2024, but closed on July 2, 2024. As such, recoveries were recognized beginning in the third quarter of 2024. The premium adjustments associated with prior years including reinstatement premium increased the respective loss ratios by 1.2 and 0.6 percentage points.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 increased from 23.1% in the prior year quarter to 25.3% in the current year quarter due to the impact of the premium adjustments associated with prior years including reinstatement premium, lower ceding commissions due to changes in reinsurance treaty structure, and higher expenses for outside consulting, software, and bad debts. The premium adjustments increased the segment expense ratio by 0.5 and 0.2 percentage points in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the Excess and Surplus Lines segment produced underwriting profits of $23.4 million and $24.9 million (combined ratios of 91.6% and 91.3%), respectively. The underwriting results were impacted by $5.8 million and $1.2 million, respectively, of premium adjustments associated with prior years including reinstatement premium which reduced net written and net earned premiums, and underwriting profit. The premium adjustments increased the segment combined ratio by 1.9 and 0.4 in the respective six-month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six-month loss ratios include net reserve development on prior accident years (excluding adverse prior year development that is subject to retroactive reinsurance accounting - see discussion above) that was $2.3 million or 0.8 points adverse for the six months ended June 30, 2025 compared to $10.7 million or 3.7 points adverse in the six months ended June 30, 2024. The premium adjustments increased the segment loss ratio by 1.3 and 0.3 in the respective six-month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 increased from 23.1% for the six months ended June 30, 2024 to 26.0% in the corresponding current year period reflecting lower net earned premium, including the impact of the premium adjustments associated with prior years including reinstatement premium, lower ceding commissions due to changes in reinsurance treaty structure, and higher expenses for compensation, outside consulting, software, and bad debts. The premium adjustments increased the segment expense ratio by 0.6 and 0.1 percentage points in the respective six-month periods.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Specialty Admitted Insurance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Results for the Specialty Admitted Insurance segment are as follows:</w:t>
      </w:r>
    </w:p>
    <w:tbl>
      <w:tblPr>
        <w:tblW w:w="10205" w:type="dxa"/>
        <w:jc w:val="left"/>
        <w:tblInd w:w="0" w:type="dxa"/>
        <w:tblLayout w:type="fixed"/>
        <w:tblCellMar>
          <w:top w:w="28" w:type="dxa"/>
          <w:left w:w="28" w:type="dxa"/>
          <w:bottom w:w="28" w:type="dxa"/>
          <w:right w:w="28" w:type="dxa"/>
        </w:tblCellMar>
      </w:tblPr>
      <w:tblGrid>
        <w:gridCol w:w="718"/>
        <w:gridCol w:w="430"/>
        <w:gridCol w:w="433"/>
        <w:gridCol w:w="211"/>
        <w:gridCol w:w="721"/>
        <w:gridCol w:w="271"/>
        <w:gridCol w:w="109"/>
        <w:gridCol w:w="109"/>
        <w:gridCol w:w="109"/>
        <w:gridCol w:w="211"/>
        <w:gridCol w:w="826"/>
        <w:gridCol w:w="271"/>
        <w:gridCol w:w="109"/>
        <w:gridCol w:w="109"/>
        <w:gridCol w:w="109"/>
        <w:gridCol w:w="269"/>
        <w:gridCol w:w="269"/>
        <w:gridCol w:w="367"/>
        <w:gridCol w:w="109"/>
        <w:gridCol w:w="109"/>
        <w:gridCol w:w="109"/>
        <w:gridCol w:w="211"/>
        <w:gridCol w:w="826"/>
        <w:gridCol w:w="271"/>
        <w:gridCol w:w="109"/>
        <w:gridCol w:w="109"/>
        <w:gridCol w:w="109"/>
        <w:gridCol w:w="211"/>
        <w:gridCol w:w="826"/>
        <w:gridCol w:w="271"/>
        <w:gridCol w:w="109"/>
        <w:gridCol w:w="109"/>
        <w:gridCol w:w="109"/>
        <w:gridCol w:w="269"/>
        <w:gridCol w:w="269"/>
        <w:gridCol w:w="419"/>
      </w:tblGrid>
      <w:tr>
        <w:trPr/>
        <w:tc>
          <w:tcPr>
            <w:tcW w:w="71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4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(32.9)</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(45.1)</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(46.5)</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(40.4)</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(21.3)</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profit</w:t>
            </w:r>
            <w:r>
              <w:rPr>
                <w:color w:val="000000"/>
              </w:rPr>
              <w:t xml:space="preserve"> </w:t>
            </w:r>
            <w:r>
              <w:rPr>
                <w:rFonts w:ascii="Times New Roman;serif" w:hAnsi="Times New Roman;serif"/>
                <w:b w:val="false"/>
                <w:i/>
                <w:color w:val="000000"/>
                <w:sz w:val="16"/>
              </w:rPr>
              <w:t>(1), (2)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Ratios:</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year loss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Profit is a non-GAAP Measure. See “Reconciliation of Non-GAAP Measures.”</w:t>
      </w:r>
    </w:p>
    <w:p>
      <w:pPr>
        <w:pStyle w:val="TextBody"/>
        <w:bidi w:val="0"/>
        <w:spacing w:lineRule="auto" w:line="288" w:before="0" w:after="120"/>
        <w:ind w:left="0" w:right="0" w:hanging="360"/>
        <w:jc w:val="left"/>
        <w:rPr/>
      </w:pPr>
      <w:r>
        <w:rPr>
          <w:rFonts w:ascii="Times New Roman;serif" w:hAnsi="Times New Roman;serif"/>
          <w:b w:val="false"/>
          <w:i/>
          <w:color w:val="000000"/>
          <w:sz w:val="20"/>
        </w:rPr>
        <w:t>(2)Underwriting results include gross fee income of $3.9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$8.3 million for the three and six months ended June 30, 2025 respectively ($5.6 million</w:t>
      </w:r>
      <w:r>
        <w:rPr>
          <w:color w:val="000000"/>
        </w:rPr>
        <w:t xml:space="preserve"> </w:t>
      </w:r>
      <w:r>
        <w:rPr>
          <w:rFonts w:ascii="Times New Roman;serif" w:hAnsi="Times New Roman;serif"/>
          <w:b w:val="false"/>
          <w:i/>
          <w:color w:val="000000"/>
          <w:sz w:val="20"/>
        </w:rPr>
        <w:t>and $10.9 million in the respective prior year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Specialty Admitted Insurance segment reported underwriting losses of $1.4 million and $1.7 million in the three and six months ended June 30, 2025, respectively, compared to underwriting profits of $3.4 million and $4.2 million in the three and six months ended June 30, 2024, respectively. Net earned premium and fee income declined compared to the three and six month periods in the prior year due to the non-renewal of several programs, reflective of the Company's strategy to remain opportunistic in the current market environment and manage the segment to retain minimal risk. The segment loss ratios were impacted by net development in our loss estimates for prior accident years that was $700,000 and $579,000 adverse in the three and six months ended June 30, 2025, respectively, compared to $4,000 and $442,000 favorable in the three and six months ended June 30, 2024, respectively. The segment expense ratios in the prior year benefited from certain sliding scale and other adjustments on certain programs which lowered commission expense and the segment expense ratio in the prior year.</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Corporate and Other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Other operating expenses for the Corporate and Other segment include personnel costs associated with the Bermuda and U.S. holding companies, professional fees, long-term incentive compensation (including share-based compensation) for the full Company, public company and various other corporate expenses. The expenses are included in our calculation of consolidated underwriting profit, and in our consolidated expense ratio and combined ratio. Total operating expenses of the Corporate and Other segment were $8.2 million and $18.9 million for the three and six months ended</w:t>
      </w:r>
      <w:r>
        <w:rPr>
          <w:color w:val="000000"/>
        </w:rPr>
        <w:t xml:space="preserve"> </w:t>
      </w:r>
      <w:r>
        <w:rPr>
          <w:rFonts w:ascii="Times New Roman;serif" w:hAnsi="Times New Roman;serif"/>
          <w:b w:val="false"/>
          <w:color w:val="000000"/>
          <w:sz w:val="20"/>
        </w:rPr>
        <w:t xml:space="preserve">June 30, 2025, respectively ($8.6 million and $19.8 million in the respective prior year periods). The reduction in operating expenses from the prior year periods was primarily attributable to reduced compensation expenses and lower insurance and financial audit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20"/>
        <w:jc w:val="left"/>
        <w:rPr>
          <w:rFonts w:ascii="Times New Roman;serif" w:hAnsi="Times New Roman;serif"/>
          <w:b/>
          <w:i/>
          <w:color w:val="000000"/>
          <w:sz w:val="20"/>
        </w:rPr>
      </w:pPr>
      <w:r>
        <w:rPr>
          <w:rFonts w:ascii="Times New Roman;serif" w:hAnsi="Times New Roman;serif"/>
          <w:b/>
          <w:i/>
          <w:color w:val="000000"/>
          <w:sz w:val="20"/>
        </w:rPr>
        <w:t>Investing Results</w:t>
      </w:r>
    </w:p>
    <w:p>
      <w:pPr>
        <w:pStyle w:val="TextBody"/>
        <w:bidi w:val="0"/>
        <w:spacing w:lineRule="auto" w:line="288" w:before="0" w:after="120"/>
        <w:ind w:left="0" w:right="0" w:firstLine="360"/>
        <w:jc w:val="both"/>
        <w:rPr/>
      </w:pPr>
      <w:r>
        <w:rPr>
          <w:rFonts w:ascii="Times New Roman;serif" w:hAnsi="Times New Roman;serif"/>
          <w:b w:val="false"/>
          <w:color w:val="000000"/>
          <w:sz w:val="20"/>
        </w:rPr>
        <w:t>Net investment income was $20.5 million and $40.5 million for the three and six months ended</w:t>
      </w:r>
      <w:r>
        <w:rPr>
          <w:color w:val="000000"/>
        </w:rPr>
        <w:t xml:space="preserve"> </w:t>
      </w:r>
      <w:r>
        <w:rPr>
          <w:rFonts w:ascii="Times New Roman;serif" w:hAnsi="Times New Roman;serif"/>
          <w:b w:val="false"/>
          <w:color w:val="000000"/>
          <w:sz w:val="20"/>
        </w:rPr>
        <w:t>June 30, 2025, respectively ($24.9 million and $47.6 million in the respective prior year periods). The Company's private investments generated income of $986,000 and $1.2 million for the three and six months ended</w:t>
      </w:r>
      <w:r>
        <w:rPr>
          <w:color w:val="000000"/>
        </w:rPr>
        <w:t xml:space="preserve"> </w:t>
      </w:r>
      <w:r>
        <w:rPr>
          <w:rFonts w:ascii="Times New Roman;serif" w:hAnsi="Times New Roman;serif"/>
          <w:b w:val="false"/>
          <w:color w:val="000000"/>
          <w:sz w:val="20"/>
        </w:rPr>
        <w:t>June 30, 2025, respectively (income of $1.9 million and $1.8 million in the respective prior year periods). Excluding private investments, our net investment income for the three and six months ended June 30, 2025 decreased 15.2% and 14.1%, respectively, from the three and six month periods in the prior year principally due to lower invested assets following the funding of strategic initiatives during the last half of 2024 including the reinsurance premiums paid to enter the E&amp;S ADC and the E&amp;S Top Up ADC, as well as lower yields. The average duration of our portfolio excluding restricted cash equivalents was 3.5 years at June 30, 2025.</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Major categories of the Company’s net investment income are summarized as follows:</w:t>
      </w:r>
    </w:p>
    <w:tbl>
      <w:tblPr>
        <w:tblW w:w="10205" w:type="dxa"/>
        <w:jc w:val="left"/>
        <w:tblInd w:w="0" w:type="dxa"/>
        <w:tblLayout w:type="fixed"/>
        <w:tblCellMar>
          <w:top w:w="28" w:type="dxa"/>
          <w:left w:w="28" w:type="dxa"/>
          <w:bottom w:w="28" w:type="dxa"/>
          <w:right w:w="28" w:type="dxa"/>
        </w:tblCellMar>
      </w:tblPr>
      <w:tblGrid>
        <w:gridCol w:w="1880"/>
        <w:gridCol w:w="1564"/>
        <w:gridCol w:w="156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8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equivalents and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annualized gross investment yields:</w:t>
      </w:r>
    </w:p>
    <w:tbl>
      <w:tblPr>
        <w:tblW w:w="6132" w:type="dxa"/>
        <w:jc w:val="left"/>
        <w:tblInd w:w="0" w:type="dxa"/>
        <w:tblLayout w:type="fixed"/>
        <w:tblCellMar>
          <w:top w:w="28" w:type="dxa"/>
          <w:left w:w="28" w:type="dxa"/>
          <w:bottom w:w="28" w:type="dxa"/>
          <w:right w:w="28" w:type="dxa"/>
        </w:tblCellMar>
      </w:tblPr>
      <w:tblGrid>
        <w:gridCol w:w="772"/>
        <w:gridCol w:w="678"/>
        <w:gridCol w:w="680"/>
        <w:gridCol w:w="203"/>
        <w:gridCol w:w="203"/>
        <w:gridCol w:w="333"/>
        <w:gridCol w:w="134"/>
        <w:gridCol w:w="134"/>
        <w:gridCol w:w="134"/>
        <w:gridCol w:w="203"/>
        <w:gridCol w:w="203"/>
        <w:gridCol w:w="333"/>
        <w:gridCol w:w="109"/>
        <w:gridCol w:w="109"/>
        <w:gridCol w:w="109"/>
        <w:gridCol w:w="203"/>
        <w:gridCol w:w="203"/>
        <w:gridCol w:w="292"/>
        <w:gridCol w:w="117"/>
        <w:gridCol w:w="117"/>
        <w:gridCol w:w="117"/>
        <w:gridCol w:w="203"/>
        <w:gridCol w:w="203"/>
        <w:gridCol w:w="34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invested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our total cash and invested assets of $1,936.5 million at June 30, 2025 (excluding restricted cash equivalents), $220.0 million represents the cash and cash equivalents portion of the portfolio. The majority of the portfolio, or $1,300.2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$158.9 million of bank loan participations, $88.0 million of equity securities, $111.2 million of short-term investments, and $58.1 million of other invested assets.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serif" w:hAnsi="Times New Roman;serif"/>
          <w:b w:val="false"/>
          <w:color w:val="231F20"/>
          <w:sz w:val="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w:t>
      </w:r>
      <w:r>
        <w:rPr>
          <w:rFonts w:ascii="Times New Roman;serif" w:hAnsi="Times New Roman;serif"/>
          <w:b w:val="false"/>
          <w:color w:val="000000"/>
          <w:sz w:val="20"/>
        </w:rPr>
        <w:t>At June 30, 2025 and December 31, 2024, the fair market value of these securities was $158.9 million and $142.4 million,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recognized net realized and unrealized investment losses of $1.7 million ($352,000 of net realized and unrealized investment losses for the three months ended June 30, 2025), including $767,000 of net unrealized gains on bank loan participations, $68,000 of net unrealized gains for the change in the fair value of equity securities, $2.8 million of net realized investment losses on the sale of bank loan participations, $245,000 of net realized investment gains on the sale of equity securities, and $25,000 of net realized investment gains on the sale of fixed maturity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the Company recognized net realized and unrealized investment gains of $2.3 million ($2.3 million of net realized and unrealized losses for the three months ended June 30, 2024), including $394,000 of net unrealized losses on bank loan participations, $3.1 million of net unrealized gains for the change in the fair value of equity securities, $730,000 of net realized investment losses on the sale of bank loan participations, $1.4 million of net realized investment gains on the sale of equity securities, and $1.1 million of net realized investment losses on the sale of fixed maturity securities.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 conjunction with its outside investment managers, the Company performs quarterly reviews of all securities within its investment portfolio to determine whether any impairment has occurred. As a result of this review, management concluded that there were no credit-related impairments of fixed maturity securities at June 30, 2025, December 31, 2024, or June 30, 2024. At June 30, 2025, 100.0% of the Company’s fixed maturity security portfolio was rated “BBB-” or better (“investment grade”) by Standard &amp; Poor’s or received an equivalent rating from another nationally recognized rating agency. </w:t>
      </w:r>
      <w:r>
        <w:rPr>
          <w:rFonts w:ascii="Times New Roman;serif" w:hAnsi="Times New Roman;serif"/>
          <w:b w:val="false"/>
          <w:color w:val="231F20"/>
          <w:sz w:val="20"/>
        </w:rPr>
        <w:t>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our available-for-sale fixed maturity securities were as follows:</w:t>
      </w:r>
    </w:p>
    <w:tbl>
      <w:tblPr>
        <w:tblW w:w="10393" w:type="dxa"/>
        <w:jc w:val="left"/>
        <w:tblInd w:w="0" w:type="dxa"/>
        <w:tblLayout w:type="fixed"/>
        <w:tblCellMar>
          <w:top w:w="28" w:type="dxa"/>
          <w:left w:w="28" w:type="dxa"/>
          <w:bottom w:w="28" w:type="dxa"/>
          <w:right w:w="28" w:type="dxa"/>
        </w:tblCellMar>
      </w:tblPr>
      <w:tblGrid>
        <w:gridCol w:w="1117"/>
        <w:gridCol w:w="296"/>
        <w:gridCol w:w="298"/>
        <w:gridCol w:w="211"/>
        <w:gridCol w:w="976"/>
        <w:gridCol w:w="109"/>
        <w:gridCol w:w="109"/>
        <w:gridCol w:w="109"/>
        <w:gridCol w:w="109"/>
        <w:gridCol w:w="211"/>
        <w:gridCol w:w="976"/>
        <w:gridCol w:w="109"/>
        <w:gridCol w:w="109"/>
        <w:gridCol w:w="109"/>
        <w:gridCol w:w="109"/>
        <w:gridCol w:w="307"/>
        <w:gridCol w:w="309"/>
        <w:gridCol w:w="292"/>
        <w:gridCol w:w="109"/>
        <w:gridCol w:w="109"/>
        <w:gridCol w:w="109"/>
        <w:gridCol w:w="211"/>
        <w:gridCol w:w="976"/>
        <w:gridCol w:w="109"/>
        <w:gridCol w:w="109"/>
        <w:gridCol w:w="109"/>
        <w:gridCol w:w="109"/>
        <w:gridCol w:w="211"/>
        <w:gridCol w:w="976"/>
        <w:gridCol w:w="109"/>
        <w:gridCol w:w="109"/>
        <w:gridCol w:w="109"/>
        <w:gridCol w:w="109"/>
        <w:gridCol w:w="307"/>
        <w:gridCol w:w="309"/>
        <w:gridCol w:w="339"/>
      </w:tblGrid>
      <w:tr>
        <w:trPr/>
        <w:tc>
          <w:tcPr>
            <w:tcW w:w="11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br/>
              <w:t>Fair Value</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following table sets forth the composition of the Company’s portfolio of available-for-sale fixed maturity securities by rating as of </w:t>
      </w:r>
      <w:r>
        <w:rPr>
          <w:rFonts w:ascii="Times New Roman;serif" w:hAnsi="Times New Roman;serif"/>
          <w:b w:val="false"/>
          <w:color w:val="231F20"/>
          <w:sz w:val="20"/>
        </w:rPr>
        <w:t>June 30, 2025</w:t>
      </w:r>
      <w:r>
        <w:rPr>
          <w:rFonts w:ascii="Times New Roman;serif" w:hAnsi="Times New Roman;serif"/>
          <w:b w:val="false"/>
          <w:color w:val="000000"/>
          <w:sz w:val="20"/>
        </w:rPr>
        <w:t>:</w:t>
      </w:r>
    </w:p>
    <w:tbl>
      <w:tblPr>
        <w:tblW w:w="6234" w:type="dxa"/>
        <w:jc w:val="left"/>
        <w:tblInd w:w="0" w:type="dxa"/>
        <w:tblLayout w:type="fixed"/>
        <w:tblCellMar>
          <w:top w:w="28" w:type="dxa"/>
          <w:left w:w="28" w:type="dxa"/>
          <w:bottom w:w="28" w:type="dxa"/>
          <w:right w:w="28" w:type="dxa"/>
        </w:tblCellMar>
      </w:tblPr>
      <w:tblGrid>
        <w:gridCol w:w="1242"/>
        <w:gridCol w:w="1094"/>
        <w:gridCol w:w="1098"/>
        <w:gridCol w:w="211"/>
        <w:gridCol w:w="976"/>
        <w:gridCol w:w="109"/>
        <w:gridCol w:w="109"/>
        <w:gridCol w:w="109"/>
        <w:gridCol w:w="109"/>
        <w:gridCol w:w="307"/>
        <w:gridCol w:w="309"/>
        <w:gridCol w:w="561"/>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Standard &amp; Poor’s or Equivalent Designation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AAA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BBB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our available-for-sale investments in fixed maturity securities summarized by contractual maturity are as follows:</w:t>
      </w:r>
    </w:p>
    <w:tbl>
      <w:tblPr>
        <w:tblW w:w="7804" w:type="dxa"/>
        <w:jc w:val="left"/>
        <w:tblInd w:w="0" w:type="dxa"/>
        <w:tblLayout w:type="fixed"/>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8"/>
        <w:gridCol w:w="308"/>
        <w:gridCol w:w="597"/>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 Value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29.6 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15.8 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9.6 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30.5 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12.1 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and Expense</w:t>
      </w:r>
    </w:p>
    <w:p>
      <w:pPr>
        <w:pStyle w:val="TextBody"/>
        <w:bidi w:val="0"/>
        <w:spacing w:lineRule="auto" w:line="288" w:before="10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and (expense) included the following:</w:t>
      </w:r>
    </w:p>
    <w:tbl>
      <w:tblPr>
        <w:tblW w:w="9375" w:type="dxa"/>
        <w:jc w:val="left"/>
        <w:tblInd w:w="0" w:type="dxa"/>
        <w:tblLayout w:type="fixed"/>
        <w:tblCellMar>
          <w:top w:w="28" w:type="dxa"/>
          <w:left w:w="28" w:type="dxa"/>
          <w:bottom w:w="28" w:type="dxa"/>
          <w:right w:w="28" w:type="dxa"/>
        </w:tblCellMar>
      </w:tblPr>
      <w:tblGrid>
        <w:gridCol w:w="1559"/>
        <w:gridCol w:w="1371"/>
        <w:gridCol w:w="1375"/>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incentive rebates - Excess and Surplus Lines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erif" w:hAnsi="Times New Roman;serif"/>
          <w:b w:val="false"/>
          <w:color w:val="231F20"/>
          <w:sz w:val="20"/>
        </w:rPr>
        <w:t>The n</w:t>
      </w:r>
      <w:r>
        <w:rPr>
          <w:rFonts w:ascii="Times New Roman;serif" w:hAnsi="Times New Roman;serif"/>
          <w:b w:val="false"/>
          <w:color w:val="000000"/>
          <w:sz w:val="20"/>
        </w:rPr>
        <w:t>on-operating expenses above primarily consist of legal and other professional fees and other expenses related to various strategic initiatives and litigation that the Company is involved in.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20"/>
        <w:ind w:left="0" w:right="0" w:firstLine="360"/>
        <w:jc w:val="both"/>
        <w:rPr/>
      </w:pPr>
      <w:r>
        <w:rPr>
          <w:rFonts w:ascii="Times New Roman;serif" w:hAnsi="Times New Roman;serif"/>
          <w:b w:val="false"/>
          <w:color w:val="000000"/>
          <w:sz w:val="20"/>
        </w:rPr>
        <w:t>Interest expense was $5.8 million and $11.3 million for the three and six</w:t>
      </w:r>
      <w:r>
        <w:rPr>
          <w:color w:val="231F20"/>
        </w:rPr>
        <w:t xml:space="preserve"> </w:t>
      </w:r>
      <w:r>
        <w:rPr>
          <w:rFonts w:ascii="Times New Roman;serif" w:hAnsi="Times New Roman;serif"/>
          <w:b w:val="false"/>
          <w:color w:val="231F20"/>
          <w:sz w:val="20"/>
        </w:rPr>
        <w:t>months ended June 30, 2025, respectively (</w:t>
      </w:r>
      <w:r>
        <w:rPr>
          <w:rFonts w:ascii="Times New Roman;serif" w:hAnsi="Times New Roman;serif"/>
          <w:b w:val="false"/>
          <w:color w:val="000000"/>
          <w:sz w:val="20"/>
        </w:rPr>
        <w:t>$6.3 million</w:t>
      </w:r>
      <w:r>
        <w:rPr>
          <w:color w:val="231F20"/>
        </w:rPr>
        <w:t xml:space="preserve"> </w:t>
      </w:r>
      <w:r>
        <w:rPr>
          <w:rFonts w:ascii="Times New Roman;serif" w:hAnsi="Times New Roman;serif"/>
          <w:b w:val="false"/>
          <w:color w:val="000000"/>
          <w:sz w:val="20"/>
        </w:rPr>
        <w:t>and $12.8 million in the respective prior year periods)</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The lower expense in the current year periods is primarily attributable to lower interest rates. See “—Liquidity and Capital Resources—Sources and Uses of Funds” for more information regarding our senior bank debt facilities and trust preferred securities.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Amortization of Intangibles and Impairment of Intangible Assets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recorded $91,000 of amortization of intangible assets in each of the three months ended </w:t>
      </w:r>
      <w:r>
        <w:rPr>
          <w:rFonts w:ascii="Times New Roman;serif" w:hAnsi="Times New Roman;serif"/>
          <w:b w:val="false"/>
          <w:color w:val="231F20"/>
          <w:sz w:val="20"/>
        </w:rPr>
        <w:t>June 30, 2025</w:t>
      </w:r>
      <w:r>
        <w:rPr>
          <w:color w:val="000000"/>
        </w:rPr>
        <w:t xml:space="preserve"> </w:t>
      </w:r>
      <w:r>
        <w:rPr>
          <w:rFonts w:ascii="Times New Roman;serif" w:hAnsi="Times New Roman;serif"/>
          <w:b w:val="false"/>
          <w:color w:val="000000"/>
          <w:sz w:val="20"/>
        </w:rPr>
        <w:t xml:space="preserve">and 2024 ($182,000 in each of the six months ended </w:t>
      </w:r>
      <w:r>
        <w:rPr>
          <w:rFonts w:ascii="Times New Roman;serif" w:hAnsi="Times New Roman;serif"/>
          <w:b w:val="false"/>
          <w:color w:val="231F20"/>
          <w:sz w:val="20"/>
        </w:rPr>
        <w:t>June 30, 2025</w:t>
      </w:r>
      <w:r>
        <w:rPr>
          <w:color w:val="000000"/>
        </w:rPr>
        <w:t xml:space="preserve"> </w:t>
      </w:r>
      <w:r>
        <w:rPr>
          <w:rFonts w:ascii="Times New Roman;serif" w:hAnsi="Times New Roman;serif"/>
          <w:b w:val="false"/>
          <w:color w:val="000000"/>
          <w:sz w:val="20"/>
        </w:rPr>
        <w:t>and 2024 ).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20"/>
        <w:ind w:left="0" w:right="0" w:firstLine="405"/>
        <w:jc w:val="both"/>
        <w:rPr/>
      </w:pPr>
      <w:r>
        <w:rPr>
          <w:rFonts w:ascii="Times New Roman;serif" w:hAnsi="Times New Roman;serif"/>
          <w:b w:val="false"/>
          <w:color w:val="000000"/>
          <w:sz w:val="20"/>
        </w:rPr>
        <w:t>Our effective tax rate fluctuates from period to period based on the relative mix of income from continuing operations reported by country and the respective tax rates imposed by each tax jurisdiction. Statutory tax rates are 0% and 21% for Bermuda and the U.S. For the three and six</w:t>
      </w:r>
      <w:r>
        <w:rPr>
          <w:color w:val="231F20"/>
        </w:rPr>
        <w:t xml:space="preserve"> </w:t>
      </w:r>
      <w:r>
        <w:rPr>
          <w:rFonts w:ascii="Times New Roman;serif" w:hAnsi="Times New Roman;serif"/>
          <w:b w:val="false"/>
          <w:color w:val="231F20"/>
          <w:sz w:val="20"/>
        </w:rPr>
        <w:t>months ended June 30, 2025</w:t>
      </w:r>
      <w:r>
        <w:rPr>
          <w:rFonts w:ascii="Times New Roman;serif" w:hAnsi="Times New Roman;serif"/>
          <w:b w:val="false"/>
          <w:color w:val="000000"/>
          <w:sz w:val="20"/>
        </w:rPr>
        <w:t>, our effective tax rate on income from continuing operations was 30.1% and 31.0%, respectively (28.3% and 28.5% in the respective prior year periods). The Company does not receive a U.S. tax deduction for losses at JRG Holdings, our only Bermuda entity. JRG Holdings had losses in all periods presented primarily due to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Reserves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indicator of reserve strength that we monitor is the percentage of our gross and net loss reserves that are comprised of incurred but not reported (“IBNR”)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gross reserve for losses and loss adjustment expenses at June 30, 2025 was $3,076.5 million. Of this amount, 74.4% relates to amounts that are IBNR. This amount was 73.3% at December 31, 2024. The Company’s gross reserves for losses and loss adjustment expenses by segment are summarized as follows:</w:t>
      </w:r>
    </w:p>
    <w:tbl>
      <w:tblPr>
        <w:tblW w:w="695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97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Reserves at June 30, 2025</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2025, the amount of net reserves (prior to the $1.5 million allowance for uncollectible reinsurance recoverables) of $1,089.2 million that related to IBNR was 64.1%. This amount was 63.5% at December 31, 2024. The Company’s net reserves for losses and loss adjustment expenses by segment are summarized as follows:</w:t>
      </w:r>
    </w:p>
    <w:tbl>
      <w:tblPr>
        <w:tblW w:w="680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82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Reserves at June 30, 2025</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sources of funds consist primarily of premiums written, investment income, reinsurance recoveries, proceeds from sales and redemptions of investments, borrowings on our credit facilities, and the issuance of common shares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contract means that substantial and unpredictable payments may need to be made within relatively short periods of time.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8123" w:type="dxa"/>
        <w:jc w:val="left"/>
        <w:tblInd w:w="0" w:type="dxa"/>
        <w:tblLayout w:type="fixed"/>
        <w:tblCellMar>
          <w:top w:w="28" w:type="dxa"/>
          <w:left w:w="28" w:type="dxa"/>
          <w:bottom w:w="28" w:type="dxa"/>
          <w:right w:w="28" w:type="dxa"/>
        </w:tblCellMar>
      </w:tblPr>
      <w:tblGrid>
        <w:gridCol w:w="1950"/>
        <w:gridCol w:w="1712"/>
        <w:gridCol w:w="1722"/>
        <w:gridCol w:w="211"/>
        <w:gridCol w:w="901"/>
        <w:gridCol w:w="109"/>
        <w:gridCol w:w="109"/>
        <w:gridCol w:w="109"/>
        <w:gridCol w:w="109"/>
        <w:gridCol w:w="211"/>
        <w:gridCol w:w="826"/>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restricted cash equivalents (operating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excluding restricted cash equivalents was $26.9 million for the six months ended June 30, 2025. This compares to cash provided by operating activities excluding restricted cash equivalents of $59.9 million for the six months ended June 30, 2024 (including cash provided by operating activities from continuing operations excluding restricted cash equivalents of $85.0 million and cash used in operating activities of discontinued operations of $25.1 million). The current year operating activities were impacted by timing of reinsurance settlements during the first quarter and lower premium collections in the Specialty Admitted Insurance segment due to the non-renewal of several programs.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of $133.7 million for the six months ended June 30, 2025 reflects efforts to enhance the yield in our investment portfolio by investing available cash and cash equivalents into higher yielding investments. Cash provided by investing activities of $356.6 million for the six months ended June 30, 2024 included $96.4 million of proceeds received from the sale of JRG Re (net of JRG Re's cash balances sold) and $198.0 million of proceeds from the sales of fixed maturities to provide funding for the premium due under the E&amp;S ADC agreement. Cash and cash equivalents excluding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restricted cash equivalents comprised 11.4% and 31.1% of total cash and invested assets at June 30, 2025 and 2024, respectively. Cash used in investing activities from continuing operations was $197.1 million and cash provided by investing activities of discontinued operations was $63.1 million in the prior year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of $18.3 million for the six months ended June 30, 2025 includes a $25.0 million borrowing under the Previous Credit Agreement (as defined below), $1.1 million of issuance costs paid upon the Company's entry into the Credit Agreement (as defined below), $1.1 million of dividends paid to common shareholders, $3.9 million of dividends paid on the Series A Preferred Shares, and $550,000 of payroll taxes withheld and remitted on net settlement of RSUs. Cash used in financing activities of $31.5 million for the six months ended June 30, 2024 includes a $21.5 million repayment of an unsecured loan, $3.9 million of dividends paid to common shareholders, $5.3 million of dividends paid on the Series A Preferred Shares, and $837,000 of payroll taxes withheld and remitted on net settlement of RSUs.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activity in restricted cash equivalents for the six months ended June 30, 2025 and 2024 relates to a former insured, per the terms of a collateral trust. See </w:t>
      </w:r>
      <w:r>
        <w:rPr>
          <w:rFonts w:ascii="Times New Roman;serif" w:hAnsi="Times New Roman;serif"/>
          <w:b w:val="false"/>
          <w:i/>
          <w:color w:val="000000"/>
          <w:sz w:val="20"/>
        </w:rPr>
        <w:t xml:space="preserve">Amounts Recoverable from an Indemnifying Party and Reinsurer on Legacy Commercial Auto Book </w:t>
      </w:r>
      <w:r>
        <w:rPr>
          <w:rFonts w:ascii="Times New Roman;serif" w:hAnsi="Times New Roman;serif"/>
          <w:b w:val="false"/>
          <w:color w:val="000000"/>
          <w:sz w:val="20"/>
        </w:rPr>
        <w:t>below.</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Business—U.S. Insurance Regulation—State Regulation” in the Company’s Annual Report on Form 10-K for the year ended December 31, 2024 for additional information. The maximum amount of dividends available to the U.S. holding company from our U.S. insurance subsidiaries during 2025 without regulatory approval is $64.3 million.</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Holders of the Series A Preferred Shares are entitled to a dividend at the rate of 7% of the $1,000 liquidation preference per share (the “Liquidation Preference”) per annum, paid in cash, in-kind in common shares or in Series A Preferred Shares, at our election. On October 1, 2029, and each five-year anniversary thereafter, the dividend rate will reset to a rate equal to the five-year U.S. treasury rate plus 5.2%, provided that the dividend rate shall not exceed 8.0%. Dividends accrue and are payable quarterly. Cash dividends of $3.9 million and $5.3 million were paid in the six months ended June 30, 2025 and 2024,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2025, the Bermuda holding company had $20.8 million of cash and cash equivalents. The U.S. holding company had $8.9 million of cash and invested assets, comprised of cash and cash equivalents of $5.3 million, equities of $3.1 million and other invested assets of $464,000, which are not subject to regulatory restrictions. Additionally, our U.K. intermediate holding company had no invested assets and cash of less than ten thousand dollars at June 30, 2025.</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Credit Agreements</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On June 12, 2025, JRG Holdings entered into a Credit Agreement (the “Credit Agreement”). The Credit Agreement replaced JRG Holdings’ previous Third Amended and Restated Credit Agreement dated as of July 7, 2023, as amended (the “Previous Credit Agreement”), that provided for a $212.5 million unsecured revolving credit facility and a $45.0 million secured revolving credit facility.</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Credit Agreement provides for a $212.5 million unsecured revolving credit facility available for general corporate purposes and matures on June 12, 2028. Following the sale of JRG Re, the Company no longer has a need for the secured revolving credit facility provided by the Previous Credit Agreement. The interest rates applicable to the loans under the Credit Agreement are generally based on SOFR plus a specified margin based on the Company’s Leverage Ratio (as defined in the Credit Agreement). In addition, JRG Holdings will pay an unused facility fee on each lender’s commitment.</w:t>
      </w:r>
    </w:p>
    <w:p>
      <w:pPr>
        <w:pStyle w:val="TextBody"/>
        <w:bidi w:val="0"/>
        <w:spacing w:lineRule="auto" w:line="288" w:before="0" w:after="120"/>
        <w:ind w:left="0" w:right="0" w:firstLine="360"/>
        <w:jc w:val="both"/>
        <w:rPr/>
      </w:pPr>
      <w:r>
        <w:rPr>
          <w:rFonts w:ascii="Times New Roman;serif" w:hAnsi="Times New Roman;serif"/>
          <w:b w:val="false"/>
          <w:color w:val="231F20"/>
          <w:sz w:val="20"/>
        </w:rPr>
        <w:t>At</w:t>
      </w:r>
      <w:r>
        <w:rPr>
          <w:color w:val="000000"/>
        </w:rPr>
        <w:t xml:space="preserve"> </w:t>
      </w:r>
      <w:r>
        <w:rPr>
          <w:rFonts w:ascii="Times New Roman;serif" w:hAnsi="Times New Roman;serif"/>
          <w:b w:val="false"/>
          <w:color w:val="231F20"/>
          <w:sz w:val="20"/>
        </w:rPr>
        <w:t>June 30, 2025</w:t>
      </w:r>
      <w:r>
        <w:rPr>
          <w:rFonts w:ascii="Times New Roman;serif" w:hAnsi="Times New Roman;serif"/>
          <w:b w:val="false"/>
          <w:color w:val="000000"/>
          <w:sz w:val="20"/>
        </w:rPr>
        <w:t>, JRG Holdings had a drawn balance of $210.8 million outstanding on the unsecured revolver of the Credit Agreement, including $25.0 million previously borrowed on January 27, 2025 under the Previous Credit Agreement which was contributed to our regulated insurance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Credit Agreement provides for an accordion feature that permits JRG Holdings to request that one or more lenders (without the consent of the other lenders) or new financial institutions (with the consent of the Administrative Agent) provide it with increases in the credit facility of up to an aggregate of $30.0 million, subject to satisfaction of certain conditions.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serif" w:hAnsi="Times New Roman;serif"/>
          <w:b w:val="false"/>
          <w:color w:val="000000"/>
          <w:sz w:val="20"/>
        </w:rPr>
        <w:t xml:space="preserve">with which the Company was in compliance at </w:t>
      </w:r>
      <w:r>
        <w:rPr>
          <w:rFonts w:ascii="Times New Roman;serif" w:hAnsi="Times New Roman;serif"/>
          <w:b w:val="false"/>
          <w:color w:val="231F20"/>
          <w:sz w:val="20"/>
        </w:rPr>
        <w:t>June 30, 2025.</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 connection with the Credit Agreement, James River Group Holdings UK Limited (“James River UK”), a private limited company incorporated under the Laws of England and Wales and a direct wholly owned subsidiary of JRG Holdings, and James River Group, Inc. (“James River Group”), a Delaware corporation and an indirect wholly owned subsidiary of JRG Holdings, each entered into a Continuing Guaranty of Payment dated June 12, 2025 (each, a “Payment Guaranty”). Pursuant to its respective Payment Guaranty, each of James River UK and James River Group guarantees the payment and performance of the obligations of JRG Holdings under the Credit Agreement and other loan documents.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Senior Debt and Trust Preferred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June 30, 2025, and which, among other things, restrict our ability to issue senior indebtedness secured by our U.S. holding company’s common stock or its subsidiaries’ capital stock or to issue shares of its subsidiaries’ capital stock.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nature and terms of the junior subordinated debt and trust preferred securities outstanding at June 30, 2025 (including the Company’s repurchases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Franklin</w:t>
              <w:br/>
              <w:t>Holdings II</w:t>
              <w:br/>
              <w:t>(Bermuda)</w:t>
              <w:br/>
              <w:t>Capital</w:t>
              <w:br/>
              <w:t>Trust I</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4.3%</w:t>
            </w:r>
          </w:p>
        </w:tc>
      </w:tr>
    </w:tbl>
    <w:p>
      <w:pPr>
        <w:pStyle w:val="TextBody"/>
        <w:bidi w:val="0"/>
        <w:spacing w:lineRule="auto" w:line="288" w:before="10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junior subordinated debt is currently redeemable at 100.0% of the unpaid principal amount at our option.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junior subordinated debt contains certain covenants with which we are in compliance as of June 30,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2025 and December 31, 2024, the Company's leverage ratio was 28.5% and 26.6%, respectively. The leverage ratio is defined in the Credit Agreement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James River Insurance has access to certain credit products including advances through its membership in the Federal Home Loan Bank. Any advances would be in the form of collateralized short-term borrowings not to exceed 30% of the Company's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Ceded Reinsurance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 Company also utilizes facultative reinsurance to reduce the amount of exposure it retains on individual accounts according to its guidelines for accepting risk across various industry segments, locations and types of exposure. For the six months ended June 30, 2025 and 2024, our net premium retention was 45.2% and 43.0%,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Excess and Surplus Lines segment’s ceded reinsurance in place as of June 30, 2025:</w:t>
      </w:r>
    </w:p>
    <w:tbl>
      <w:tblPr>
        <w:tblW w:w="5170"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933"/>
        <w:gridCol w:w="933"/>
        <w:gridCol w:w="1328"/>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Company Retention</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$3.2 million per occurrence.</w:t>
            </w:r>
            <w:r>
              <w:rPr>
                <w:rFonts w:ascii="Times New Roman;serif" w:hAnsi="Times New Roman;serif"/>
                <w:b w:val="false"/>
                <w:color w:val="000000"/>
                <w:sz w:val="13"/>
              </w:rPr>
              <w:t>(1)</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$1.38 million per occurrence.</w:t>
            </w:r>
            <w:r>
              <w:rPr>
                <w:rFonts w:ascii="Times New Roman;serif" w:hAnsi="Times New Roman;serif"/>
                <w:b w:val="false"/>
                <w:color w:val="000000"/>
                <w:sz w:val="13"/>
              </w:rPr>
              <w:t>(2)</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to $1.98 million per occurrence.</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$5.0 million per risk.</w:t>
            </w:r>
            <w:r>
              <w:rPr>
                <w:rFonts w:ascii="Times New Roman;serif" w:hAnsi="Times New Roman;serif"/>
                <w:b w:val="false"/>
                <w:color w:val="000000"/>
                <w:sz w:val="13"/>
              </w:rPr>
              <w:t>(3)</w:t>
            </w:r>
          </w:p>
        </w:tc>
      </w:tr>
    </w:tbl>
    <w:p>
      <w:pPr>
        <w:pStyle w:val="TextBody"/>
        <w:bidi w:val="0"/>
        <w:spacing w:lineRule="auto" w:line="288"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    Excluding Excess Casualty.</w:t>
      </w:r>
    </w:p>
    <w:p>
      <w:pPr>
        <w:pStyle w:val="TextBody"/>
        <w:bidi w:val="0"/>
        <w:spacing w:lineRule="auto" w:line="288"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(2)    Total exposure to any one claim is generally $694,000.</w:t>
      </w:r>
    </w:p>
    <w:p>
      <w:pPr>
        <w:pStyle w:val="TextBody"/>
        <w:bidi w:val="0"/>
        <w:spacing w:lineRule="auto" w:line="288" w:before="0" w:after="18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(3)    The property catastrophe reinsurance treaty has a limit of $22.0 million per event with one reinstatement.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in our Excess and Surplus Lines segment, a specialty casualty treaty providing $9.0 million in excess of $2.0 million coverage is subject to reinstatement premiums for treaty years spanning July 1, 2017 through July 1, 2022.</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the property catastrophe modeling of our Excess and Surplus Lines and Specialty Admitted segments, it would take an event greater than the 1 in 1,000 year PML to exhaust our $22.0 million property catastrophe reinsurance. In the event of a catastrophe loss exhausting our $22.0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Commercial Auto LPT with Aleka reinsures substantially all of the Excess and Surplus Lines segment’s legacy portfolio of commercial auto policies previously issued to Rasier. See “</w:t>
      </w:r>
      <w:r>
        <w:rPr>
          <w:rFonts w:ascii="Times New Roman;serif" w:hAnsi="Times New Roman;serif"/>
          <w:b w:val="false"/>
          <w:i/>
          <w:color w:val="000000"/>
          <w:sz w:val="20"/>
        </w:rPr>
        <w:t>Amounts Recoverable from an Indemnifying Party and Reinsurer on Legacy Commercial Auto Book</w:t>
      </w:r>
      <w:r>
        <w:rPr>
          <w:color w:val="000000"/>
        </w:rPr>
        <w:t xml:space="preserve">” </w:t>
      </w:r>
      <w:r>
        <w:rPr>
          <w:rFonts w:ascii="Times New Roman;serif" w:hAnsi="Times New Roman;serif"/>
          <w:b w:val="false"/>
          <w:color w:val="000000"/>
          <w:sz w:val="20"/>
        </w:rPr>
        <w:t>below for further information on this reinsurance agreement.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E&amp;S ADC with State National applies to James River’s Excess &amp; Surplus Lines segment casualty portfolio losses attaching to premium earned during 2010-2023 (both years inclusive), excluding, among others, losses related to commercial auto policies issued to a former large insured or its affiliates. See “</w:t>
      </w:r>
      <w:r>
        <w:rPr>
          <w:rFonts w:ascii="Times New Roman;serif" w:hAnsi="Times New Roman;serif"/>
          <w:b w:val="false"/>
          <w:i/>
          <w:color w:val="000000"/>
          <w:sz w:val="20"/>
        </w:rPr>
        <w:t>Combined Loss Portfolio Transfer and Adverse Development Cover</w:t>
      </w:r>
      <w:r>
        <w:rPr>
          <w:color w:val="000000"/>
        </w:rPr>
        <w:t xml:space="preserve">” </w:t>
      </w:r>
      <w:r>
        <w:rPr>
          <w:rFonts w:ascii="Times New Roman;serif" w:hAnsi="Times New Roman;serif"/>
          <w:b w:val="false"/>
          <w:color w:val="000000"/>
          <w:sz w:val="20"/>
        </w:rPr>
        <w:t>above for further information on this reinsurance agreement.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E&amp;S Top Up ADC with Enstar, through its subsidiary Cavello Bay Reinsurance Limited, reinsures 100% of the losses associated with James River’s Excess &amp; Surplus Lines segment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 See “</w:t>
      </w:r>
      <w:r>
        <w:rPr>
          <w:rFonts w:ascii="Times New Roman;serif" w:hAnsi="Times New Roman;serif"/>
          <w:b w:val="false"/>
          <w:i/>
          <w:color w:val="000000"/>
          <w:sz w:val="20"/>
        </w:rPr>
        <w:t>Enstar Strategic Partnership</w:t>
      </w:r>
      <w:r>
        <w:rPr>
          <w:color w:val="000000"/>
        </w:rPr>
        <w:t xml:space="preserve">” </w:t>
      </w:r>
      <w:r>
        <w:rPr>
          <w:rFonts w:ascii="Times New Roman;serif" w:hAnsi="Times New Roman;serif"/>
          <w:b w:val="false"/>
          <w:color w:val="000000"/>
          <w:sz w:val="20"/>
        </w:rPr>
        <w:t>above for further information on this reinsurance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Specialty Admitted Insurance segment’s ceded reinsurance in place as of June 30, 2025:</w:t>
      </w:r>
    </w:p>
    <w:tbl>
      <w:tblPr>
        <w:tblW w:w="10205" w:type="dxa"/>
        <w:jc w:val="left"/>
        <w:tblInd w:w="0" w:type="dxa"/>
        <w:tblLayout w:type="fixed"/>
        <w:tblCellMar>
          <w:top w:w="28" w:type="dxa"/>
          <w:left w:w="28" w:type="dxa"/>
          <w:bottom w:w="28" w:type="dxa"/>
          <w:right w:w="28" w:type="dxa"/>
        </w:tblCellMar>
      </w:tblPr>
      <w:tblGrid>
        <w:gridCol w:w="834"/>
        <w:gridCol w:w="734"/>
        <w:gridCol w:w="728"/>
        <w:gridCol w:w="109"/>
        <w:gridCol w:w="109"/>
        <w:gridCol w:w="109"/>
        <w:gridCol w:w="2213"/>
        <w:gridCol w:w="2213"/>
        <w:gridCol w:w="3156"/>
      </w:tblGrid>
      <w:tr>
        <w:trPr/>
        <w:tc>
          <w:tcPr>
            <w:tcW w:w="8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Coverage</w:t>
            </w:r>
          </w:p>
        </w:tc>
      </w:tr>
      <w:tr>
        <w:trPr/>
        <w:tc>
          <w:tcPr>
            <w:tcW w:w="2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programs are quota share coverage for 100% of limits up to $1.0 million liability and $1.0 million physical damage per occurrence; except for one program with a primary limit of $750,000 liability.</w:t>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Liability &amp; Professional Liability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$2.0 million per occurrence.</w:t>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Umbrella and Excess Casualty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$10.0 million per occurrence, and 100% of excess of loss coverage for limits up to $5.0 million in excess of $10.0 million.</w:t>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within Package - Programs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$40.0 million per risk.</w:t>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Quota share coverage for 82.5% of limits up to $25.0 million liability, $5.0 million hull, and $5.0 million spares per occurrence, each aircraft; and excess of loss coverage for up to $7.7 million excess of $175,000 of our 17.5% share of the quota share each occurrence.</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Specialty Admitted Insurance segment purchases reinsurance for at least 62.5% of the exposed limits on specialty admitted property-casualty business. While the segment focuses on casualty business, incidental property risk is incurred in the fronting and program business. The segment is covered for $22.0 million in excess of $3.0 million per occurrence to manage its property exposure to an approximate 1 in 1,000 year PML.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aggregate, we believe our pre-tax group-wide PML from a 1 in 1,000 year property catastrophe event would not exceed 2.5% of shareholders’ equity, inclusive of reinstatement premiums payable.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June 30, 2025, the allowance for credit losses on reinsurance recoverables was $1.5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2025, we had reinsurance recoverables on unpaid losses of $1,985.8 million (net of a $1.5 million allowance for credit losses) and reinsurance recoverables on paid losses of $123.0 million, and all material recoverable amounts were from companies with A.M. Best ratings of “A-” (Excellent) or better, or are collateralized by the reinsurer for our benefit through letters of credit or funds on deposit in trust accounts.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of Rasier and Aleka are required to post collateral equal to 102% of James River's estimate of the respective party's obligations in trusts pursuant to the terms of the Indemnity Agreements and the Commercial Auto LPT, respectively. At June 30, 2025, the total balance of collateral securing Rasier's obligations under the Indemnity Agreements was $55.3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and Aleka's obligations under the Commercial Auto LPT was $26.5 million. At June 30, 2025, the total reinsurance recoverables under the Commercial Auto LPT was $24.1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Ratings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 Best Company financial strength rating for our U.S.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A- rating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A Preferred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rate of 7% of the Liquidation Preference per annum, which may be paid in cash, in-kind in common shares or in Series A Preferred Shares, at the Company’s election.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11, 2024, the Company amended the Certificate of Designations setting forth the terms of the Series A Preferred Shares to, among other things, convert 37,500 outstanding Series A Preferred Shares with a liquidation value of $37.5 million to common shares at a per share price of $6.40. Following the conversion, 112,500 Series A Preferred Shares remain outstanding.</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common shares outstanding increased from 45,644,318 at December 31, 2024 to 45,895,335 at June 30, 2025, reflecting 251,017 common shares issued in the six months ended June 30, 2025 related to vesting of RSUs.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Share Based Compensation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$834,000 and $3.5 million of share based compensation expense in the three and six months ended June 30, 2025, respectively ($1.6 million and $4.2 million in the respective prior year periods). As of June 30, 2025, the Company had $6.9 million of unrecognized share based compensation expense expected to be charged to earnings over a weighted-average period of 2.0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w:t>
      </w:r>
    </w:p>
    <w:tbl>
      <w:tblPr>
        <w:tblW w:w="7778" w:type="dxa"/>
        <w:jc w:val="left"/>
        <w:tblInd w:w="0" w:type="dxa"/>
        <w:tblLayout w:type="fixed"/>
        <w:tblCellMar>
          <w:top w:w="28" w:type="dxa"/>
          <w:left w:w="28" w:type="dxa"/>
          <w:bottom w:w="28" w:type="dxa"/>
          <w:right w:w="28" w:type="dxa"/>
        </w:tblCellMar>
      </w:tblPr>
      <w:tblGrid>
        <w:gridCol w:w="939"/>
        <w:gridCol w:w="825"/>
        <w:gridCol w:w="830"/>
        <w:gridCol w:w="488"/>
        <w:gridCol w:w="488"/>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(268,993)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1,723,321 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943,016 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RSUs granted to employees generally vest ratably over a three-year vesting period in the case of time-vest RSUs and cliff vest at the end of a three-year performance period in the case of PRSUs. RSUs granted to non-employee directors generally have a one year vesting period. The RSUs granted in 2025 and 2024 include 620,108 and 231,492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pStyle w:val="TextBody"/>
        <w:bidi w:val="0"/>
        <w:spacing w:lineRule="auto" w:line="288" w:before="80" w:after="120"/>
        <w:jc w:val="both"/>
        <w:rPr>
          <w:rFonts w:ascii="Times New Roman;serif" w:hAnsi="Times New Roman;serif"/>
          <w:b/>
          <w:i/>
          <w:color w:val="000000"/>
          <w:sz w:val="20"/>
        </w:rPr>
      </w:pPr>
      <w:r>
        <w:rPr>
          <w:rFonts w:ascii="Times New Roman;serif" w:hAnsi="Times New Roman;serif"/>
          <w:b/>
          <w:i/>
          <w:color w:val="000000"/>
          <w:sz w:val="20"/>
        </w:rPr>
        <w:t>Options</w:t>
      </w:r>
    </w:p>
    <w:p>
      <w:pPr>
        <w:pStyle w:val="TextBody"/>
        <w:bidi w:val="0"/>
        <w:spacing w:lineRule="auto" w:line="288" w:before="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2023, the Company had 74,390 options outstanding with an average weighted exercise price of $42.17. The options lapsed in the six months ended June 30, 2024, after which, there have been no options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Underwriting Performance Ratios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tbl>
      <w:tblPr>
        <w:tblW w:w="9642" w:type="dxa"/>
        <w:jc w:val="left"/>
        <w:tblInd w:w="0" w:type="dxa"/>
        <w:tblLayout w:type="fixed"/>
        <w:tblCellMar>
          <w:top w:w="28" w:type="dxa"/>
          <w:left w:w="28" w:type="dxa"/>
          <w:bottom w:w="28" w:type="dxa"/>
          <w:right w:w="28" w:type="dxa"/>
        </w:tblCellMar>
      </w:tblPr>
      <w:tblGrid>
        <w:gridCol w:w="1811"/>
        <w:gridCol w:w="1596"/>
        <w:gridCol w:w="1603"/>
        <w:gridCol w:w="307"/>
        <w:gridCol w:w="309"/>
        <w:gridCol w:w="333"/>
        <w:gridCol w:w="134"/>
        <w:gridCol w:w="134"/>
        <w:gridCol w:w="134"/>
        <w:gridCol w:w="255"/>
        <w:gridCol w:w="256"/>
        <w:gridCol w:w="333"/>
        <w:gridCol w:w="109"/>
        <w:gridCol w:w="109"/>
        <w:gridCol w:w="109"/>
        <w:gridCol w:w="307"/>
        <w:gridCol w:w="309"/>
        <w:gridCol w:w="292"/>
        <w:gridCol w:w="117"/>
        <w:gridCol w:w="117"/>
        <w:gridCol w:w="117"/>
        <w:gridCol w:w="255"/>
        <w:gridCol w:w="256"/>
        <w:gridCol w:w="340"/>
      </w:tblGrid>
      <w:tr>
        <w:trPr/>
        <w:tc>
          <w:tcPr>
            <w:tcW w:w="181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Excess and Surplus Lines: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 including impact of retroactive reinsurance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 including impact of retroactive reinsurance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 including impact of retroactive reinsurance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 including impact of retroactive reinsurance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“Key Metrics” above for descriptions of why management believes the following Non-GAAP measures provide useful information about our financial condition and results of operation.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Reconciliation of Underwriting Profit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underwriting profit of the operating segments by individual segment to consolidated income from continuing operations before income taxes:</w:t>
      </w:r>
    </w:p>
    <w:tbl>
      <w:tblPr>
        <w:tblW w:w="10205" w:type="dxa"/>
        <w:jc w:val="left"/>
        <w:tblInd w:w="0" w:type="dxa"/>
        <w:tblLayout w:type="fixed"/>
        <w:tblCellMar>
          <w:top w:w="28" w:type="dxa"/>
          <w:left w:w="28" w:type="dxa"/>
          <w:bottom w:w="28" w:type="dxa"/>
          <w:right w:w="28" w:type="dxa"/>
        </w:tblCellMar>
      </w:tblPr>
      <w:tblGrid>
        <w:gridCol w:w="1817"/>
        <w:gridCol w:w="1594"/>
        <w:gridCol w:w="16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 of the operating segments: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profit of operating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profit </w:t>
            </w:r>
            <w:r>
              <w:rPr>
                <w:rFonts w:ascii="Times New Roman;serif" w:hAnsi="Times New Roman;serif"/>
                <w:b w:val="false"/>
                <w:color w:val="000000"/>
                <w:sz w:val="16"/>
              </w:rPr>
              <w:t>(1)</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gains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(1)Included in underwriting results for the three and six months ended June 30, 2025 is gross fee income of $3.9 million and $8.3 million, respectively ($5.6 million and $10.9 million in the respective prior year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Reconciliation of Adjusted Net Operating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should not be viewed as a substitute for net income calculated in accordance with GAAP, and our definition of adjusted net operating income may not be comparable to that of other companies.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available to common shareholders reconciles to our adjusted net operating income as follows:</w:t>
      </w:r>
    </w:p>
    <w:tbl>
      <w:tblPr>
        <w:tblW w:w="10205" w:type="dxa"/>
        <w:jc w:val="left"/>
        <w:tblInd w:w="0" w:type="dxa"/>
        <w:tblLayout w:type="fixed"/>
        <w:tblCellMar>
          <w:top w:w="28" w:type="dxa"/>
          <w:left w:w="28" w:type="dxa"/>
          <w:bottom w:w="28" w:type="dxa"/>
          <w:right w:w="28" w:type="dxa"/>
        </w:tblCellMar>
      </w:tblPr>
      <w:tblGrid>
        <w:gridCol w:w="1815"/>
        <w:gridCol w:w="1595"/>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Income</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815"/>
        <w:gridCol w:w="1595"/>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Income</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Tangible Equity (per Share) and Tangible Common Equity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Tangible equity is defined as shareholders' equity plus mezzanine Series A Preferred Shares and the deferred retroactive reinsurance gain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 Tangible common equity is defined as shareholders' equity plus the deferred retroactive reinsurance gain less goodwill and intangible assets, net of amortization. Tangible common equity per share represents tangible common equity divided by the total common shares outstanding. Our definitions of tangible equity, tangible equity per share, tangible common equity and tangible common equity per share may not be comparable to that of other companies, and they should not be viewed as a substitute for shareholders’ equity and shareholders’ equity per share calculated in accordance with GAAP.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shareholders’ equity to tangible common equity as of June 30, 2025, December 31, 2024, and June 30, 2024:</w:t>
      </w:r>
    </w:p>
    <w:tbl>
      <w:tblPr>
        <w:tblW w:w="10205" w:type="dxa"/>
        <w:jc w:val="left"/>
        <w:tblInd w:w="0" w:type="dxa"/>
        <w:tblLayout w:type="fixed"/>
        <w:tblCellMar>
          <w:top w:w="28" w:type="dxa"/>
          <w:left w:w="28" w:type="dxa"/>
          <w:bottom w:w="28" w:type="dxa"/>
          <w:right w:w="28" w:type="dxa"/>
        </w:tblCellMar>
      </w:tblPr>
      <w:tblGrid>
        <w:gridCol w:w="2101"/>
        <w:gridCol w:w="1786"/>
        <w:gridCol w:w="1799"/>
        <w:gridCol w:w="219"/>
        <w:gridCol w:w="862"/>
        <w:gridCol w:w="109"/>
        <w:gridCol w:w="109"/>
        <w:gridCol w:w="109"/>
        <w:gridCol w:w="109"/>
        <w:gridCol w:w="271"/>
        <w:gridCol w:w="1031"/>
        <w:gridCol w:w="135"/>
        <w:gridCol w:w="109"/>
        <w:gridCol w:w="109"/>
        <w:gridCol w:w="109"/>
        <w:gridCol w:w="219"/>
        <w:gridCol w:w="862"/>
        <w:gridCol w:w="157"/>
      </w:tblGrid>
      <w:tr>
        <w:trPr/>
        <w:tc>
          <w:tcPr>
            <w:tcW w:w="210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5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 except share amounts)</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Series A redeemable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Deferred reinsurance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Intangible assets,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437,719 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Series A redeemable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45,644,318 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37,825,767 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from assumed conversion of Series A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6,848,763 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after assumed conversion of Series A Preferred Shares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59,416,969 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59,165,952 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44,674,530 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Item 7A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quarterly report on Form 10-Q, our management carried out an evaluation, under the supervision and with the participation of our CEO and CFO, as of June 30, 2025,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2025.</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our quarter ended June 30, 2025 that have materially affected, or are reasonably likely to materially affect, our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with respect to this item can be found under “Contingent Liabilities - Legal Proceedings” in note 8 of the notes to the unaudited consolidated financial statements contained in this quarterly report and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in the quarter ended June 30, 2025 from those disclosed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100" w:after="120"/>
        <w:jc w:val="both"/>
        <w:rPr/>
      </w:pPr>
      <w:r>
        <w:rPr/>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2882"/>
        <w:gridCol w:w="2580"/>
        <w:gridCol w:w="3685"/>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q25jrvrex101.htm">
              <w:r>
                <w:rPr>
                  <w:rStyle w:val="InternetLink"/>
                  <w:rFonts w:ascii="Times New Roman;serif" w:hAnsi="Times New Roman;serif"/>
                  <w:b w:val="false"/>
                  <w:color w:val="000080"/>
                  <w:sz w:val="20"/>
                  <w:u w:val="single"/>
                </w:rPr>
                <w:t>James River Group Holdings, Ltd. Short-Term Incentive Plan</w:t>
              </w:r>
            </w:hyperlink>
            <w:hyperlink w:anchor="a2q25jrvrex101.htm">
              <w:r>
                <w:rPr>
                  <w:rStyle w:val="InternetLink"/>
                  <w:rFonts w:ascii="Times New Roman;serif" w:hAnsi="Times New Roman;serif"/>
                  <w:b w:val="false"/>
                  <w:color w:val="000080"/>
                  <w:sz w:val="20"/>
                  <w:u w:val="single"/>
                </w:rPr>
                <w:t>,</w:t>
              </w:r>
            </w:hyperlink>
            <w:hyperlink w:anchor="a2q25jrvrex101.htm">
              <w:r>
                <w:rPr>
                  <w:rStyle w:val="InternetLink"/>
                  <w:rFonts w:ascii="Times New Roman;serif" w:hAnsi="Times New Roman;serif"/>
                  <w:b w:val="false"/>
                  <w:color w:val="000080"/>
                  <w:sz w:val="20"/>
                  <w:u w:val="single"/>
                </w:rPr>
                <w:t xml:space="preserve"> as amended on April 24, 2025</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Employment Agreement, dated January 15, 2018, by and among James River Group, Inc., certain subsidiaries of James River Group, Inc. and Richard Schmitzer (incorporated by reference to Exhibit 10.22 to Annual Report on Form 10-K filed on March 1, 2018, Commission File No. 001-36777)</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5jrvrex103.htm">
              <w:r>
                <w:rPr>
                  <w:rStyle w:val="InternetLink"/>
                  <w:rFonts w:ascii="Times New Roman;serif" w:hAnsi="Times New Roman;serif"/>
                  <w:b w:val="false"/>
                  <w:color w:val="0000FF"/>
                  <w:sz w:val="20"/>
                  <w:u w:val="single"/>
                </w:rPr>
                <w:t>Amendment to Amended and Restated Employment Agreement, dated January 15, 2018, by and among James River Group, Inc., certain subsidiaries of James River Group, Inc. and Richard Schmitzer</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Credit Agreement, dated as of June 12, 2025, by and among James River Group Holdings, Ltd., KeyBank National Association, as Administrative Agent and Letter of Credit Issuer, KeyBank National Association and Truist Securities, Inc. as Joint Book Runners and Joint Lead Arrangers, Truist Bank as Syndication Agent, and the lender parties thereto (incorporated by reference to Exhibit 10.1 on the Current Report on Form 8-K filed on June 13, 2025; Commission File No. 001-36777)</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Continuing Guaranty of Payment, dated as of June 12, 2025, by James River Group Holdings UK Limited, as Guarantor, pursuant to Credit Agreement dated as of June 12, 2025, among James River Group Holdings, Ltd., KeyBank National Association, as Administrative Agent and Letter of Credit Issuer, KeyBank National Association and Truist Securities, Inc., as Joint Book Runners and Joint Lead Arrangers, Truist Bank as Syndication Agent, and the lender parties thereto (incorporated by reference to Exhibit 10.2 on the Current Report on Form 8-K filed on June 13, 2025; Commission File No. 001-36777)</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Continuing Guaranty of Payment, dated as of June 12, 2025, by James River Group, Inc., as Guarantor, pursuant to Credit Agreement dated as of June 12, 2025, among James River Group Holdings, Ltd., KeyBank National Association, as Administrative Agent and Letter of Credit Issuer, KeyBank National Association and Truist Securities, Inc., as Joint Book Runners and Joint Lead Arrangers, Truist Bank as Syndication Agent, and the lender parties thereto (incorporated by reference to Exhibit 10.3 on the Current Report on Form 8-K filed on June 13, 2025; Commission File No. 001-36777)</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5jrvrex311.htm">
              <w:r>
                <w:rPr>
                  <w:rStyle w:val="InternetLink"/>
                  <w:rFonts w:ascii="Times New Roman;serif" w:hAnsi="Times New Roman;serif"/>
                  <w:b w:val="false"/>
                  <w:color w:val="0000FF"/>
                  <w:sz w:val="20"/>
                  <w:u w:val="single"/>
                </w:rPr>
                <w:t>Chief Executive Officer Certification pursuant to Rule 13a-14(a)/15d-14(a)</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5jrvrex312.htm">
              <w:r>
                <w:rPr>
                  <w:rStyle w:val="InternetLink"/>
                  <w:rFonts w:ascii="Times New Roman;serif" w:hAnsi="Times New Roman;serif"/>
                  <w:b w:val="false"/>
                  <w:color w:val="0000FF"/>
                  <w:sz w:val="20"/>
                  <w:u w:val="single"/>
                </w:rPr>
                <w:t>Chief Financial Officer Certification pursuant to Rule 13a-14(a)/15d-14(a)</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q25jrvrex32.htm">
              <w:r>
                <w:rPr>
                  <w:rStyle w:val="InternetLink"/>
                  <w:rFonts w:ascii="Times New Roman;serif" w:hAnsi="Times New Roman;serif"/>
                  <w:b w:val="false"/>
                  <w:color w:val="0000FF"/>
                  <w:sz w:val="20"/>
                  <w:u w:val="single"/>
                </w:rPr>
                <w:t>Chief Executive Officer and Chief Financial Officer Certification pursuant to 18 U.S.C. Section 1350, as adopted pursuant to Section 906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 Exhibit 101.</w:t>
            </w:r>
          </w:p>
        </w:tc>
      </w:tr>
    </w:tbl>
    <w:p>
      <w:pPr>
        <w:pStyle w:val="TextBody"/>
        <w:bidi w:val="0"/>
        <w:spacing w:lineRule="auto" w:line="288" w:before="10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Denotes a management contract or compensatory plan or arrangement.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Pursuant to Item 601(a)(5) of Regulation S-K, the Schedules to this Exhibit have been omitted. A copy of the omitted schedules will be furnished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a15e9aedd3244e3a8a8500423ba84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7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50"/>
        <w:gridCol w:w="450"/>
        <w:gridCol w:w="450"/>
        <w:gridCol w:w="909"/>
        <w:gridCol w:w="909"/>
        <w:gridCol w:w="13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James River Group Holdings, Ltd.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JAMES RIVER GROUP HOLDINGS,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SHORT-TERM INCENTIVE PLAN</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(Effective January 1, 2022)</w:t>
      </w:r>
    </w:p>
    <w:p>
      <w:pPr>
        <w:pStyle w:val="TextBody"/>
        <w:bidi w:val="0"/>
        <w:spacing w:lineRule="auto" w:line="288" w:before="0" w:after="240"/>
        <w:jc w:val="center"/>
        <w:rPr/>
      </w:pPr>
      <w:r>
        <w:rPr>
          <w:rFonts w:ascii="Times New Roman;serif" w:hAnsi="Times New Roman;serif"/>
          <w:b/>
          <w:color w:val="000000"/>
          <w:sz w:val="24"/>
        </w:rPr>
        <w:t>ARTICLE I.</w:t>
      </w:r>
      <w:r>
        <w:rPr>
          <w:color w:val="000000"/>
        </w:rPr>
        <w:t xml:space="preserve"> </w:t>
      </w:r>
      <w:r>
        <w:rPr>
          <w:rFonts w:ascii="Times New Roman;serif" w:hAnsi="Times New Roman;serif"/>
          <w:b/>
          <w:color w:val="000000"/>
          <w:sz w:val="24"/>
        </w:rPr>
        <w:t>INTRODUCTION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Purpose</w:t>
      </w:r>
      <w:r>
        <w:rPr>
          <w:rFonts w:ascii="Times New Roman;serif" w:hAnsi="Times New Roman;serif"/>
          <w:b w:val="false"/>
          <w:color w:val="000000"/>
          <w:sz w:val="24"/>
        </w:rPr>
        <w:t>. The purposes of the James River Group Holdings, Ltd. Short-Term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as set forth herein, are to allow the Company the opportunity to provide incentives to designated key employees to achieve certain performance targets and to link further executive compensation to shareholder results by rewarding competitive and superior performance. In furtherance of those purposes, the Plan is designed to provide short-term incentive compensation to eligible participants, the amount, if any, of which is dependent on the degree of attainment of certain performance goals of the Company over a Performance Period (as defined herein), unless earlier terminated in accordance with the provisions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Overview</w:t>
      </w:r>
      <w:r>
        <w:rPr>
          <w:rFonts w:ascii="Times New Roman;serif" w:hAnsi="Times New Roman;serif"/>
          <w:b w:val="false"/>
          <w:color w:val="000000"/>
          <w:sz w:val="24"/>
        </w:rPr>
        <w:t>. Each award contemplated by the Plan will be comprised of both quantitative and qualitative Performance Criteria (as defined below) and, to the extent earned and vested, will be settled in cash or cash equivalents promptly following the end of a Performance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This Plan is effective as of January 1, 2022; was approved by the Compensation Committee of the Board of Directors of the Company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on July 26, 2022 and by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on July 26, 2022; and amended upon the approval of the Committee on February 16, 2023 and on April 24, 2025.</w:t>
      </w:r>
    </w:p>
    <w:p>
      <w:pPr>
        <w:pStyle w:val="TextBody"/>
        <w:bidi w:val="0"/>
        <w:spacing w:lineRule="auto" w:line="288" w:before="0" w:after="240"/>
        <w:jc w:val="center"/>
        <w:rPr/>
      </w:pPr>
      <w:r>
        <w:rPr>
          <w:rFonts w:ascii="Times New Roman;serif" w:hAnsi="Times New Roman;serif"/>
          <w:b/>
          <w:color w:val="000000"/>
          <w:sz w:val="24"/>
        </w:rPr>
        <w:t>ARTICLE II.</w:t>
      </w:r>
      <w:r>
        <w:rPr>
          <w:color w:val="000000"/>
        </w:rPr>
        <w:t xml:space="preserve"> </w:t>
      </w:r>
      <w:r>
        <w:rPr>
          <w:rFonts w:ascii="Times New Roman;serif" w:hAnsi="Times New Roman;serif"/>
          <w:b/>
          <w:color w:val="000000"/>
          <w:sz w:val="24"/>
        </w:rPr>
        <w:t>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Wherever used herein, the masculine pronoun shall be deemed to include the feminine, and the singular to include the plural, unless the context clearly indicates otherwise, and the following words and phrases shall, when used herein, have the meanings set forth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corporation that is a Subsidiary of the Company, any limited liability company, partnership, corporation, joint venture, or any other entity in which the Company or any such Subsidiary owns an equity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color w:val="000000"/>
        </w:rPr>
        <w:t>“</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means an award to a Participant to be settled in cash or cash equivalents, subject to being earned and becoming vested, as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2.3</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 of the Company or, if applicable, the governing body of any successor entity.</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2.4</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except as otherwise provided in an Award or in a Participant’s employment agreement with the Company having the same or similar term in which event such other meaning shall control for Plan purposes, (a) the commission of, or plea of guilty or no contest to, a felony or a crime involving moral turpitude or the commission of any other act involving willful malfeasance or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the material failure to perform duties, or (e) violation of state or federal securities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2.5</w:t>
      </w: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except as otherwise provided in an Award in which event such other meaning shall control for Plan purposes, any of the following: (a) 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(b) 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fifty percent (50%) of, respectively, the Shares and the combined voting power entitled to vote generally in the election of directors of the reorganized, merged, amalgamated, or consolidated corporation’s then-outstanding voting securities; or (c) a liquidation or dissolution of the Company, or the sale of all or substantially all of the assets of the Company. 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2.6</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and in effect from time to time, or any successor thereto. Any reference to a section of the Code shall be deemed to include a reference to any regulations or subregulatory guidance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2.7</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Committee of the Board of Director of the Company or, if applicable, the governing body, or portion thereof, of any successor entity.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2.8</w:t>
      </w: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James River Group Holdings, Ltd., an exempted company registered under the laws of Bermuda, or any successor to all or substantially all of its businesses by merger, amalgamation, consolidation, purchase of assets,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2.9</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that a Participant is unable to engage in any substantial gainful activity by reason of a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or disability insurance benefit plan covering Company employees. The determination of whether an individual has a Disability shall be determined under procedures established by the Committee.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2.10</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all pertinent regulations, rules, and other less formal guidance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2.11</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except as otherwise provided in an Award or in a Participant’s employment agreement with the Company having the same or similar term in which event such other meaning shall control for Plan purposes, the occurrence of one or more of the following without the Participant’s express written consent, which circumstances are not remedied by the Company within thirty (30) days after its receipt of a written notice from the Participant describing the applicable circumstances (which notice must be provided by the Participant within ninety (90) days after the Participant’s knowledge of the applicable circumstances): (a) any material, adverse change in the Participant’s duties, responsibilities, authority, status, or reporting structure; (b) a material reduction in the Participant’s base salary; or (c) a geographical relocation of the Participant’s principal office location by more than fifty (50) miles; provided that, in each case, the Company has failed to cure the circumstance and the Participant actually terminates his or her employment within thirty (30) days following the Company’s thirty (30)-day cure period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2.12</w:t>
      </w: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each of the individuals designated as eligible for participation in the Plan prior to or during a Performance Period in written resolutions or minutes approved and adopted by the Board upon the recommendation of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2.13</w:t>
      </w:r>
      <w:r>
        <w:rPr>
          <w:color w:val="000000"/>
        </w:rPr>
        <w:t>“</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means a calendar year beginning on or after January 1, 2022.</w:t>
      </w:r>
    </w:p>
    <w:p>
      <w:pPr>
        <w:pStyle w:val="TextBody"/>
        <w:bidi w:val="0"/>
        <w:spacing w:lineRule="auto" w:line="288" w:before="0" w:after="240"/>
        <w:ind w:left="0" w:right="0" w:firstLine="720"/>
        <w:jc w:val="both"/>
        <w:rPr/>
      </w:pPr>
      <w:r>
        <w:rPr>
          <w:rFonts w:ascii="Times New Roman;serif" w:hAnsi="Times New Roman;serif"/>
          <w:b w:val="false"/>
          <w:color w:val="000000"/>
          <w:sz w:val="24"/>
        </w:rPr>
        <w:t>2.14</w:t>
      </w:r>
      <w:r>
        <w:rPr>
          <w:color w:val="000000"/>
        </w:rPr>
        <w:t>“</w:t>
      </w:r>
      <w:r>
        <w:rPr>
          <w:rFonts w:ascii="Times New Roman;serif" w:hAnsi="Times New Roman;serif"/>
          <w:b w:val="false"/>
          <w:color w:val="000000"/>
          <w:sz w:val="24"/>
          <w:u w:val="single"/>
        </w:rPr>
        <w:t>Retirement Age</w:t>
      </w:r>
      <w:r>
        <w:rPr>
          <w:color w:val="000000"/>
        </w:rPr>
        <w:t xml:space="preserve">” </w:t>
      </w:r>
      <w:r>
        <w:rPr>
          <w:rFonts w:ascii="Times New Roman;serif" w:hAnsi="Times New Roman;serif"/>
          <w:b w:val="false"/>
          <w:color w:val="000000"/>
          <w:sz w:val="24"/>
        </w:rPr>
        <w:t>the age at which a Participant may be eligible for an Award amount despite a failure to satisfy the Service Condition due to an earlier Separation from Service. The Retirement Age for each Participant shall be the attainment of (i) a minimum of five whole years of employment with the Company, (ii) at least age 50 and (iii) a combined age and whole years of employment with the Company that equals or exceeds 65; provided, however, the Committee in its discretion may establish an earlier retirement age for any Participant by communicating in writing that decision to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2.15</w:t>
      </w:r>
      <w:r>
        <w:rPr>
          <w:color w:val="000000"/>
        </w:rPr>
        <w:t>“</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means a termination of a Participant’s employment relationship with the Company where either (a) the Participant has ceased to perform any services for the Company and all affiliated companies that, together with the Company, constitute the “service recipient” within the meaning of Code Section 409A (collectively, the “Service Recipient”) or (b) the level of bona fide services the Participant performs for the Service Recipient after a given date permanently decreases (excluding a decrease as a result of military leave, sick leave, or other bona fide leave of absence if the period of such leave does not exceed six months, or if longer, so long as the Participant retains a right to reemployment with the Service Recipient under an applicable statute or by contract) to no more than twenty percent (20%) of the average level of bona fide services performed for the Service Recipient over the immediately preceding 36-month period (or the full period of service if the Participant has been providing services to the Service Recipient for less than 36 months) that, in either case, constitutes a “separation from service” within the meaning of Code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2.16</w:t>
      </w:r>
      <w:r>
        <w:rPr>
          <w:color w:val="000000"/>
        </w:rPr>
        <w:t>“</w:t>
      </w:r>
      <w:r>
        <w:rPr>
          <w:rFonts w:ascii="Times New Roman;serif" w:hAnsi="Times New Roman;serif"/>
          <w:b w:val="false"/>
          <w:color w:val="000000"/>
          <w:sz w:val="24"/>
          <w:u w:val="single"/>
        </w:rPr>
        <w:t>Service Condition</w:t>
      </w:r>
      <w:r>
        <w:rPr>
          <w:color w:val="000000"/>
        </w:rPr>
        <w:t xml:space="preserve">” </w:t>
      </w:r>
      <w:r>
        <w:rPr>
          <w:rFonts w:ascii="Times New Roman;serif" w:hAnsi="Times New Roman;serif"/>
          <w:b w:val="false"/>
          <w:color w:val="000000"/>
          <w:sz w:val="24"/>
        </w:rPr>
        <w:t>means, except as provided in Article IV, the precondition to the settlement of any Award requiring a Participant to remain in a material service relationship with the Company through the date the Award is settled.</w:t>
      </w:r>
    </w:p>
    <w:p>
      <w:pPr>
        <w:pStyle w:val="TextBody"/>
        <w:bidi w:val="0"/>
        <w:spacing w:lineRule="auto" w:line="288" w:before="0" w:after="240"/>
        <w:ind w:left="0" w:right="0" w:firstLine="720"/>
        <w:jc w:val="both"/>
        <w:rPr/>
      </w:pPr>
      <w:r>
        <w:rPr>
          <w:rFonts w:ascii="Times New Roman;serif" w:hAnsi="Times New Roman;serif"/>
          <w:b w:val="false"/>
          <w:color w:val="000000"/>
          <w:sz w:val="24"/>
        </w:rPr>
        <w:t>2.17</w:t>
      </w: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 “subsidiary corporation,” as that term is defined in Section 424(f) of the Code, or any successor provision.</w:t>
      </w:r>
    </w:p>
    <w:p>
      <w:pPr>
        <w:pStyle w:val="TextBody"/>
        <w:bidi w:val="0"/>
        <w:spacing w:lineRule="auto" w:line="288" w:before="0" w:after="240"/>
        <w:jc w:val="center"/>
        <w:rPr/>
      </w:pPr>
      <w:r>
        <w:rPr>
          <w:rFonts w:ascii="Times New Roman;serif" w:hAnsi="Times New Roman;serif"/>
          <w:b/>
          <w:color w:val="000000"/>
          <w:sz w:val="24"/>
        </w:rPr>
        <w:t>ARTICLE III.</w:t>
      </w:r>
      <w:r>
        <w:rPr>
          <w:color w:val="000000"/>
        </w:rPr>
        <w:t xml:space="preserve"> </w:t>
      </w:r>
      <w:r>
        <w:rPr>
          <w:rFonts w:ascii="Times New Roman;serif" w:hAnsi="Times New Roman;serif"/>
          <w:b/>
          <w:color w:val="000000"/>
          <w:sz w:val="24"/>
        </w:rPr>
        <w:t>ELIGIBILITY, PARTICIPATION AND ADMINISTRATION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Eligibility</w:t>
      </w:r>
      <w:r>
        <w:rPr>
          <w:rFonts w:ascii="Times New Roman;serif" w:hAnsi="Times New Roman;serif"/>
          <w:b w:val="false"/>
          <w:color w:val="000000"/>
          <w:sz w:val="24"/>
        </w:rPr>
        <w:t>. Each individual identified as a Participant pursuant to Section 2.12 shall be a Participant in the Plan for a particular Performance Period. Each Participant shall be provided with notice of his or her eligibility and the terms of the incentive opportunity in such manner as the Committee deems suitable. If an individual becomes a Participant after the first day of the Performance Period pursuant to Section 2.12, unless otherwise specified by the Committee, the Award for any such Participant shall be prorated in the proportion that the number of days the Participant is employed by the Company in his or her eligible position during the Performance Period bears to the number of days in the Performance Period. Once an individual becomes a Participant in the Plan, the Participant shall remain a Participant until the earlier of (a) the date the Committee determines that the Award will not result in any payout, whether by reason of the failure to achieve any of the applicable Performance Criteria (as defined below) at threshold levels, a failure to satisfy the Service Condition, or the early termination of the Plan pursuant to Section 5.9; or (b) the date the Award is settled after it becomes vested and the Committee has determined the extent to which it has been earned.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Administration</w:t>
      </w:r>
      <w:r>
        <w:rPr>
          <w:rFonts w:ascii="Times New Roman;serif" w:hAnsi="Times New Roman;serif"/>
          <w:b w:val="false"/>
          <w:color w:val="000000"/>
          <w:sz w:val="24"/>
        </w:rPr>
        <w:t>. The Plan is administered by the Committee.  The Committee has full authority in its discretion to determine whether any otherwise qualifying individual becomes a Participant after the first day of a Performance Period. Subject to the provisions of the Plan, the Committee has full and conclusive authority to interpret the Plan; to prescribe, amend, and rescind rules and regulations relating to the Plan; to determine the form of</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Awards, and to make all other determinations necessary or advisable for the proper administration of the Plan.  The Committee’s determinations under the Plan need not be uniform and may be made by it selectively among persons who receive, or are eligible to receive, Awards under the Plan (whether or not such persons are similarly situated). Subject to the approval or ratification of the Board, the Committee’s decisions are final and binding on all Participants and any other interested parties. No member of the Committee shall be subject to individual liability with respect to the Plan or any Awards thereunder.</w:t>
      </w:r>
    </w:p>
    <w:p>
      <w:pPr>
        <w:pStyle w:val="TextBody"/>
        <w:bidi w:val="0"/>
        <w:spacing w:lineRule="auto" w:line="288" w:before="0" w:after="240"/>
        <w:jc w:val="center"/>
        <w:rPr/>
      </w:pPr>
      <w:r>
        <w:rPr>
          <w:rFonts w:ascii="Times New Roman;serif" w:hAnsi="Times New Roman;serif"/>
          <w:b/>
          <w:color w:val="000000"/>
          <w:sz w:val="24"/>
        </w:rPr>
        <w:t>ARTICLE IV.</w:t>
      </w:r>
      <w:r>
        <w:rPr>
          <w:color w:val="000000"/>
        </w:rPr>
        <w:t xml:space="preserve"> </w:t>
      </w:r>
      <w:r>
        <w:rPr>
          <w:rFonts w:ascii="Times New Roman;serif" w:hAnsi="Times New Roman;serif"/>
          <w:b/>
          <w:color w:val="000000"/>
          <w:sz w:val="24"/>
        </w:rPr>
        <w:t>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Award Opportunity</w:t>
      </w:r>
      <w:r>
        <w:rPr>
          <w:rFonts w:ascii="Times New Roman;serif" w:hAnsi="Times New Roman;serif"/>
          <w:b w:val="false"/>
          <w:color w:val="000000"/>
          <w:sz w:val="24"/>
        </w:rPr>
        <w:t>. For each Participant, the Award opportunity shall measure one or more performance criteria as set forth in Appendix 1 and the strategic initiatives (collectively, the “</w:t>
      </w:r>
      <w:r>
        <w:rPr>
          <w:rFonts w:ascii="Times New Roman;serif" w:hAnsi="Times New Roman;serif"/>
          <w:b w:val="false"/>
          <w:color w:val="000000"/>
          <w:sz w:val="24"/>
          <w:u w:val="single"/>
        </w:rPr>
        <w:t>Performance Criteria</w:t>
      </w:r>
      <w:r>
        <w:rPr>
          <w:color w:val="000000"/>
        </w:rPr>
        <w:t>”</w:t>
      </w:r>
      <w:r>
        <w:rPr>
          <w:rFonts w:ascii="Times New Roman;serif" w:hAnsi="Times New Roman;serif"/>
          <w:b w:val="false"/>
          <w:color w:val="000000"/>
          <w:sz w:val="24"/>
        </w:rPr>
        <w:t>) adopted in the written resolutions or minutes approved and adopted by the Board upon the recommendation of the Committee (the “Adopted Resolutions”). Measurement of the achievement of the Performance Criteria and the amount payable shall be determined in accordance with the Adopted Resolutions.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is authorized, in its sole discretion, to adjust or modify the calculation of any performance criterion in connection with any one or more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as described in accounting principles and/or in management’s discussion and analysis of financial condition and results of operations appearing in the Company’s annual or other periodic report to shareholders; acquisitions or divestitures; any other specific unusual or nonrecurring events or objectively determinable category thereof; and/or a change in the Company’s fiscal year.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Upon or following completion of the Performance Period, the degree of achievement of the Performance Criteria shall be determined by the Committee in its discretion though guided by such relevant factual information as may then be available. In evaluating any qualitative Performance Criteria applicable to a Participant, the Committee may consult with those individuals with personal knowledge of the Participant’s performance.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Committee’s determinations of the extent to which Awards are payable shall be subject to the approval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Eligibility for, Timing and Form of Payment of Award</w:t>
      </w:r>
      <w:r>
        <w:rPr>
          <w:rFonts w:ascii="Times New Roman;serif" w:hAnsi="Times New Roman;serif"/>
          <w:b w:val="false"/>
          <w:color w:val="000000"/>
          <w:sz w:val="24"/>
        </w:rPr>
        <w:t>. Except as provided in Sections 4.3 and 4.4, the Participant must achieve at least the threshold level of performance for at least one of the performance criterion for the Performance Period and satisfy the Service Condition to receive any payout that might otherwise be due on account of the level of achievement of the Performance Criteria. Except as provided in Sections 4.3, the cash value of any</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Award, as determined by the Committee in its sole discretion, that becomes payable shall be paid in the calendar year following the Performance Period, but no later than March 15th of such calendar year. The Award of a Participant who experiences a Separation from Service prior to the date an otherwise earned Award is settled shall be forfeited, except as provided in Sections 4.3 and 4.4. A period of an approved leave of absence shall not affect a Participant’s ability to satisfy the Service Condition.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Qualifying Termination Prior to Settlement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prior to the settlement of Awards for a Performance Period, a Participant experiences a Separation from Service due to (i) the Participant’s involuntary termination of employment without Cause by the Company or the Company’s election not to renew the term of any employment agreement then in effect between the Company and Participant, (ii) the Participant’s resignation with Good Reason, or (iii) the Participant’s attainment of his or her Retirement Age, the Participant shall be eligible to receive an Award despite the failure to satisfy the Service Condition, which Award shall be paid when Awards are otherwise settled in accordance with Section 4.2. Despite the waiver of the Service Condition, the Award shall be payable only if and to the extent the Performance Criteria are achieved measured as of the last day of the Performance Period and determined pursuant to Section 4.1 and the Award shall be prorated in the proportion that the number of days elapsed from the beginning of the Performance Period through the effective date of the Participant’s Separation from Service bears to 365. Notwithstanding the foregoing, if the Participant is party to an employment agreement with the Company at the time of his or her Separation from Service prior to the settlement of Awards, the terms of such employment agreement shall govern whether, the extent to which, and when his or her Award shall be payable, to the extent specifically provided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prior to the settlement of Awards for a Performance Period, a Participant experiences a Separation from Service due to death or Disability, the Participant (or his or her estate, in the event of death) shall receive an Award despite the failure to satisfy the Service Condition. The Award shall be payable within thirty (30) days following the Separation from Service and determined based on an assumed achievement of all Performance Criteria at “target” levels. If the Participant’s death or Disability occurs prior to expiration of the Performance Period, the Award shall be prorated in the proportion that the number of days elapsed from the beginning of the Performance Period through the effective date of the Participant’s Separation from Service bears to 365. Notwithstanding the foregoing, if the Participant is party to an employment agreement with the Company at the time of his or her Separation from Service prior to the settlement of Awards, the terms of such employment agreement shall govern whether, the extent to which, and when his or her Award shall be payable, to the extent specifically provided therein.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Change in Control Prior to Expiration of the Performance Period</w:t>
      </w:r>
      <w:r>
        <w:rPr>
          <w:rFonts w:ascii="Times New Roman;serif" w:hAnsi="Times New Roman;serif"/>
          <w:b w:val="false"/>
          <w:color w:val="000000"/>
          <w:sz w:val="24"/>
        </w:rPr>
        <w:t>. Subject to any earlier termination of the Plan pursuant to Section 5.9, if a Change in Control occurs prior to the settlement of Awards and before a Participant has experienced a Separation from Service and subsequently (a) the Participant is involuntarily terminated without Cause by the Company or as a result of the Company’s election not to renew the term of any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then in effect between the Company and Participant, or (b) the Participant resigns with Good Reason prior to such payout, then the Participant shall remain entitled to a payout on the date Awards are otherwise settled in accordance with Section 4.2 based on the degree of achievement of the Performance Criteria measured as of the last day of the Performance Period and determined pursuant to Section 4.1 and, if the Separation from Service occurs prior to the expiration of the Performance Period, the Award shall be prorated in the proportion that the number of days elapsed from the beginning of the Performance Period through the effective date of the Separation from Service bears to 365. If a Participant has experienced a type of Separation from Service contemplated by Section 4.3 prior to the Change in Control, the provisions of Section 4.3 shall govern the treatment of the Participant’s Award rather than this Section 4.4, unless the Committee determines otherwise.</w:t>
      </w:r>
    </w:p>
    <w:p>
      <w:pPr>
        <w:pStyle w:val="TextBody"/>
        <w:bidi w:val="0"/>
        <w:spacing w:lineRule="auto" w:line="288" w:before="0" w:after="240"/>
        <w:jc w:val="center"/>
        <w:rPr/>
      </w:pPr>
      <w:r>
        <w:rPr>
          <w:rFonts w:ascii="Times New Roman;serif" w:hAnsi="Times New Roman;serif"/>
          <w:b/>
          <w:color w:val="000000"/>
          <w:sz w:val="24"/>
        </w:rPr>
        <w:t>ARTICLE V.</w:t>
      </w:r>
      <w:r>
        <w:rPr>
          <w:color w:val="000000"/>
        </w:rPr>
        <w:t xml:space="preserve"> </w:t>
      </w:r>
      <w:r>
        <w:rPr>
          <w:rFonts w:ascii="Times New Roman;serif" w:hAnsi="Times New Roman;serif"/>
          <w:b/>
          <w:color w:val="000000"/>
          <w:sz w:val="24"/>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Clawback and Noncompete</w:t>
      </w:r>
      <w:r>
        <w:rPr>
          <w:rFonts w:ascii="Times New Roman;serif" w:hAnsi="Times New Roman;serif"/>
          <w:b w:val="false"/>
          <w:color w:val="000000"/>
          <w:sz w:val="24"/>
        </w:rPr>
        <w:t>. Notwithstanding any other provisions of this Plan, any Award which is subject to recovery under any law, government regulation, stock exchange listing requirement, or Company policy,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 or otherwise. In addition and notwithstanding any other provisions of this Plan, any Award shall be subject to any noncompete and nonsolicitation provisions under any agreement or policy adopted by the Company, including, without limitation, any such terms providing for immediate termination and forfeiture of an Award if and when a Participant becomes an employee, agent or principal of a competitor without the express written consent of the Company. The actions permitted to be taken by the Committee under this Section is in addition to, and not in lieu of, any and all other rights of the Committee and/or the Company under applicable law and shall apply notwithstanding anything to the contrary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Withholding; Offset</w:t>
      </w:r>
      <w:r>
        <w:rPr>
          <w:rFonts w:ascii="Times New Roman;serif" w:hAnsi="Times New Roman;serif"/>
          <w:b w:val="false"/>
          <w:color w:val="000000"/>
          <w:sz w:val="24"/>
        </w:rPr>
        <w:t>. The Company shall deduct from any payment, or otherwise collect from the Participant, any taxes required to be withheld by federal, state, or local governments in connection with any Award. No opinion is expressed nor warranties made as to the effect for federal, state, or local tax purposes of any Award. If at any time prior to any payment a Participant is indebted to the Company, by accepting the Award, a Participant grants the Company the right to offset against the payment amount the amount of the Participant’s indebtedness, but only to the extent such offset is permissible under and would not trigger adverse tax consequences under Code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Restrictions on Transfer</w:t>
      </w:r>
      <w:r>
        <w:rPr>
          <w:rFonts w:ascii="Times New Roman;serif" w:hAnsi="Times New Roman;serif"/>
          <w:b w:val="false"/>
          <w:color w:val="000000"/>
          <w:sz w:val="24"/>
        </w:rPr>
        <w:t>. Except for payout due to the Participant’s estate as a result of the Participant’s death as contemplated by Section 4.3(b), no Participant shall have the right to make or permit to exist any transfer or hypothecation, whether outright or as security, with or without consideration, voluntary or involuntary, of all or any part of any right, title, or interest in or to an Award until such date as, and only to the extent that, cash or cash equivalents have been paid in settlement of the Award. Any such disposition not made in accordance with this Plan shall be deemed null and void.</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Successors</w:t>
      </w:r>
      <w:r>
        <w:rPr>
          <w:rFonts w:ascii="Times New Roman;serif" w:hAnsi="Times New Roman;serif"/>
          <w:b w:val="false"/>
          <w:color w:val="000000"/>
          <w:sz w:val="24"/>
        </w:rPr>
        <w:t>. This Plan shall be binding upon and inure to the benefit of the heirs, legal representatives, successors, and permitted assigns of the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rPr>
        <w:t>Notice</w:t>
      </w:r>
      <w:r>
        <w:rPr>
          <w:rFonts w:ascii="Times New Roman;serif" w:hAnsi="Times New Roman;serif"/>
          <w:b w:val="false"/>
          <w:color w:val="000000"/>
          <w:sz w:val="24"/>
        </w:rPr>
        <w:t>. Except as otherwise specified herein, all notices and other communications under this Plan to a Participant shall be in writing and shall be deemed to have been given if personally delivered or if sent by U.S. mail to the last known address of the Participant as shown by the Company’s personnel records. Notwithstanding the foregoing, by accepting an Award, a Participant hereby consents to the delivery of information via electronic delivery.</w:t>
      </w:r>
    </w:p>
    <w:p>
      <w:pPr>
        <w:pStyle w:val="TextBody"/>
        <w:bidi w:val="0"/>
        <w:spacing w:lineRule="auto" w:line="288"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any one or more of the provisions or portion thereof contained in this Plan shall for any reason be held to be invalid, illegal, or unenforceable in any respect, the same shall not invalidate or otherwise affect any other provisions of this Plan, and this Plan shall be construed as if the invalid, illegal, or unenforceable provision or portion thereof had never been contained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5.7</w:t>
      </w:r>
      <w:r>
        <w:rPr>
          <w:rFonts w:ascii="Times New Roman;serif" w:hAnsi="Times New Roman;serif"/>
          <w:b w:val="false"/>
          <w:color w:val="000000"/>
          <w:sz w:val="24"/>
          <w:u w:val="single"/>
        </w:rPr>
        <w:t>No Right to Continued Retention</w:t>
      </w:r>
      <w:r>
        <w:rPr>
          <w:rFonts w:ascii="Times New Roman;serif" w:hAnsi="Times New Roman;serif"/>
          <w:b w:val="false"/>
          <w:color w:val="000000"/>
          <w:sz w:val="24"/>
        </w:rPr>
        <w:t>. Neither the establishment of the Plan nor the grant of an Award hereunder shall be construed as giving any Participant the right to continued service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rPr>
        <w:t>Interpretation and Code Section 409A</w:t>
      </w:r>
      <w:r>
        <w:rPr>
          <w:rFonts w:ascii="Times New Roman;serif" w:hAnsi="Times New Roman;serif"/>
          <w:b w:val="false"/>
          <w:color w:val="000000"/>
          <w:sz w:val="24"/>
        </w:rPr>
        <w:t>. Section headings used herein are for convenience of reference only and shall not be considered in construing this Plan. Sections 1.1 and 1.2 are intended to introduce and summarize the Plan only and shall not apply for purposes of determining a Participant’s rights under the Plan. Awards under the Plan are intended to be exempt from Section 409A of the Code as “short-term deferrals” within the meaning of the Treasury Regulations under Section 409A, but in any event Awards under the Plan are payable on a specified date or upon a Change in Control in compliance with Section 409A, and the Plan shall be interpreted in a manner to be exempt from or otherwise in compliance with Section 409A.</w:t>
      </w:r>
      <w:r>
        <w:rPr>
          <w:color w:val="000000"/>
        </w:rPr>
        <w:t xml:space="preserve"> </w:t>
      </w:r>
      <w:r>
        <w:rPr>
          <w:rFonts w:ascii="Times New Roman;serif" w:hAnsi="Times New Roman;serif"/>
          <w:b w:val="false"/>
          <w:color w:val="000000"/>
          <w:sz w:val="24"/>
        </w:rPr>
        <w:t>Notwithstanding anything herein to the contrary, to the extent applicable, if a Participant is a “specified employee” within the meaning of Section 409A of the Code, and to the extent necessary to avoid the adverse tax consequences under Section 409A of the Code, no portion of any payments hereunder shall be distributed on account of a Separation from Service before the earlier of: (a) the date which is six months following the date of the Participant’s Separation from Service, or (b) the date of death of the Participant. Amounts that would have been paid during the delay will be paid on the first business day following the six month delay.</w:t>
      </w:r>
    </w:p>
    <w:p>
      <w:pPr>
        <w:pStyle w:val="TextBody"/>
        <w:bidi w:val="0"/>
        <w:spacing w:lineRule="auto" w:line="288" w:before="0" w:after="240"/>
        <w:ind w:left="0" w:right="0" w:firstLine="720"/>
        <w:jc w:val="both"/>
        <w:rPr/>
      </w:pPr>
      <w:r>
        <w:rPr>
          <w:rFonts w:ascii="Times New Roman;serif" w:hAnsi="Times New Roman;serif"/>
          <w:b w:val="false"/>
          <w:color w:val="000000"/>
          <w:sz w:val="24"/>
        </w:rPr>
        <w:t>5.9</w:t>
      </w:r>
      <w:r>
        <w:rPr>
          <w:rFonts w:ascii="Times New Roman;serif" w:hAnsi="Times New Roman;serif"/>
          <w:b w:val="false"/>
          <w:color w:val="000000"/>
          <w:sz w:val="24"/>
          <w:u w:val="single"/>
        </w:rPr>
        <w:t>Amendment and Termination of the Plan</w:t>
      </w:r>
      <w:r>
        <w:rPr>
          <w:rFonts w:ascii="Times New Roman;serif" w:hAnsi="Times New Roman;serif"/>
          <w:b w:val="false"/>
          <w:color w:val="000000"/>
          <w:sz w:val="24"/>
        </w:rPr>
        <w:t>. The Committee reserves the right to amend or terminate the Plan at any time, provided that no amendment or termination (a) shall deprive a Participant of any Award that is earned up to the date of the amendment or termination, or (b) shall result in the acceleration of any Award payable under the Plan if such acceleration would result in any Participants incurring a tax under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5.10</w:t>
      </w:r>
      <w:r>
        <w:rPr>
          <w:rFonts w:ascii="Times New Roman;serif" w:hAnsi="Times New Roman;serif"/>
          <w:b w:val="false"/>
          <w:color w:val="000000"/>
          <w:sz w:val="24"/>
          <w:u w:val="single"/>
        </w:rPr>
        <w:t>Expenses; Funding</w:t>
      </w:r>
      <w:r>
        <w:rPr>
          <w:rFonts w:ascii="Times New Roman;serif" w:hAnsi="Times New Roman;serif"/>
          <w:b w:val="false"/>
          <w:color w:val="000000"/>
          <w:sz w:val="24"/>
        </w:rPr>
        <w:t>. All expenses of the Company with respect to the Plan shall be paid by the Company. Nothing contained in the Plan, and no action taken pursuant to its provisions, shall create or be construed to create a trust of any kind or a fiduciary relationship between the Company and any Participant, the Participant’s estate, or any other person. To the extent that a Participant or the Participant’s estate acquires a right to receive a payment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The Plan is not intended to be subject to the Employee Retirement Income Security Act of 1974, as amended.</w:t>
      </w:r>
    </w:p>
    <w:p>
      <w:pPr>
        <w:pStyle w:val="TextBody"/>
        <w:bidi w:val="0"/>
        <w:spacing w:lineRule="auto" w:line="288" w:before="0" w:after="0"/>
        <w:ind w:left="0" w:right="0" w:firstLine="72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rPr>
        <w:t>Governing Laws</w:t>
      </w:r>
      <w:r>
        <w:rPr>
          <w:rFonts w:ascii="Times New Roman;serif" w:hAnsi="Times New Roman;serif"/>
          <w:b w:val="false"/>
          <w:color w:val="000000"/>
          <w:sz w:val="24"/>
        </w:rPr>
        <w:t>. This Plan shall be construed and enforced in accordance with the internal laws of New York, except for those matters subject to The Companies Act, 1981 of Bermuda (as amended), which shall be governed by such law, without giving effect to principles of conflicts of laws, and construed accordingly, and by applicable provision of federal tax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Appendix 1</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 Criteria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Award shall consist of one or more of the following performance criteria for each Performance Period: (a) Adjusted Company Combined Ratio and/or Adjusted Segment Combined Ratio; (b) Adjusted EBIT; and (c) successful pursuit, as determined by the Committee, of the strategic initiatives identified in the written resolutions or minutes approved and adopted by the Board upon the recommendation of the Committee (the “Adopted Resolutions”). The performance criteria assigned to any particular Participant for a Performance Period and the weighting as between or among multiple performance criteria assigned to a Participant will be set forth in the Adopted Resolutions.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purposes of making computations pursuant the Adopted Resolutions, the following rules apply: (1) only the highest level attained under each performance criterion, as determined by the Committee, is credited towards the amount payable under an Award; (2) for the combined ratio(s) and Adjusted EBIT Performance Criteria, the level of performance achieved between threshold and maximum levels shall be determined by linear interpolation; (3) attainment of a performance level above each maximum level indicated does not increase the payout amount; and (4) the payout at each level will be apportioned among the Performance Criteria as indicated in the Adopted Resolutions.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Post-grant adjustments, if any, to the Performance Criteria established by an Award may be made under such circumstances as contemplated by the terms of the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purposes of the Plan, the following terms used in the Plan have the following meanings: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Adjusted EBIT</w:t>
      </w:r>
      <w:r>
        <w:rPr>
          <w:color w:val="000000"/>
        </w:rPr>
        <w:t xml:space="preserve">” </w:t>
      </w:r>
      <w:r>
        <w:rPr>
          <w:rFonts w:ascii="Times New Roman;serif" w:hAnsi="Times New Roman;serif"/>
          <w:b w:val="false"/>
          <w:color w:val="000000"/>
          <w:sz w:val="22"/>
        </w:rPr>
        <w:t>means net income of the Company before income taxes and interest and excluding the portion of favorable or unfavorable prior year reserve development for which the Company’s subsidiaries ceded the risk under retroactive reinsurance agreements and related changes in the amortization of the deferred gain.</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Adjusted Company Combined Ratio</w:t>
      </w:r>
      <w:r>
        <w:rPr>
          <w:color w:val="000000"/>
        </w:rPr>
        <w:t xml:space="preserve">” </w:t>
      </w:r>
      <w:r>
        <w:rPr>
          <w:rFonts w:ascii="Times New Roman;serif" w:hAnsi="Times New Roman;serif"/>
          <w:b w:val="false"/>
          <w:color w:val="000000"/>
          <w:sz w:val="22"/>
        </w:rPr>
        <w:t>means the combined ratio of the Company reporting on a consolidated basis, calculated prior to the effect of favorable or unfavorable prior year reserve development for which the Company’s subsidiaries ceded the risk under retroactive reinsurance agreements and the related changes in the amortization of the deferred gain.</w:t>
      </w:r>
    </w:p>
    <w:p>
      <w:pPr>
        <w:pStyle w:val="TextBody"/>
        <w:bidi w:val="0"/>
        <w:spacing w:lineRule="auto" w:line="288"/>
        <w:jc w:val="both"/>
        <w:rPr/>
      </w:pPr>
      <w:r>
        <w:rPr>
          <w:color w:val="000000"/>
        </w:rPr>
        <w:t>“</w:t>
      </w:r>
      <w:r>
        <w:rPr>
          <w:rFonts w:ascii="Times New Roman;serif" w:hAnsi="Times New Roman;serif"/>
          <w:b w:val="false"/>
          <w:color w:val="000000"/>
          <w:sz w:val="22"/>
          <w:u w:val="single"/>
        </w:rPr>
        <w:t>Adjusted Segment Combined Ratio</w:t>
      </w:r>
      <w:r>
        <w:rPr>
          <w:color w:val="000000"/>
        </w:rPr>
        <w:t xml:space="preserve">” </w:t>
      </w:r>
      <w:r>
        <w:rPr>
          <w:rFonts w:ascii="Times New Roman;serif" w:hAnsi="Times New Roman;serif"/>
          <w:b w:val="false"/>
          <w:color w:val="000000"/>
          <w:sz w:val="22"/>
        </w:rPr>
        <w:t xml:space="preserve">means, for each of the Company’s business segments, the combined ratio </w:t>
      </w:r>
      <w:r>
        <w:rPr>
          <w:rFonts w:ascii="Times New Roman;serif" w:hAnsi="Times New Roman;serif"/>
          <w:b w:val="false"/>
          <w:color w:val="000000"/>
          <w:sz w:val="24"/>
        </w:rPr>
        <w:t>calculated prior to the effect of favorable or unfavorable prior year reserve development for which the segment ceded the risk under retroactive reinsurance agreements, if any, and the related changes in the amortization of the deferred gain</w:t>
      </w: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James River Group,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1414 Raleigh Road, Suite 405,</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Chapel Hill, NC 27517</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May 5, 2025</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Mr. Richard J. Schmitzer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Dear Richard:</w:t>
      </w:r>
    </w:p>
    <w:p>
      <w:pPr>
        <w:pStyle w:val="TextBody"/>
        <w:bidi w:val="0"/>
        <w:spacing w:lineRule="auto" w:line="288" w:before="0" w:after="240"/>
        <w:jc w:val="left"/>
        <w:rPr/>
      </w:pPr>
      <w:r>
        <w:rPr>
          <w:rFonts w:ascii="Times New Roman;serif" w:hAnsi="Times New Roman;serif"/>
          <w:b w:val="false"/>
          <w:color w:val="000000"/>
          <w:sz w:val="22"/>
        </w:rPr>
        <w:t>Reference is made to your employment agreement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dated January 15, 2018, with James River Group Inc. (the “</w:t>
      </w:r>
      <w:r>
        <w:rPr>
          <w:rFonts w:ascii="Times New Roman;serif" w:hAnsi="Times New Roman;serif"/>
          <w:b w:val="false"/>
          <w:color w:val="000000"/>
          <w:sz w:val="22"/>
          <w:u w:val="single"/>
        </w:rPr>
        <w:t>Parent Company</w:t>
      </w:r>
      <w:r>
        <w:rPr>
          <w:color w:val="000000"/>
        </w:rPr>
        <w:t>”</w:t>
      </w:r>
      <w:r>
        <w:rPr>
          <w:rFonts w:ascii="Times New Roman;serif" w:hAnsi="Times New Roman;serif"/>
          <w:b w:val="false"/>
          <w:color w:val="000000"/>
          <w:sz w:val="22"/>
        </w:rPr>
        <w:t>), pursuant to which you serve as the President and Chief Executive Officer of two subsidiaries of the Parent Company: James River Insurance Company (“</w:t>
      </w:r>
      <w:r>
        <w:rPr>
          <w:rFonts w:ascii="Times New Roman;serif" w:hAnsi="Times New Roman;serif"/>
          <w:b w:val="false"/>
          <w:color w:val="000000"/>
          <w:sz w:val="22"/>
          <w:u w:val="single"/>
        </w:rPr>
        <w:t>JRI</w:t>
      </w:r>
      <w:r>
        <w:rPr>
          <w:color w:val="000000"/>
        </w:rPr>
        <w:t>”</w:t>
      </w:r>
      <w:r>
        <w:rPr>
          <w:rFonts w:ascii="Times New Roman;serif" w:hAnsi="Times New Roman;serif"/>
          <w:b w:val="false"/>
          <w:color w:val="000000"/>
          <w:sz w:val="22"/>
        </w:rPr>
        <w:t>) and James River Management Company, Inc. (“</w:t>
      </w:r>
      <w:r>
        <w:rPr>
          <w:rFonts w:ascii="Times New Roman;serif" w:hAnsi="Times New Roman;serif"/>
          <w:b w:val="false"/>
          <w:color w:val="000000"/>
          <w:sz w:val="22"/>
          <w:u w:val="single"/>
        </w:rPr>
        <w:t>JRMC</w:t>
      </w:r>
      <w:r>
        <w:rPr>
          <w:color w:val="000000"/>
        </w:rPr>
        <w:t>”</w:t>
      </w:r>
      <w:r>
        <w:rPr>
          <w:rFonts w:ascii="Times New Roman;serif" w:hAnsi="Times New Roman;serif"/>
          <w:b w:val="false"/>
          <w:color w:val="000000"/>
          <w:sz w:val="22"/>
        </w:rPr>
        <w:t>) (together, the “</w:t>
      </w:r>
      <w:r>
        <w:rPr>
          <w:rFonts w:ascii="Times New Roman;serif" w:hAnsi="Times New Roman;serif"/>
          <w:b w:val="false"/>
          <w:color w:val="000000"/>
          <w:sz w:val="22"/>
          <w:u w:val="single"/>
        </w:rPr>
        <w:t>Companies</w:t>
      </w:r>
      <w:r>
        <w:rPr>
          <w:color w:val="000000"/>
        </w:rPr>
        <w:t>”</w:t>
      </w:r>
      <w:r>
        <w:rPr>
          <w:rFonts w:ascii="Times New Roman;serif" w:hAnsi="Times New Roman;serif"/>
          <w:b w:val="false"/>
          <w:color w:val="000000"/>
          <w:sz w:val="22"/>
        </w:rPr>
        <w:t>). You have advised Parent Company that you will retire from the Companies during calendar year 2025 (the actual date of such retirement referred to as the “</w:t>
      </w:r>
      <w:r>
        <w:rPr>
          <w:rFonts w:ascii="Times New Roman;serif" w:hAnsi="Times New Roman;serif"/>
          <w:b w:val="false"/>
          <w:color w:val="000000"/>
          <w:sz w:val="22"/>
          <w:u w:val="single"/>
        </w:rPr>
        <w:t>Retirement Date</w:t>
      </w:r>
      <w:r>
        <w:rPr>
          <w:color w:val="000000"/>
        </w:rPr>
        <w:t>”</w:t>
      </w:r>
      <w:r>
        <w:rPr>
          <w:rFonts w:ascii="Times New Roman;serif" w:hAnsi="Times New Roman;serif"/>
          <w:b w:val="false"/>
          <w:color w:val="000000"/>
          <w:sz w:val="22"/>
        </w:rPr>
        <w:t>), and in this regard, the Company has adopted a succession plan to identify a new principal executive officer of the Companies. In connection with the succession plan, this letter confirms your agreement to (i) relinquish the title of President of the Companies effective May 5, 2025, (ii) relinquish the title of Chief Executive Officer of the Companies effective July 31, 2025, and (iii) assist in the transition of your responsibilities as the principal executive officer of the Companies to your successor during the period of May 5, 2025 through the Retirement Date. You further agree that such changes in title and duties specified in the immediately preceding sentence shall not serve as the basis for a termination of the Employment Agreement for Good Reason (as such term is defined in the Employment Agreement). You also acknowledge that you and the Company shall negotiate in good faith to provide you with a new title with the Companies, and adjusted compensation to reflect your modified duties, with such changes to be effective after the date that you relinquish your title as Chief Executive Officer of the Companies.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Except as provided in this letter, you agree that the Employment Agreement shall remain in full force and effect in accordance with its existing terms.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[Signature Page Follows]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480"/>
        <w:jc w:val="left"/>
        <w:rPr/>
      </w:pPr>
      <w:r>
        <w:rPr>
          <w:rFonts w:ascii="Times New Roman;serif" w:hAnsi="Times New Roman;serif"/>
          <w:b w:val="false"/>
          <w:color w:val="0A0A0A"/>
          <w:sz w:val="22"/>
        </w:rPr>
        <w:t xml:space="preserve">Please confirm your agreement </w:t>
      </w:r>
      <w:r>
        <w:rPr>
          <w:rFonts w:ascii="Times New Roman;serif" w:hAnsi="Times New Roman;serif"/>
          <w:b w:val="false"/>
          <w:color w:val="1F1F1F"/>
          <w:sz w:val="22"/>
        </w:rPr>
        <w:t xml:space="preserve">with </w:t>
      </w:r>
      <w:r>
        <w:rPr>
          <w:rFonts w:ascii="Times New Roman;serif" w:hAnsi="Times New Roman;serif"/>
          <w:b w:val="false"/>
          <w:color w:val="0A0A0A"/>
          <w:sz w:val="22"/>
        </w:rPr>
        <w:t xml:space="preserve">the foregoing by signing </w:t>
      </w:r>
      <w:r>
        <w:rPr>
          <w:rFonts w:ascii="Times New Roman;serif" w:hAnsi="Times New Roman;serif"/>
          <w:b w:val="false"/>
          <w:color w:val="1F1F1F"/>
          <w:sz w:val="22"/>
        </w:rPr>
        <w:t xml:space="preserve">and </w:t>
      </w:r>
      <w:r>
        <w:rPr>
          <w:rFonts w:ascii="Times New Roman;serif" w:hAnsi="Times New Roman;serif"/>
          <w:b w:val="false"/>
          <w:color w:val="0A0A0A"/>
          <w:sz w:val="22"/>
        </w:rPr>
        <w:t xml:space="preserve">returning a </w:t>
      </w:r>
      <w:r>
        <w:rPr>
          <w:rFonts w:ascii="Times New Roman;serif" w:hAnsi="Times New Roman;serif"/>
          <w:b w:val="false"/>
          <w:color w:val="1F1F1F"/>
          <w:sz w:val="22"/>
        </w:rPr>
        <w:t xml:space="preserve">copy </w:t>
      </w:r>
      <w:r>
        <w:rPr>
          <w:rFonts w:ascii="Times New Roman;serif" w:hAnsi="Times New Roman;serif"/>
          <w:b w:val="false"/>
          <w:color w:val="0A0A0A"/>
          <w:sz w:val="22"/>
        </w:rPr>
        <w:t>of this letter.</w:t>
      </w:r>
    </w:p>
    <w:tbl>
      <w:tblPr>
        <w:tblW w:w="5133" w:type="dxa"/>
        <w:jc w:val="left"/>
        <w:tblInd w:w="0" w:type="dxa"/>
        <w:tblLayout w:type="fixed"/>
        <w:tblCellMar>
          <w:top w:w="28" w:type="dxa"/>
          <w:left w:w="28" w:type="dxa"/>
          <w:bottom w:w="28" w:type="dxa"/>
          <w:right w:w="28" w:type="dxa"/>
        </w:tblCellMar>
      </w:tblPr>
      <w:tblGrid>
        <w:gridCol w:w="171"/>
        <w:gridCol w:w="150"/>
        <w:gridCol w:w="150"/>
        <w:gridCol w:w="150"/>
        <w:gridCol w:w="150"/>
        <w:gridCol w:w="150"/>
        <w:gridCol w:w="657"/>
        <w:gridCol w:w="657"/>
        <w:gridCol w:w="657"/>
        <w:gridCol w:w="657"/>
        <w:gridCol w:w="657"/>
        <w:gridCol w:w="927"/>
      </w:tblGrid>
      <w:tr>
        <w:trPr/>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River Group, Inc.</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Frank N. D’Orazio</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Frank N. D’Orazio</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5, 2025</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Accepted and agreed to this 5th day of May, 2025:</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River Insurance Company</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Angela J. Burnett</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Angela J. Burnett</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SVP, Chief Human Resources Officer</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River Management Company, Inc.</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Angela J. Burnett</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Angela J. Burnett</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SVP, Chief Human Resources Officer</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Richard Schmitzer</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Richard Schmitzer</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i/>
                                <w:color w:val="0A0A0A"/>
                                <w:sz w:val="20"/>
                              </w:rPr>
                              <w:t xml:space="preserve">[Signature Page to </w:t>
                            </w:r>
                            <w:r>
                              <w:rPr>
                                <w:rFonts w:ascii="Times New Roman;serif" w:hAnsi="Times New Roman;serif"/>
                                <w:b w:val="false"/>
                                <w:i/>
                                <w:color w:val="1F1F1F"/>
                                <w:sz w:val="20"/>
                              </w:rPr>
                              <w:t xml:space="preserve">Letter </w:t>
                            </w:r>
                            <w:r>
                              <w:rPr>
                                <w:rFonts w:ascii="Times New Roman;serif" w:hAnsi="Times New Roman;serif"/>
                                <w:b w:val="false"/>
                                <w:i/>
                                <w:color w:val="0A0A0A"/>
                                <w:sz w:val="20"/>
                              </w:rPr>
                              <w:t>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i/>
                          <w:color w:val="0A0A0A"/>
                          <w:sz w:val="20"/>
                        </w:rPr>
                        <w:t xml:space="preserve">[Signature Page to </w:t>
                      </w:r>
                      <w:r>
                        <w:rPr>
                          <w:rFonts w:ascii="Times New Roman;serif" w:hAnsi="Times New Roman;serif"/>
                          <w:b w:val="false"/>
                          <w:i/>
                          <w:color w:val="1F1F1F"/>
                          <w:sz w:val="20"/>
                        </w:rPr>
                        <w:t xml:space="preserve">Letter </w:t>
                      </w:r>
                      <w:r>
                        <w:rPr>
                          <w:rFonts w:ascii="Times New Roman;serif" w:hAnsi="Times New Roman;serif"/>
                          <w:b w:val="false"/>
                          <w:i/>
                          <w:color w:val="0A0A0A"/>
                          <w:sz w:val="20"/>
                        </w:rPr>
                        <w:t>Agreement]</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Frank N. D’Orazio,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2025 </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886"/>
        <w:gridCol w:w="776"/>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Sarah C. Doran,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2025 </w:t>
      </w:r>
    </w:p>
    <w:p>
      <w:pPr>
        <w:pStyle w:val="TextBody"/>
        <w:bidi w:val="0"/>
        <w:spacing w:before="100" w:after="283"/>
        <w:jc w:val="left"/>
        <w:rPr/>
      </w:pPr>
      <w:r>
        <w:rPr/>
      </w:r>
    </w:p>
    <w:tbl>
      <w:tblPr>
        <w:tblW w:w="2757" w:type="dxa"/>
        <w:jc w:val="center"/>
        <w:tblInd w:w="0" w:type="dxa"/>
        <w:tblLayout w:type="fixed"/>
        <w:tblCellMar>
          <w:top w:w="28" w:type="dxa"/>
          <w:left w:w="28" w:type="dxa"/>
          <w:bottom w:w="28" w:type="dxa"/>
          <w:right w:w="28" w:type="dxa"/>
        </w:tblCellMar>
      </w:tblPr>
      <w:tblGrid>
        <w:gridCol w:w="863"/>
        <w:gridCol w:w="759"/>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James River Group Holdings, Ltd. (the “Company”) on Form 10-Q for the period ended June 30, 2025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bidi w:val="0"/>
        <w:spacing w:lineRule="auto" w:line="288" w:before="120" w:after="1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459/000162828018002654/jrvrex102212312017.htm" TargetMode="External"/><Relationship Id="rId3" Type="http://schemas.openxmlformats.org/officeDocument/2006/relationships/hyperlink" Target="https://www.sec.gov/Archives/edgar/data/1620459/000162045925000090/exhibit101-creditagreement.htm" TargetMode="External"/><Relationship Id="rId4" Type="http://schemas.openxmlformats.org/officeDocument/2006/relationships/hyperlink" Target="https://www.sec.gov/Archives/edgar/data/1620459/000162045925000090/exhibit102-jrgukguaranty.htm" TargetMode="External"/><Relationship Id="rId5" Type="http://schemas.openxmlformats.org/officeDocument/2006/relationships/hyperlink" Target="https://www.sec.gov/Archives/edgar/data/1620459/000162045925000090/exhibit103-jrgiguarant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39004</Words>
  <Characters>214347</Characters>
  <CharactersWithSpaces>251002</CharactersWithSpaces>
  <Paragraphs>5702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