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232410</wp:posOffset>
            </wp:positionH>
            <wp:positionV relativeFrom="page">
              <wp:posOffset>417195</wp:posOffset>
            </wp:positionV>
            <wp:extent cx="70929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2950" cy="8255"/>
                    </a:xfrm>
                    <a:prstGeom prst="rect">
                      <a:avLst/>
                    </a:prstGeom>
                    <a:noFill/>
                  </pic:spPr>
                </pic:pic>
              </a:graphicData>
            </a:graphic>
          </wp:anchor>
        </w:drawing>
        <w:drawing>
          <wp:anchor simplePos="0" relativeHeight="251657728" behindDoc="1" locked="0" layoutInCell="0" allowOverlap="1">
            <wp:simplePos x="0" y="0"/>
            <wp:positionH relativeFrom="page">
              <wp:posOffset>232410</wp:posOffset>
            </wp:positionH>
            <wp:positionV relativeFrom="page">
              <wp:posOffset>375285</wp:posOffset>
            </wp:positionV>
            <wp:extent cx="70929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950" cy="1651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62"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10" w:lineRule="exact"/>
        <w:rPr>
          <w:sz w:val="24"/>
          <w:szCs w:val="24"/>
          <w:color w:val="auto"/>
        </w:rPr>
      </w:pPr>
    </w:p>
    <w:p>
      <w:pPr>
        <w:ind w:left="740" w:hanging="716"/>
        <w:spacing w:after="0"/>
        <w:tabs>
          <w:tab w:leader="none" w:pos="7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ended September 30, 2023</w:t>
      </w:r>
    </w:p>
    <w:p>
      <w:pPr>
        <w:spacing w:after="0" w:line="9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28"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 for the transition period</w:t>
      </w:r>
    </w:p>
    <w:p>
      <w:pPr>
        <w:spacing w:after="0" w:line="10" w:lineRule="exact"/>
        <w:rPr>
          <w:sz w:val="24"/>
          <w:szCs w:val="24"/>
          <w:color w:val="auto"/>
        </w:rPr>
      </w:pPr>
    </w:p>
    <w:p>
      <w:pPr>
        <w:ind w:left="740" w:hanging="716"/>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from _______ to _______</w:t>
      </w: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001-36777</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-288290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15" w:lineRule="exact"/>
        <w:rPr>
          <w:sz w:val="24"/>
          <w:szCs w:val="24"/>
          <w:color w:val="auto"/>
        </w:rPr>
      </w:pPr>
    </w:p>
    <w:tbl>
      <w:tblPr>
        <w:tblLayout w:type="fixed"/>
        <w:tblInd w:w="1740" w:type="dxa"/>
        <w:tblCellMar>
          <w:top w:w="0" w:type="dxa"/>
          <w:left w:w="0" w:type="dxa"/>
          <w:bottom w:w="0" w:type="dxa"/>
          <w:right w:w="0" w:type="dxa"/>
        </w:tblCellMar>
      </w:tblPr>
      <w:tr>
        <w:trPr>
          <w:trHeight w:val="229"/>
        </w:trPr>
        <w:tc>
          <w:tcPr>
            <w:tcW w:w="1900" w:type="dxa"/>
            <w:vAlign w:val="bottom"/>
          </w:tcPr>
          <w:p>
            <w:pPr>
              <w:spacing w:after="0"/>
              <w:rPr>
                <w:sz w:val="19"/>
                <w:szCs w:val="19"/>
                <w:color w:val="auto"/>
              </w:rPr>
            </w:pPr>
          </w:p>
        </w:tc>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243"/>
        </w:trPr>
        <w:tc>
          <w:tcPr>
            <w:tcW w:w="1900" w:type="dxa"/>
            <w:vAlign w:val="bottom"/>
          </w:tcPr>
          <w:p>
            <w:pPr>
              <w:jc w:val="center"/>
              <w:ind w:right="3"/>
              <w:spacing w:after="0"/>
              <w:rPr>
                <w:sz w:val="20"/>
                <w:szCs w:val="20"/>
                <w:color w:val="auto"/>
              </w:rPr>
            </w:pPr>
            <w:r>
              <w:rPr>
                <w:rFonts w:ascii="Arial" w:cs="Arial" w:eastAsia="Arial" w:hAnsi="Arial"/>
                <w:sz w:val="18"/>
                <w:szCs w:val="18"/>
                <w:b w:val="1"/>
                <w:bCs w:val="1"/>
                <w:color w:val="auto"/>
                <w:w w:val="89"/>
              </w:rPr>
              <w:t>Bermuda</w:t>
            </w:r>
          </w:p>
        </w:tc>
        <w:tc>
          <w:tcPr>
            <w:tcW w:w="5520" w:type="dxa"/>
            <w:vAlign w:val="bottom"/>
          </w:tcPr>
          <w:p>
            <w:pPr>
              <w:jc w:val="center"/>
              <w:ind w:left="4281"/>
              <w:spacing w:after="0"/>
              <w:rPr>
                <w:sz w:val="20"/>
                <w:szCs w:val="20"/>
                <w:color w:val="auto"/>
              </w:rPr>
            </w:pPr>
            <w:r>
              <w:rPr>
                <w:rFonts w:ascii="Arial" w:cs="Arial" w:eastAsia="Arial" w:hAnsi="Arial"/>
                <w:sz w:val="18"/>
                <w:szCs w:val="18"/>
                <w:b w:val="1"/>
                <w:bCs w:val="1"/>
                <w:color w:val="auto"/>
                <w:w w:val="87"/>
              </w:rPr>
              <w:t>98-0585280</w:t>
            </w:r>
          </w:p>
        </w:tc>
      </w:tr>
      <w:tr>
        <w:trPr>
          <w:trHeight w:val="142"/>
        </w:trPr>
        <w:tc>
          <w:tcPr>
            <w:tcW w:w="1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(State or other jurisdiction of</w:t>
            </w:r>
          </w:p>
        </w:tc>
        <w:tc>
          <w:tcPr>
            <w:tcW w:w="5520" w:type="dxa"/>
            <w:vAlign w:val="bottom"/>
          </w:tcPr>
          <w:p>
            <w:pPr>
              <w:jc w:val="center"/>
              <w:ind w:left="4301"/>
              <w:spacing w:after="0" w:line="142"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520" w:type="dxa"/>
            <w:vAlign w:val="bottom"/>
          </w:tcPr>
          <w:p>
            <w:pPr>
              <w:jc w:val="center"/>
              <w:ind w:left="4321"/>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88" w:lineRule="exact"/>
        <w:rPr>
          <w:sz w:val="24"/>
          <w:szCs w:val="24"/>
          <w:color w:val="auto"/>
        </w:rPr>
      </w:pPr>
    </w:p>
    <w:p>
      <w:pPr>
        <w:jc w:val="center"/>
        <w:ind w:left="480" w:right="2720"/>
        <w:spacing w:after="0" w:line="26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232"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(441) 278-4580</w:t>
      </w:r>
    </w:p>
    <w:p>
      <w:pPr>
        <w:spacing w:after="0" w:line="22"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5" w:lineRule="exact"/>
        <w:rPr>
          <w:sz w:val="24"/>
          <w:szCs w:val="24"/>
          <w:color w:val="auto"/>
        </w:rPr>
      </w:pPr>
    </w:p>
    <w:tbl>
      <w:tblPr>
        <w:tblLayout w:type="fixed"/>
        <w:tblInd w:w="130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34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Names of each exchange on which registered</w:t>
            </w:r>
          </w:p>
        </w:tc>
      </w:tr>
      <w:tr>
        <w:trPr>
          <w:trHeight w:val="284"/>
        </w:trPr>
        <w:tc>
          <w:tcPr>
            <w:tcW w:w="360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Common Shares, par value $0.0002 per share</w:t>
            </w: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JRVR</w:t>
            </w:r>
          </w:p>
        </w:tc>
        <w:tc>
          <w:tcPr>
            <w:tcW w:w="320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95"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67"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6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p>
      <w:pPr>
        <w:ind w:left="20"/>
        <w:spacing w:after="0" w:line="184" w:lineRule="exact"/>
        <w:tabs>
          <w:tab w:leader="none" w:pos="1960" w:val="left"/>
          <w:tab w:leader="none" w:pos="3660" w:val="left"/>
          <w:tab w:leader="none" w:pos="5720" w:val="left"/>
          <w:tab w:leader="none" w:pos="8340" w:val="left"/>
          <w:tab w:leader="none" w:pos="110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x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58"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 w:lineRule="exact"/>
        <w:rPr>
          <w:sz w:val="24"/>
          <w:szCs w:val="24"/>
          <w:color w:val="auto"/>
        </w:rPr>
      </w:pPr>
    </w:p>
    <w:p>
      <w:pPr>
        <w:spacing w:after="0" w:line="207" w:lineRule="exact"/>
        <w:tabs>
          <w:tab w:leader="none" w:pos="7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November 13, 2023: 37,639,568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444500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111760</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86995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3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0380" w:type="dxa"/>
            <w:vAlign w:val="bottom"/>
            <w:gridSpan w:val="23"/>
            <w:shd w:val="clear" w:color="auto" w:fill="CCEEFF"/>
          </w:tcPr>
          <w:p>
            <w:pPr>
              <w:spacing w:after="0" w:line="191" w:lineRule="exact"/>
              <w:rPr>
                <w:sz w:val="20"/>
                <w:szCs w:val="20"/>
                <w:color w:val="auto"/>
              </w:rPr>
            </w:pPr>
            <w:r>
              <w:rPr>
                <w:rFonts w:ascii="Arial" w:cs="Arial" w:eastAsia="Arial" w:hAnsi="Arial"/>
                <w:sz w:val="18"/>
                <w:szCs w:val="18"/>
                <w:color w:val="0000FF"/>
              </w:rPr>
              <w:t>PART I. FINANCIAL INFORMATION</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Item 1.</w:t>
            </w:r>
          </w:p>
        </w:tc>
        <w:tc>
          <w:tcPr>
            <w:tcW w:w="946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Financial Statements</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6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Condensed Consolidated Balance Sheets—September 30, 2023 and December 31, 2022</w:t>
            </w:r>
          </w:p>
        </w:tc>
        <w:tc>
          <w:tcPr>
            <w:tcW w:w="520" w:type="dxa"/>
            <w:vAlign w:val="bottom"/>
            <w:tcBorders>
              <w:right w:val="single" w:sz="8" w:color="CCEEFF"/>
            </w:tcBorders>
            <w:gridSpan w:val="3"/>
            <w:shd w:val="clear" w:color="auto" w:fill="CCEEFF"/>
          </w:tcPr>
          <w:p>
            <w:pPr>
              <w:jc w:val="center"/>
              <w:ind w:left="234"/>
              <w:spacing w:after="0" w:line="186" w:lineRule="exact"/>
              <w:rPr>
                <w:sz w:val="20"/>
                <w:szCs w:val="20"/>
                <w:color w:val="auto"/>
              </w:rPr>
            </w:pPr>
            <w:r>
              <w:rPr>
                <w:rFonts w:ascii="Arial" w:cs="Arial" w:eastAsia="Arial" w:hAnsi="Arial"/>
                <w:sz w:val="18"/>
                <w:szCs w:val="18"/>
                <w:color w:val="0000FF"/>
                <w:w w:val="79"/>
              </w:rPr>
              <w:t>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6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w w:val="89"/>
              </w:rPr>
              <w:t>Condensed Consolidated Statements of Income and Comprehensive Income (Loss)—Three and Nine Months Ended September 30,</w:t>
            </w:r>
          </w:p>
        </w:tc>
        <w:tc>
          <w:tcPr>
            <w:tcW w:w="520" w:type="dxa"/>
            <w:vAlign w:val="bottom"/>
            <w:tcBorders>
              <w:right w:val="single" w:sz="8" w:color="CCEEFF"/>
            </w:tcBorders>
            <w:gridSpan w:val="3"/>
            <w:vMerge w:val="restart"/>
            <w:shd w:val="clear" w:color="auto" w:fill="CCEEFF"/>
          </w:tcPr>
          <w:p>
            <w:pPr>
              <w:jc w:val="center"/>
              <w:ind w:left="234"/>
              <w:spacing w:after="0"/>
              <w:rPr>
                <w:sz w:val="20"/>
                <w:szCs w:val="20"/>
                <w:color w:val="auto"/>
              </w:rPr>
            </w:pPr>
            <w:r>
              <w:rPr>
                <w:rFonts w:ascii="Arial" w:cs="Arial" w:eastAsia="Arial" w:hAnsi="Arial"/>
                <w:sz w:val="18"/>
                <w:szCs w:val="18"/>
                <w:color w:val="0000FF"/>
                <w:w w:val="79"/>
              </w:rPr>
              <w:t>7</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280" w:type="dxa"/>
            <w:vAlign w:val="bottom"/>
            <w:tcBorders>
              <w:top w:val="single" w:sz="8" w:color="0000FF"/>
            </w:tcBorders>
            <w:gridSpan w:val="18"/>
            <w:shd w:val="clear" w:color="auto" w:fill="CCEEFF"/>
          </w:tcPr>
          <w:p>
            <w:pPr>
              <w:spacing w:after="0" w:line="139" w:lineRule="exact"/>
              <w:rPr>
                <w:sz w:val="20"/>
                <w:szCs w:val="20"/>
                <w:color w:val="auto"/>
              </w:rPr>
            </w:pPr>
            <w:r>
              <w:rPr>
                <w:rFonts w:ascii="Arial" w:cs="Arial" w:eastAsia="Arial" w:hAnsi="Arial"/>
                <w:sz w:val="15"/>
                <w:szCs w:val="15"/>
                <w:color w:val="0000FF"/>
              </w:rPr>
              <w:t>2023 and 2022</w:t>
            </w:r>
          </w:p>
        </w:tc>
        <w:tc>
          <w:tcPr>
            <w:tcW w:w="1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right w:val="single" w:sz="8" w:color="CCEEFF"/>
            </w:tcBorders>
            <w:gridSpan w:val="3"/>
            <w:vMerge w:val="continue"/>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6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w w:val="89"/>
              </w:rPr>
              <w:t>Condensed Consolidated Statements of Changes in Shareholders’ Equity—Three and Nine Months Ended September 30, 2023 and</w:t>
            </w:r>
          </w:p>
        </w:tc>
        <w:tc>
          <w:tcPr>
            <w:tcW w:w="520" w:type="dxa"/>
            <w:vAlign w:val="bottom"/>
            <w:tcBorders>
              <w:right w:val="single" w:sz="8" w:color="CCEEFF"/>
            </w:tcBorders>
            <w:gridSpan w:val="3"/>
            <w:vMerge w:val="restart"/>
            <w:shd w:val="clear" w:color="auto" w:fill="CCEEFF"/>
          </w:tcPr>
          <w:p>
            <w:pPr>
              <w:jc w:val="center"/>
              <w:ind w:left="234"/>
              <w:spacing w:after="0"/>
              <w:rPr>
                <w:sz w:val="20"/>
                <w:szCs w:val="20"/>
                <w:color w:val="auto"/>
              </w:rPr>
            </w:pPr>
            <w:r>
              <w:rPr>
                <w:rFonts w:ascii="Arial" w:cs="Arial" w:eastAsia="Arial" w:hAnsi="Arial"/>
                <w:sz w:val="18"/>
                <w:szCs w:val="18"/>
                <w:color w:val="0000FF"/>
                <w:w w:val="79"/>
              </w:rPr>
              <w:t>8</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0000FF"/>
            </w:tcBorders>
            <w:shd w:val="clear" w:color="auto" w:fill="CCEEFF"/>
          </w:tcPr>
          <w:p>
            <w:pPr>
              <w:spacing w:after="0" w:line="139" w:lineRule="exact"/>
              <w:rPr>
                <w:sz w:val="20"/>
                <w:szCs w:val="20"/>
                <w:color w:val="auto"/>
              </w:rPr>
            </w:pPr>
            <w:r>
              <w:rPr>
                <w:rFonts w:ascii="Arial" w:cs="Arial" w:eastAsia="Arial" w:hAnsi="Arial"/>
                <w:sz w:val="15"/>
                <w:szCs w:val="15"/>
                <w:color w:val="0000FF"/>
              </w:rPr>
              <w:t>2022</w:t>
            </w: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left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tcBorders>
            <w:shd w:val="clear" w:color="auto" w:fill="CCEEFF"/>
          </w:tcPr>
          <w:p>
            <w:pPr>
              <w:spacing w:after="0"/>
              <w:rPr>
                <w:sz w:val="16"/>
                <w:szCs w:val="16"/>
                <w:color w:val="auto"/>
              </w:rPr>
            </w:pPr>
          </w:p>
        </w:tc>
        <w:tc>
          <w:tcPr>
            <w:tcW w:w="740" w:type="dxa"/>
            <w:vAlign w:val="bottom"/>
            <w:tcBorders>
              <w:top w:val="single" w:sz="8" w:color="0000FF"/>
              <w:bottom w:val="single" w:sz="8" w:color="CCEEFF"/>
            </w:tcBorders>
            <w:shd w:val="clear" w:color="auto" w:fill="CCEEFF"/>
          </w:tcPr>
          <w:p>
            <w:pPr>
              <w:spacing w:after="0"/>
              <w:rPr>
                <w:sz w:val="16"/>
                <w:szCs w:val="16"/>
                <w:color w:val="auto"/>
              </w:rPr>
            </w:pPr>
          </w:p>
        </w:tc>
        <w:tc>
          <w:tcPr>
            <w:tcW w:w="90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192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080" w:type="dxa"/>
            <w:vAlign w:val="bottom"/>
            <w:tcBorders>
              <w:top w:val="single" w:sz="8" w:color="0000FF"/>
              <w:bottom w:val="single" w:sz="8" w:color="CCEEFF"/>
            </w:tcBorders>
            <w:shd w:val="clear" w:color="auto" w:fill="CCEEFF"/>
          </w:tcPr>
          <w:p>
            <w:pPr>
              <w:spacing w:after="0"/>
              <w:rPr>
                <w:sz w:val="16"/>
                <w:szCs w:val="16"/>
                <w:color w:val="auto"/>
              </w:rPr>
            </w:pPr>
          </w:p>
        </w:tc>
        <w:tc>
          <w:tcPr>
            <w:tcW w:w="18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right w:val="single" w:sz="8" w:color="CCEEFF"/>
            </w:tcBorders>
            <w:gridSpan w:val="3"/>
            <w:vMerge w:val="continue"/>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6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Condensed Consolidated Statements of Cash Flows—Nine Months Ended September 30, 2023 and 2022</w:t>
            </w:r>
          </w:p>
        </w:tc>
        <w:tc>
          <w:tcPr>
            <w:tcW w:w="52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Arial" w:cs="Arial" w:eastAsia="Arial" w:hAnsi="Arial"/>
                <w:sz w:val="18"/>
                <w:szCs w:val="18"/>
                <w:color w:val="0000FF"/>
                <w:w w:val="89"/>
              </w:rPr>
              <w:t>10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6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Notes to Condensed Consolidated Financial Statements</w:t>
            </w:r>
          </w:p>
        </w:tc>
        <w:tc>
          <w:tcPr>
            <w:tcW w:w="520" w:type="dxa"/>
            <w:vAlign w:val="bottom"/>
            <w:tcBorders>
              <w:right w:val="single" w:sz="8" w:color="CCEEFF"/>
            </w:tcBorders>
            <w:gridSpan w:val="3"/>
            <w:shd w:val="clear" w:color="auto" w:fill="CCEEFF"/>
          </w:tcPr>
          <w:p>
            <w:pPr>
              <w:jc w:val="center"/>
              <w:ind w:left="234"/>
              <w:spacing w:after="0" w:line="186" w:lineRule="exact"/>
              <w:rPr>
                <w:sz w:val="20"/>
                <w:szCs w:val="20"/>
                <w:color w:val="auto"/>
              </w:rPr>
            </w:pPr>
            <w:r>
              <w:rPr>
                <w:rFonts w:ascii="Arial" w:cs="Arial" w:eastAsia="Arial" w:hAnsi="Arial"/>
                <w:sz w:val="18"/>
                <w:szCs w:val="18"/>
                <w:color w:val="0000FF"/>
                <w:w w:val="79"/>
              </w:rPr>
              <w:t>11</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Item 2.</w:t>
            </w:r>
          </w:p>
        </w:tc>
        <w:tc>
          <w:tcPr>
            <w:tcW w:w="946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Arial" w:cs="Arial" w:eastAsia="Arial" w:hAnsi="Arial"/>
                <w:sz w:val="18"/>
                <w:szCs w:val="18"/>
                <w:color w:val="0000FF"/>
                <w:w w:val="89"/>
              </w:rPr>
              <w:t>35</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6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Critical Accounting Policies and Estimates</w:t>
            </w:r>
          </w:p>
        </w:tc>
        <w:tc>
          <w:tcPr>
            <w:tcW w:w="52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Arial" w:cs="Arial" w:eastAsia="Arial" w:hAnsi="Arial"/>
                <w:sz w:val="18"/>
                <w:szCs w:val="18"/>
                <w:color w:val="0000FF"/>
                <w:w w:val="89"/>
              </w:rPr>
              <w:t>37</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Item 3.</w:t>
            </w:r>
          </w:p>
        </w:tc>
        <w:tc>
          <w:tcPr>
            <w:tcW w:w="946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Quantitative and Qualitative Disclosures About Market Risk</w:t>
            </w:r>
          </w:p>
        </w:tc>
        <w:tc>
          <w:tcPr>
            <w:tcW w:w="52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Arial" w:cs="Arial" w:eastAsia="Arial" w:hAnsi="Arial"/>
                <w:sz w:val="18"/>
                <w:szCs w:val="18"/>
                <w:color w:val="0000FF"/>
                <w:w w:val="89"/>
              </w:rPr>
              <w:t>62</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Item 4.</w:t>
            </w:r>
          </w:p>
        </w:tc>
        <w:tc>
          <w:tcPr>
            <w:tcW w:w="946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Controls and Procedures</w:t>
            </w:r>
          </w:p>
        </w:tc>
        <w:tc>
          <w:tcPr>
            <w:tcW w:w="52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Arial" w:cs="Arial" w:eastAsia="Arial" w:hAnsi="Arial"/>
                <w:sz w:val="18"/>
                <w:szCs w:val="18"/>
                <w:color w:val="0000FF"/>
                <w:w w:val="89"/>
              </w:rPr>
              <w:t>62</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0380" w:type="dxa"/>
            <w:vAlign w:val="bottom"/>
            <w:gridSpan w:val="23"/>
            <w:shd w:val="clear" w:color="auto" w:fill="CCEEFF"/>
          </w:tcPr>
          <w:p>
            <w:pPr>
              <w:spacing w:after="0" w:line="186" w:lineRule="exact"/>
              <w:rPr>
                <w:sz w:val="20"/>
                <w:szCs w:val="20"/>
                <w:color w:val="auto"/>
              </w:rPr>
            </w:pPr>
            <w:r>
              <w:rPr>
                <w:rFonts w:ascii="Arial" w:cs="Arial" w:eastAsia="Arial" w:hAnsi="Arial"/>
                <w:sz w:val="18"/>
                <w:szCs w:val="18"/>
                <w:color w:val="0000FF"/>
              </w:rPr>
              <w:t>PART II. OTHER INFORMATION</w:t>
            </w:r>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Item 1.</w:t>
            </w:r>
          </w:p>
        </w:tc>
        <w:tc>
          <w:tcPr>
            <w:tcW w:w="9460" w:type="dxa"/>
            <w:vAlign w:val="bottom"/>
            <w:gridSpan w:val="19"/>
            <w:shd w:val="clear" w:color="auto" w:fill="CCEEFF"/>
          </w:tcPr>
          <w:p>
            <w:pPr>
              <w:spacing w:after="0" w:line="186" w:lineRule="exact"/>
              <w:rPr>
                <w:sz w:val="20"/>
                <w:szCs w:val="20"/>
                <w:color w:val="auto"/>
              </w:rPr>
            </w:pPr>
            <w:r>
              <w:rPr>
                <w:rFonts w:ascii="Arial" w:cs="Arial" w:eastAsia="Arial" w:hAnsi="Arial"/>
                <w:sz w:val="18"/>
                <w:szCs w:val="18"/>
                <w:color w:val="0000FF"/>
              </w:rPr>
              <w:t>Legal Proceedings</w:t>
            </w:r>
          </w:p>
        </w:tc>
        <w:tc>
          <w:tcPr>
            <w:tcW w:w="52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Arial" w:cs="Arial" w:eastAsia="Arial" w:hAnsi="Arial"/>
                <w:sz w:val="18"/>
                <w:szCs w:val="18"/>
                <w:color w:val="0000FF"/>
                <w:w w:val="89"/>
              </w:rPr>
              <w:t>63</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gridSpan w:val="2"/>
          </w:tcPr>
          <w:p>
            <w:pPr>
              <w:spacing w:after="0" w:line="186" w:lineRule="exact"/>
              <w:rPr>
                <w:sz w:val="20"/>
                <w:szCs w:val="20"/>
                <w:color w:val="auto"/>
              </w:rPr>
            </w:pPr>
            <w:r>
              <w:rPr>
                <w:rFonts w:ascii="Arial" w:cs="Arial" w:eastAsia="Arial" w:hAnsi="Arial"/>
                <w:sz w:val="18"/>
                <w:szCs w:val="18"/>
                <w:color w:val="0000FF"/>
                <w:w w:val="92"/>
              </w:rPr>
              <w:t>Item 1A.</w:t>
            </w:r>
          </w:p>
        </w:tc>
        <w:tc>
          <w:tcPr>
            <w:tcW w:w="280" w:type="dxa"/>
            <w:vAlign w:val="bottom"/>
            <w:gridSpan w:val="2"/>
          </w:tcPr>
          <w:p>
            <w:pPr>
              <w:spacing w:after="0"/>
              <w:rPr>
                <w:sz w:val="16"/>
                <w:szCs w:val="16"/>
                <w:color w:val="auto"/>
              </w:rPr>
            </w:pPr>
          </w:p>
        </w:tc>
        <w:tc>
          <w:tcPr>
            <w:tcW w:w="9460" w:type="dxa"/>
            <w:vAlign w:val="bottom"/>
            <w:gridSpan w:val="19"/>
          </w:tcPr>
          <w:p>
            <w:pPr>
              <w:spacing w:after="0" w:line="186" w:lineRule="exact"/>
              <w:rPr>
                <w:sz w:val="20"/>
                <w:szCs w:val="20"/>
                <w:color w:val="auto"/>
              </w:rPr>
            </w:pPr>
            <w:r>
              <w:rPr>
                <w:rFonts w:ascii="Arial" w:cs="Arial" w:eastAsia="Arial" w:hAnsi="Arial"/>
                <w:sz w:val="18"/>
                <w:szCs w:val="18"/>
                <w:color w:val="0000FF"/>
              </w:rPr>
              <w:t>Risk Factors</w:t>
            </w:r>
          </w:p>
        </w:tc>
        <w:tc>
          <w:tcPr>
            <w:tcW w:w="520" w:type="dxa"/>
            <w:vAlign w:val="bottom"/>
            <w:gridSpan w:val="3"/>
          </w:tcPr>
          <w:p>
            <w:pPr>
              <w:jc w:val="center"/>
              <w:ind w:left="254"/>
              <w:spacing w:after="0" w:line="186" w:lineRule="exact"/>
              <w:rPr>
                <w:sz w:val="20"/>
                <w:szCs w:val="20"/>
                <w:color w:val="auto"/>
              </w:rPr>
            </w:pPr>
            <w:r>
              <w:rPr>
                <w:rFonts w:ascii="Arial" w:cs="Arial" w:eastAsia="Arial" w:hAnsi="Arial"/>
                <w:sz w:val="18"/>
                <w:szCs w:val="18"/>
                <w:color w:val="0000FF"/>
                <w:w w:val="89"/>
              </w:rPr>
              <w:t>63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0000FF"/>
              </w:rPr>
              <w:t>Item 2.</w:t>
            </w:r>
          </w:p>
        </w:tc>
        <w:tc>
          <w:tcPr>
            <w:tcW w:w="280" w:type="dxa"/>
            <w:vAlign w:val="bottom"/>
            <w:gridSpan w:val="2"/>
            <w:shd w:val="clear" w:color="auto" w:fill="CCEEFF"/>
          </w:tcPr>
          <w:p>
            <w:pPr>
              <w:spacing w:after="0"/>
              <w:rPr>
                <w:sz w:val="16"/>
                <w:szCs w:val="16"/>
                <w:color w:val="auto"/>
              </w:rPr>
            </w:pPr>
          </w:p>
        </w:tc>
        <w:tc>
          <w:tcPr>
            <w:tcW w:w="9460" w:type="dxa"/>
            <w:vAlign w:val="bottom"/>
            <w:gridSpan w:val="19"/>
            <w:shd w:val="clear" w:color="auto" w:fill="CCEEFF"/>
          </w:tcPr>
          <w:p>
            <w:pPr>
              <w:spacing w:after="0" w:line="195" w:lineRule="exact"/>
              <w:rPr>
                <w:sz w:val="20"/>
                <w:szCs w:val="20"/>
                <w:color w:val="auto"/>
              </w:rPr>
            </w:pPr>
            <w:r>
              <w:rPr>
                <w:rFonts w:ascii="Arial" w:cs="Arial" w:eastAsia="Arial" w:hAnsi="Arial"/>
                <w:sz w:val="18"/>
                <w:szCs w:val="18"/>
                <w:color w:val="0000FF"/>
              </w:rPr>
              <w:t>Unregistered Sales of Equity Securities and Use of Proceeds</w:t>
            </w:r>
          </w:p>
        </w:tc>
        <w:tc>
          <w:tcPr>
            <w:tcW w:w="520" w:type="dxa"/>
            <w:vAlign w:val="bottom"/>
            <w:tcBorders>
              <w:right w:val="single" w:sz="8" w:color="CCEEFF"/>
            </w:tcBorders>
            <w:gridSpan w:val="3"/>
            <w:shd w:val="clear" w:color="auto" w:fill="CCEEFF"/>
          </w:tcPr>
          <w:p>
            <w:pPr>
              <w:jc w:val="center"/>
              <w:ind w:left="254"/>
              <w:spacing w:after="0" w:line="195" w:lineRule="exact"/>
              <w:rPr>
                <w:sz w:val="20"/>
                <w:szCs w:val="20"/>
                <w:color w:val="auto"/>
              </w:rPr>
            </w:pPr>
            <w:r>
              <w:rPr>
                <w:rFonts w:ascii="Arial" w:cs="Arial" w:eastAsia="Arial" w:hAnsi="Arial"/>
                <w:sz w:val="18"/>
                <w:szCs w:val="18"/>
                <w:color w:val="0000FF"/>
                <w:w w:val="89"/>
              </w:rPr>
              <w:t>64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gridSpan w:val="4"/>
          </w:tcPr>
          <w:p>
            <w:pPr>
              <w:spacing w:after="0" w:line="186" w:lineRule="exact"/>
              <w:rPr>
                <w:sz w:val="20"/>
                <w:szCs w:val="20"/>
                <w:color w:val="auto"/>
              </w:rPr>
            </w:pPr>
            <w:r>
              <w:rPr>
                <w:rFonts w:ascii="Arial" w:cs="Arial" w:eastAsia="Arial" w:hAnsi="Arial"/>
                <w:sz w:val="18"/>
                <w:szCs w:val="18"/>
                <w:color w:val="0000FF"/>
              </w:rPr>
              <w:t>Item 3.</w:t>
            </w:r>
          </w:p>
        </w:tc>
        <w:tc>
          <w:tcPr>
            <w:tcW w:w="9460" w:type="dxa"/>
            <w:vAlign w:val="bottom"/>
            <w:gridSpan w:val="19"/>
          </w:tcPr>
          <w:p>
            <w:pPr>
              <w:spacing w:after="0" w:line="186" w:lineRule="exact"/>
              <w:rPr>
                <w:sz w:val="20"/>
                <w:szCs w:val="20"/>
                <w:color w:val="auto"/>
              </w:rPr>
            </w:pPr>
            <w:r>
              <w:rPr>
                <w:rFonts w:ascii="Arial" w:cs="Arial" w:eastAsia="Arial" w:hAnsi="Arial"/>
                <w:sz w:val="18"/>
                <w:szCs w:val="18"/>
                <w:color w:val="0000FF"/>
              </w:rPr>
              <w:t>Defaults Upon Senior Securities</w:t>
            </w:r>
          </w:p>
        </w:tc>
        <w:tc>
          <w:tcPr>
            <w:tcW w:w="520" w:type="dxa"/>
            <w:vAlign w:val="bottom"/>
            <w:gridSpan w:val="3"/>
          </w:tcPr>
          <w:p>
            <w:pPr>
              <w:jc w:val="center"/>
              <w:ind w:left="254"/>
              <w:spacing w:after="0" w:line="186" w:lineRule="exact"/>
              <w:rPr>
                <w:sz w:val="20"/>
                <w:szCs w:val="20"/>
                <w:color w:val="auto"/>
              </w:rPr>
            </w:pPr>
            <w:r>
              <w:rPr>
                <w:rFonts w:ascii="Arial" w:cs="Arial" w:eastAsia="Arial" w:hAnsi="Arial"/>
                <w:sz w:val="18"/>
                <w:szCs w:val="18"/>
                <w:color w:val="0000FF"/>
                <w:w w:val="89"/>
              </w:rPr>
              <w:t>64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95" w:lineRule="exact"/>
              <w:rPr>
                <w:sz w:val="20"/>
                <w:szCs w:val="20"/>
                <w:color w:val="auto"/>
              </w:rPr>
            </w:pPr>
            <w:r>
              <w:rPr>
                <w:rFonts w:ascii="Arial" w:cs="Arial" w:eastAsia="Arial" w:hAnsi="Arial"/>
                <w:sz w:val="18"/>
                <w:szCs w:val="18"/>
                <w:color w:val="0000FF"/>
              </w:rPr>
              <w:t>Item 4.</w:t>
            </w:r>
          </w:p>
        </w:tc>
        <w:tc>
          <w:tcPr>
            <w:tcW w:w="9460" w:type="dxa"/>
            <w:vAlign w:val="bottom"/>
            <w:gridSpan w:val="19"/>
            <w:shd w:val="clear" w:color="auto" w:fill="CCEEFF"/>
          </w:tcPr>
          <w:p>
            <w:pPr>
              <w:spacing w:after="0" w:line="195" w:lineRule="exact"/>
              <w:rPr>
                <w:sz w:val="20"/>
                <w:szCs w:val="20"/>
                <w:color w:val="auto"/>
              </w:rPr>
            </w:pPr>
            <w:r>
              <w:rPr>
                <w:rFonts w:ascii="Arial" w:cs="Arial" w:eastAsia="Arial" w:hAnsi="Arial"/>
                <w:sz w:val="18"/>
                <w:szCs w:val="18"/>
                <w:color w:val="0000FF"/>
              </w:rPr>
              <w:t>Mine Safety Disclosures</w:t>
            </w:r>
          </w:p>
        </w:tc>
        <w:tc>
          <w:tcPr>
            <w:tcW w:w="520" w:type="dxa"/>
            <w:vAlign w:val="bottom"/>
            <w:tcBorders>
              <w:right w:val="single" w:sz="8" w:color="CCEEFF"/>
            </w:tcBorders>
            <w:gridSpan w:val="3"/>
            <w:shd w:val="clear" w:color="auto" w:fill="CCEEFF"/>
          </w:tcPr>
          <w:p>
            <w:pPr>
              <w:jc w:val="center"/>
              <w:ind w:left="254"/>
              <w:spacing w:after="0" w:line="195" w:lineRule="exact"/>
              <w:rPr>
                <w:sz w:val="20"/>
                <w:szCs w:val="20"/>
                <w:color w:val="auto"/>
              </w:rPr>
            </w:pPr>
            <w:r>
              <w:rPr>
                <w:rFonts w:ascii="Arial" w:cs="Arial" w:eastAsia="Arial" w:hAnsi="Arial"/>
                <w:sz w:val="18"/>
                <w:szCs w:val="18"/>
                <w:color w:val="0000FF"/>
                <w:w w:val="89"/>
              </w:rPr>
              <w:t>64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gridSpan w:val="4"/>
          </w:tcPr>
          <w:p>
            <w:pPr>
              <w:spacing w:after="0" w:line="186" w:lineRule="exact"/>
              <w:rPr>
                <w:sz w:val="20"/>
                <w:szCs w:val="20"/>
                <w:color w:val="auto"/>
              </w:rPr>
            </w:pPr>
            <w:r>
              <w:rPr>
                <w:rFonts w:ascii="Arial" w:cs="Arial" w:eastAsia="Arial" w:hAnsi="Arial"/>
                <w:sz w:val="18"/>
                <w:szCs w:val="18"/>
                <w:color w:val="0000FF"/>
              </w:rPr>
              <w:t>Item 5.</w:t>
            </w:r>
          </w:p>
        </w:tc>
        <w:tc>
          <w:tcPr>
            <w:tcW w:w="9460" w:type="dxa"/>
            <w:vAlign w:val="bottom"/>
            <w:gridSpan w:val="19"/>
          </w:tcPr>
          <w:p>
            <w:pPr>
              <w:spacing w:after="0" w:line="186" w:lineRule="exact"/>
              <w:rPr>
                <w:sz w:val="20"/>
                <w:szCs w:val="20"/>
                <w:color w:val="auto"/>
              </w:rPr>
            </w:pPr>
            <w:r>
              <w:rPr>
                <w:rFonts w:ascii="Arial" w:cs="Arial" w:eastAsia="Arial" w:hAnsi="Arial"/>
                <w:sz w:val="18"/>
                <w:szCs w:val="18"/>
                <w:color w:val="0000FF"/>
              </w:rPr>
              <w:t>Other Information</w:t>
            </w:r>
          </w:p>
        </w:tc>
        <w:tc>
          <w:tcPr>
            <w:tcW w:w="520" w:type="dxa"/>
            <w:vAlign w:val="bottom"/>
            <w:gridSpan w:val="3"/>
          </w:tcPr>
          <w:p>
            <w:pPr>
              <w:jc w:val="center"/>
              <w:ind w:left="254"/>
              <w:spacing w:after="0" w:line="186" w:lineRule="exact"/>
              <w:rPr>
                <w:sz w:val="20"/>
                <w:szCs w:val="20"/>
                <w:color w:val="auto"/>
              </w:rPr>
            </w:pPr>
            <w:r>
              <w:rPr>
                <w:rFonts w:ascii="Arial" w:cs="Arial" w:eastAsia="Arial" w:hAnsi="Arial"/>
                <w:sz w:val="18"/>
                <w:szCs w:val="18"/>
                <w:color w:val="0000FF"/>
                <w:w w:val="89"/>
              </w:rPr>
              <w:t>64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line="195" w:lineRule="exact"/>
              <w:rPr>
                <w:sz w:val="20"/>
                <w:szCs w:val="20"/>
                <w:color w:val="auto"/>
              </w:rPr>
            </w:pPr>
            <w:r>
              <w:rPr>
                <w:rFonts w:ascii="Arial" w:cs="Arial" w:eastAsia="Arial" w:hAnsi="Arial"/>
                <w:sz w:val="18"/>
                <w:szCs w:val="18"/>
                <w:color w:val="0000FF"/>
              </w:rPr>
              <w:t>Item 6.</w:t>
            </w:r>
          </w:p>
        </w:tc>
        <w:tc>
          <w:tcPr>
            <w:tcW w:w="9460" w:type="dxa"/>
            <w:vAlign w:val="bottom"/>
            <w:gridSpan w:val="19"/>
            <w:shd w:val="clear" w:color="auto" w:fill="CCEEFF"/>
          </w:tcPr>
          <w:p>
            <w:pPr>
              <w:spacing w:after="0" w:line="195" w:lineRule="exact"/>
              <w:rPr>
                <w:sz w:val="20"/>
                <w:szCs w:val="20"/>
                <w:color w:val="auto"/>
              </w:rPr>
            </w:pPr>
            <w:r>
              <w:rPr>
                <w:rFonts w:ascii="Arial" w:cs="Arial" w:eastAsia="Arial" w:hAnsi="Arial"/>
                <w:sz w:val="18"/>
                <w:szCs w:val="18"/>
                <w:color w:val="0000FF"/>
              </w:rPr>
              <w:t>Exhibits</w:t>
            </w:r>
          </w:p>
        </w:tc>
        <w:tc>
          <w:tcPr>
            <w:tcW w:w="520" w:type="dxa"/>
            <w:vAlign w:val="bottom"/>
            <w:tcBorders>
              <w:right w:val="single" w:sz="8" w:color="CCEEFF"/>
            </w:tcBorders>
            <w:gridSpan w:val="3"/>
            <w:shd w:val="clear" w:color="auto" w:fill="CCEEFF"/>
          </w:tcPr>
          <w:p>
            <w:pPr>
              <w:jc w:val="center"/>
              <w:ind w:left="254"/>
              <w:spacing w:after="0" w:line="195" w:lineRule="exact"/>
              <w:rPr>
                <w:sz w:val="20"/>
                <w:szCs w:val="20"/>
                <w:color w:val="auto"/>
              </w:rPr>
            </w:pPr>
            <w:r>
              <w:rPr>
                <w:rFonts w:ascii="Arial" w:cs="Arial" w:eastAsia="Arial" w:hAnsi="Arial"/>
                <w:sz w:val="18"/>
                <w:szCs w:val="18"/>
                <w:color w:val="0000FF"/>
                <w:w w:val="89"/>
              </w:rPr>
              <w:t>65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sz w:val="20"/>
                <w:szCs w:val="20"/>
                <w:color w:val="auto"/>
              </w:rPr>
            </w:pPr>
            <w:r>
              <w:rPr>
                <w:rFonts w:ascii="Arial" w:cs="Arial" w:eastAsia="Arial" w:hAnsi="Arial"/>
                <w:sz w:val="18"/>
                <w:szCs w:val="18"/>
                <w:color w:val="0000FF"/>
              </w:rPr>
              <w:t>Signatures</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3"/>
            <w:shd w:val="clear" w:color="auto" w:fill="CCEEFF"/>
          </w:tcPr>
          <w:p>
            <w:pPr>
              <w:jc w:val="center"/>
              <w:ind w:left="254"/>
              <w:spacing w:after="0" w:line="186" w:lineRule="exact"/>
              <w:rPr>
                <w:sz w:val="20"/>
                <w:szCs w:val="20"/>
                <w:color w:val="auto"/>
              </w:rPr>
            </w:pPr>
            <w:r>
              <w:rPr>
                <w:rFonts w:ascii="Arial" w:cs="Arial" w:eastAsia="Arial" w:hAnsi="Arial"/>
                <w:sz w:val="18"/>
                <w:szCs w:val="18"/>
                <w:color w:val="0000FF"/>
                <w:w w:val="89"/>
              </w:rPr>
              <w:t>66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34" w:lineRule="exact"/>
        <w:rPr>
          <w:sz w:val="20"/>
          <w:szCs w:val="20"/>
          <w:color w:val="auto"/>
        </w:rPr>
      </w:pPr>
    </w:p>
    <w:p>
      <w:pPr>
        <w:ind w:left="80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1" w:lineRule="exact"/>
        <w:rPr>
          <w:rFonts w:ascii="Arial" w:cs="Arial" w:eastAsia="Arial" w:hAnsi="Arial"/>
          <w:sz w:val="18"/>
          <w:szCs w:val="18"/>
          <w:color w:val="auto"/>
        </w:rPr>
      </w:pPr>
    </w:p>
    <w:p>
      <w:pPr>
        <w:ind w:left="800" w:right="68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downgrades in the financial strength rating of our regulated insurance subsidiaries impacting our ability to attract and retain insurance and reinsurance business that our subsidiaries write, our competitive position, and our financial condition;</w:t>
      </w:r>
    </w:p>
    <w:p>
      <w:pPr>
        <w:spacing w:after="0" w:line="74" w:lineRule="exact"/>
        <w:rPr>
          <w:rFonts w:ascii="Arial" w:cs="Arial" w:eastAsia="Arial" w:hAnsi="Arial"/>
          <w:sz w:val="18"/>
          <w:szCs w:val="18"/>
          <w:color w:val="auto"/>
        </w:rPr>
      </w:pPr>
    </w:p>
    <w:p>
      <w:pPr>
        <w:ind w:left="800" w:right="70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close the sale by James River Group Holdings, Ltd. of the common shares of JRG Reinsurance Company Ltd. announced on November 8, 2023;</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uncertainty regarding the outcome of our exploration of strategic alternatives, and the impacts that it may have on our business;</w:t>
      </w:r>
    </w:p>
    <w:p>
      <w:pPr>
        <w:spacing w:after="0" w:line="122" w:lineRule="exact"/>
        <w:rPr>
          <w:rFonts w:ascii="Arial" w:cs="Arial" w:eastAsia="Arial" w:hAnsi="Arial"/>
          <w:sz w:val="17"/>
          <w:szCs w:val="17"/>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2" w:lineRule="exact"/>
        <w:rPr>
          <w:rFonts w:ascii="Arial" w:cs="Arial" w:eastAsia="Arial" w:hAnsi="Arial"/>
          <w:sz w:val="17"/>
          <w:szCs w:val="17"/>
          <w:color w:val="auto"/>
        </w:rPr>
      </w:pPr>
    </w:p>
    <w:p>
      <w:pPr>
        <w:ind w:left="800" w:right="94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persistent high inflationary environment on our reserves, the values of our investments and investment returns, and our compensation expenses;</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1" w:lineRule="exact"/>
        <w:rPr>
          <w:rFonts w:ascii="Arial" w:cs="Arial" w:eastAsia="Arial" w:hAnsi="Arial"/>
          <w:sz w:val="18"/>
          <w:szCs w:val="18"/>
          <w:color w:val="auto"/>
        </w:rPr>
      </w:pPr>
    </w:p>
    <w:p>
      <w:pPr>
        <w:ind w:left="800" w:right="32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74" w:lineRule="exact"/>
        <w:rPr>
          <w:rFonts w:ascii="Arial" w:cs="Arial" w:eastAsia="Arial" w:hAnsi="Arial"/>
          <w:sz w:val="18"/>
          <w:szCs w:val="18"/>
          <w:color w:val="auto"/>
        </w:rPr>
      </w:pPr>
    </w:p>
    <w:p>
      <w:pPr>
        <w:ind w:left="800" w:right="24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or decision to terminate, such relationships;</w:t>
      </w:r>
    </w:p>
    <w:p>
      <w:pPr>
        <w:spacing w:after="0" w:line="74" w:lineRule="exact"/>
        <w:rPr>
          <w:rFonts w:ascii="Arial" w:cs="Arial" w:eastAsia="Arial" w:hAnsi="Arial"/>
          <w:sz w:val="18"/>
          <w:szCs w:val="18"/>
          <w:color w:val="auto"/>
        </w:rPr>
      </w:pPr>
    </w:p>
    <w:p>
      <w:pPr>
        <w:ind w:left="800" w:right="280" w:hanging="476"/>
        <w:spacing w:after="0" w:line="264"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adequately protect our Company against financial loss and that supports our growth plans;</w:t>
      </w:r>
    </w:p>
    <w:p>
      <w:pPr>
        <w:spacing w:after="0" w:line="74" w:lineRule="exact"/>
        <w:rPr>
          <w:rFonts w:ascii="Arial" w:cs="Arial" w:eastAsia="Arial" w:hAnsi="Arial"/>
          <w:sz w:val="18"/>
          <w:szCs w:val="18"/>
          <w:color w:val="auto"/>
        </w:rPr>
      </w:pPr>
    </w:p>
    <w:p>
      <w:pPr>
        <w:ind w:left="800" w:right="520" w:hanging="476"/>
        <w:spacing w:after="0" w:line="277" w:lineRule="auto"/>
        <w:tabs>
          <w:tab w:leader="none" w:pos="795"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spacing w:after="0" w:line="65" w:lineRule="exact"/>
        <w:rPr>
          <w:rFonts w:ascii="Arial" w:cs="Arial" w:eastAsia="Arial" w:hAnsi="Arial"/>
          <w:sz w:val="17"/>
          <w:szCs w:val="17"/>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1" w:lineRule="exact"/>
        <w:rPr>
          <w:rFonts w:ascii="Arial" w:cs="Arial" w:eastAsia="Arial" w:hAnsi="Arial"/>
          <w:sz w:val="18"/>
          <w:szCs w:val="18"/>
          <w:color w:val="auto"/>
        </w:rPr>
      </w:pPr>
    </w:p>
    <w:p>
      <w:pPr>
        <w:jc w:val="both"/>
        <w:ind w:left="800" w:right="680" w:hanging="476"/>
        <w:spacing w:after="0" w:line="255"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tax laws and the interpretation of certain provisions of the 2017 Tax Act (including associated regulations), which may be retroactive and could have a significant effect on us including, among other things, by potentially increasing our tax rate, as well as on our shareholders;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 w:name="page4"/>
    <w:bookmarkEnd w:id="3"/>
    <w:p>
      <w:pPr>
        <w:ind w:left="800" w:right="300" w:hanging="476"/>
        <w:spacing w:after="0" w:line="365" w:lineRule="auto"/>
        <w:tabs>
          <w:tab w:leader="none" w:pos="795"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5" w:lineRule="exact"/>
        <w:rPr>
          <w:rFonts w:ascii="Arial" w:cs="Arial" w:eastAsia="Arial" w:hAnsi="Arial"/>
          <w:sz w:val="15"/>
          <w:szCs w:val="15"/>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1" w:lineRule="exact"/>
        <w:rPr>
          <w:rFonts w:ascii="Arial" w:cs="Arial" w:eastAsia="Arial" w:hAnsi="Arial"/>
          <w:sz w:val="18"/>
          <w:szCs w:val="18"/>
          <w:color w:val="auto"/>
        </w:rPr>
      </w:pPr>
    </w:p>
    <w:p>
      <w:pPr>
        <w:ind w:left="800" w:right="760" w:hanging="476"/>
        <w:spacing w:after="0" w:line="264"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74" w:lineRule="exact"/>
        <w:rPr>
          <w:rFonts w:ascii="Arial" w:cs="Arial" w:eastAsia="Arial" w:hAnsi="Arial"/>
          <w:sz w:val="18"/>
          <w:szCs w:val="18"/>
          <w:color w:val="auto"/>
        </w:rPr>
      </w:pPr>
    </w:p>
    <w:p>
      <w:pPr>
        <w:ind w:left="800" w:right="160" w:hanging="476"/>
        <w:spacing w:after="0" w:line="264" w:lineRule="auto"/>
        <w:tabs>
          <w:tab w:leader="none" w:pos="7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74"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potential effects on our business of emerging claim and coverage issues;</w:t>
      </w:r>
    </w:p>
    <w:p>
      <w:pPr>
        <w:spacing w:after="0" w:line="111" w:lineRule="exact"/>
        <w:rPr>
          <w:rFonts w:ascii="Arial" w:cs="Arial" w:eastAsia="Arial" w:hAnsi="Arial"/>
          <w:sz w:val="18"/>
          <w:szCs w:val="18"/>
          <w:i w:val="1"/>
          <w:iCs w:val="1"/>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1" w:lineRule="exact"/>
        <w:rPr>
          <w:rFonts w:ascii="Arial" w:cs="Arial" w:eastAsia="Arial" w:hAnsi="Arial"/>
          <w:sz w:val="18"/>
          <w:szCs w:val="18"/>
          <w:color w:val="auto"/>
        </w:rPr>
      </w:pPr>
    </w:p>
    <w:p>
      <w:pPr>
        <w:ind w:left="800" w:hanging="476"/>
        <w:spacing w:after="0" w:line="294" w:lineRule="auto"/>
        <w:tabs>
          <w:tab w:leader="none" w:pos="79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failure to remediate the material weakness in our internal controls over financial reporting described in Item 4 of this Form 10Q, and the failure to otherwise maintain effective internal controls in accordance with Sarbanes-Oxley Act of 2002, as amended (“Sarbanes-Oxley”);</w:t>
      </w:r>
    </w:p>
    <w:p>
      <w:pPr>
        <w:spacing w:after="0" w:line="51" w:lineRule="exact"/>
        <w:rPr>
          <w:rFonts w:ascii="Arial" w:cs="Arial" w:eastAsia="Arial" w:hAnsi="Arial"/>
          <w:sz w:val="17"/>
          <w:szCs w:val="17"/>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adverse result in any litigation or legal proceedings we are or may become subject to; and</w:t>
      </w:r>
    </w:p>
    <w:p>
      <w:pPr>
        <w:spacing w:after="0" w:line="111" w:lineRule="exact"/>
        <w:rPr>
          <w:rFonts w:ascii="Arial" w:cs="Arial" w:eastAsia="Arial" w:hAnsi="Arial"/>
          <w:sz w:val="18"/>
          <w:szCs w:val="18"/>
          <w:color w:val="auto"/>
        </w:rPr>
      </w:pPr>
    </w:p>
    <w:p>
      <w:pPr>
        <w:ind w:left="800" w:hanging="47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Quarterly Report.</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for the year ended December 31, 2022 filed with the SEC on February 28, 2023.</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4"/>
                <w:szCs w:val="14"/>
                <w:color w:val="auto"/>
              </w:rPr>
            </w:pPr>
          </w:p>
        </w:tc>
        <w:tc>
          <w:tcPr>
            <w:tcW w:w="11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8"/>
        </w:trPr>
        <w:tc>
          <w:tcPr>
            <w:tcW w:w="8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4"/>
          </w:tcPr>
          <w:p>
            <w:pPr>
              <w:jc w:val="right"/>
              <w:ind w:right="913"/>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Invested assets: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2"/>
              </w:rPr>
              <w:t>Fixed maturity securities, available-for-sale, at fair value (amortized cost: 2023 – $2,054,727; 2022 – $1,969,783)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1,783,417</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Equity securities, at fair value (cost: 2023 – $117,573; 2022 – $117,169)</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115,754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118,627</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Bank loan participations, at fair value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154,991</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107,812</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0" w:type="dxa"/>
            <w:vAlign w:val="bottom"/>
          </w:tcPr>
          <w:p>
            <w:pPr>
              <w:spacing w:after="0"/>
              <w:rPr>
                <w:sz w:val="1"/>
                <w:szCs w:val="1"/>
                <w:color w:val="auto"/>
              </w:rPr>
            </w:pPr>
          </w:p>
        </w:tc>
      </w:tr>
      <w:tr>
        <w:trPr>
          <w:trHeight w:val="218"/>
        </w:trPr>
        <w:tc>
          <w:tcPr>
            <w:tcW w:w="8320" w:type="dxa"/>
            <w:vAlign w:val="bottom"/>
          </w:tcPr>
          <w:p>
            <w:pPr>
              <w:spacing w:after="0"/>
              <w:rPr>
                <w:sz w:val="20"/>
                <w:szCs w:val="20"/>
                <w:color w:val="auto"/>
              </w:rPr>
            </w:pPr>
            <w:r>
              <w:rPr>
                <w:rFonts w:ascii="Arial" w:cs="Arial" w:eastAsia="Arial" w:hAnsi="Arial"/>
                <w:sz w:val="18"/>
                <w:szCs w:val="18"/>
                <w:color w:val="auto"/>
              </w:rPr>
              <w:t>Total invested assets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2,189,522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2,192,294</w:t>
            </w:r>
          </w:p>
        </w:tc>
        <w:tc>
          <w:tcPr>
            <w:tcW w:w="0" w:type="dxa"/>
            <w:vAlign w:val="bottom"/>
          </w:tcPr>
          <w:p>
            <w:pPr>
              <w:spacing w:after="0"/>
              <w:rPr>
                <w:sz w:val="1"/>
                <w:szCs w:val="1"/>
                <w:color w:val="auto"/>
              </w:rPr>
            </w:pPr>
          </w:p>
        </w:tc>
      </w:tr>
      <w:tr>
        <w:trPr>
          <w:trHeight w:val="252"/>
        </w:trPr>
        <w:tc>
          <w:tcPr>
            <w:tcW w:w="8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232,923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173,164</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103,215</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14,418</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and agents’ balances,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340,525</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Reinsurance recoverable on unpaid losses,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1,509,447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1,520,113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 on paid losses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114,242</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Prepaid reinsurance premiums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274,165</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59,603</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35,676</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135,045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127,829</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5,193,487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5,137,075</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(Unaudited)</w:t>
            </w:r>
          </w:p>
        </w:tc>
        <w:tc>
          <w:tcPr>
            <w:tcW w:w="180" w:type="dxa"/>
            <w:vAlign w:val="bottom"/>
          </w:tcPr>
          <w:p>
            <w:pPr>
              <w:spacing w:after="0"/>
              <w:rPr>
                <w:sz w:val="14"/>
                <w:szCs w:val="14"/>
                <w:color w:val="auto"/>
              </w:rPr>
            </w:pPr>
          </w:p>
        </w:tc>
        <w:tc>
          <w:tcPr>
            <w:tcW w:w="11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6"/>
        </w:trPr>
        <w:tc>
          <w:tcPr>
            <w:tcW w:w="8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4"/>
          </w:tcPr>
          <w:p>
            <w:pPr>
              <w:jc w:val="right"/>
              <w:ind w:right="214"/>
              <w:spacing w:after="0"/>
              <w:rPr>
                <w:sz w:val="20"/>
                <w:szCs w:val="20"/>
                <w:color w:val="auto"/>
              </w:rPr>
            </w:pPr>
            <w:r>
              <w:rPr>
                <w:rFonts w:ascii="Arial" w:cs="Arial" w:eastAsia="Arial" w:hAnsi="Arial"/>
                <w:sz w:val="14"/>
                <w:szCs w:val="14"/>
                <w:b w:val="1"/>
                <w:bCs w:val="1"/>
                <w:i w:val="1"/>
                <w:iCs w:val="1"/>
                <w:color w:val="auto"/>
                <w:w w:val="91"/>
              </w:rPr>
              <w:t>(in thousands, except share amounts)</w:t>
            </w:r>
          </w:p>
        </w:tc>
        <w:tc>
          <w:tcPr>
            <w:tcW w:w="0" w:type="dxa"/>
            <w:vAlign w:val="bottom"/>
          </w:tcPr>
          <w:p>
            <w:pPr>
              <w:spacing w:after="0"/>
              <w:rPr>
                <w:sz w:val="1"/>
                <w:szCs w:val="1"/>
                <w:color w:val="auto"/>
              </w:rPr>
            </w:pPr>
          </w:p>
        </w:tc>
      </w:tr>
      <w:tr>
        <w:trPr>
          <w:trHeight w:val="23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losses and loss adjustment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2,768,995</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616,663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676,016</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Payables to reinsurers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123,502</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Funds held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257,653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310,953</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reinsurance gain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20,091</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Senior debt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222,300</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Junior subordinated debt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59,566</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152,933</w:t>
            </w:r>
          </w:p>
        </w:tc>
        <w:tc>
          <w:tcPr>
            <w:tcW w:w="0" w:type="dxa"/>
            <w:vAlign w:val="bottom"/>
          </w:tcPr>
          <w:p>
            <w:pPr>
              <w:spacing w:after="0"/>
              <w:rPr>
                <w:sz w:val="1"/>
                <w:szCs w:val="1"/>
                <w:color w:val="auto"/>
              </w:rPr>
            </w:pPr>
          </w:p>
        </w:tc>
      </w:tr>
      <w:tr>
        <w:trPr>
          <w:trHeight w:val="218"/>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4,486,045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4,438,411</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20"/>
              <w:spacing w:after="0" w:line="173" w:lineRule="exact"/>
              <w:rPr>
                <w:sz w:val="20"/>
                <w:szCs w:val="20"/>
                <w:color w:val="auto"/>
              </w:rPr>
            </w:pPr>
            <w:r>
              <w:rPr>
                <w:rFonts w:ascii="Arial" w:cs="Arial" w:eastAsia="Arial" w:hAnsi="Arial"/>
                <w:sz w:val="18"/>
                <w:szCs w:val="18"/>
                <w:color w:val="auto"/>
                <w:w w:val="90"/>
              </w:rPr>
              <w:t>Series A redeemable preferred shares – 2023 and 2022: $0.00125 par value; 20,000,000 shares authorized; 150,000</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20"/>
              <w:spacing w:after="0"/>
              <w:rPr>
                <w:sz w:val="20"/>
                <w:szCs w:val="20"/>
                <w:color w:val="auto"/>
              </w:rPr>
            </w:pPr>
            <w:r>
              <w:rPr>
                <w:rFonts w:ascii="Arial" w:cs="Arial" w:eastAsia="Arial" w:hAnsi="Arial"/>
                <w:sz w:val="18"/>
                <w:szCs w:val="18"/>
                <w:color w:val="auto"/>
              </w:rPr>
              <w:t>shares issued and outstanding</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144,898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144,898</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440" w:type="dxa"/>
            <w:vAlign w:val="bottom"/>
          </w:tcPr>
          <w:p>
            <w:pPr>
              <w:ind w:left="140"/>
              <w:spacing w:after="0" w:line="173" w:lineRule="exact"/>
              <w:rPr>
                <w:sz w:val="20"/>
                <w:szCs w:val="20"/>
                <w:color w:val="auto"/>
              </w:rPr>
            </w:pPr>
            <w:r>
              <w:rPr>
                <w:rFonts w:ascii="Arial" w:cs="Arial" w:eastAsia="Arial" w:hAnsi="Arial"/>
                <w:sz w:val="18"/>
                <w:szCs w:val="18"/>
                <w:color w:val="auto"/>
                <w:w w:val="90"/>
              </w:rPr>
              <w:t>Common shares – 2023 and 2022: $0.0002 par value; 200,000,000 shares authorized; 37,619,749 and 37,470,237</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868,858</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Retained deficit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(152,055)</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(163,044)</w:t>
            </w:r>
          </w:p>
        </w:tc>
        <w:tc>
          <w:tcPr>
            <w:tcW w:w="0" w:type="dxa"/>
            <w:vAlign w:val="bottom"/>
          </w:tcPr>
          <w:p>
            <w:pPr>
              <w:spacing w:after="0"/>
              <w:rPr>
                <w:sz w:val="1"/>
                <w:szCs w:val="1"/>
                <w:color w:val="auto"/>
              </w:rPr>
            </w:pPr>
          </w:p>
        </w:tc>
      </w:tr>
      <w:tr>
        <w:trPr>
          <w:trHeight w:val="21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553,766</w:t>
            </w: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Series A redeemable preferred shares,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5,193,487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5,137,075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 and Comprehensive (Loss) Income (Unaudited)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Three Months Ended</w:t>
            </w:r>
          </w:p>
        </w:tc>
        <w:tc>
          <w:tcPr>
            <w:tcW w:w="300" w:type="dxa"/>
            <w:vAlign w:val="bottom"/>
          </w:tcPr>
          <w:p>
            <w:pPr>
              <w:spacing w:after="0"/>
              <w:rPr>
                <w:sz w:val="14"/>
                <w:szCs w:val="14"/>
                <w:color w:val="auto"/>
              </w:rPr>
            </w:pPr>
          </w:p>
        </w:tc>
        <w:tc>
          <w:tcPr>
            <w:tcW w:w="256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189"/>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342,503</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358,505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1,134,137</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1,118,155</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written premiums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(595,586)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(557,354)</w:t>
            </w: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149,473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190,251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538,551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560,801</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unearned premiums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w:t>
            </w: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202,625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190,189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608,075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566,275</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48,278</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(29,874)</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233,427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201,229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695,149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587,983</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139,171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435,767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409,985</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146,681</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intangible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206,863</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205,842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637,148</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568,807</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19,176</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Dividends on Series A preferred shares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w:t>
            </w: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available to common shareholders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5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3"/>
        </w:trPr>
        <w:tc>
          <w:tcPr>
            <w:tcW w:w="5420" w:type="dxa"/>
            <w:vAlign w:val="bottom"/>
          </w:tcPr>
          <w:p>
            <w:pPr>
              <w:ind w:left="20"/>
              <w:spacing w:after="0" w:line="173" w:lineRule="exact"/>
              <w:rPr>
                <w:sz w:val="20"/>
                <w:szCs w:val="20"/>
                <w:color w:val="auto"/>
              </w:rPr>
            </w:pPr>
            <w:r>
              <w:rPr>
                <w:rFonts w:ascii="Arial" w:cs="Arial" w:eastAsia="Arial" w:hAnsi="Arial"/>
                <w:sz w:val="18"/>
                <w:szCs w:val="18"/>
                <w:color w:val="auto"/>
                <w:w w:val="93"/>
              </w:rPr>
              <w:t>Net unrealized losses, net of taxes of $(7,624) and $(6,255) in 2023 and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$(8,910) and $(28,558) in 2022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(205,227)</w:t>
            </w: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(loss) income</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(191,979)</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5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42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26"/>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Dividend declared per common share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42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37,642,632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37,450,381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37,605,986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37,435,798</w:t>
            </w:r>
          </w:p>
        </w:tc>
      </w:tr>
      <w:tr>
        <w:trPr>
          <w:trHeight w:val="226"/>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37,822,906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37,822,774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37,642,656</w:t>
            </w: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13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13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9"/>
              </w:rPr>
              <w:t>Comprehensive</w:t>
            </w:r>
          </w:p>
        </w:tc>
        <w:tc>
          <w:tcPr>
            <w:tcW w:w="260" w:type="dxa"/>
            <w:vAlign w:val="bottom"/>
          </w:tcPr>
          <w:p>
            <w:pPr>
              <w:spacing w:after="0"/>
              <w:rPr>
                <w:sz w:val="12"/>
                <w:szCs w:val="12"/>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Shares (Par)</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6"/>
          </w:tcPr>
          <w:p>
            <w:pPr>
              <w:jc w:val="right"/>
              <w:ind w:right="12"/>
              <w:spacing w:after="0"/>
              <w:rPr>
                <w:sz w:val="20"/>
                <w:szCs w:val="20"/>
                <w:color w:val="auto"/>
              </w:rPr>
            </w:pPr>
            <w:r>
              <w:rPr>
                <w:rFonts w:ascii="Arial" w:cs="Arial" w:eastAsia="Arial" w:hAnsi="Arial"/>
                <w:sz w:val="14"/>
                <w:szCs w:val="14"/>
                <w:b w:val="1"/>
                <w:bCs w:val="1"/>
                <w:i w:val="1"/>
                <w:iCs w:val="1"/>
                <w:color w:val="auto"/>
                <w:w w:val="86"/>
              </w:rPr>
              <w:t>(in thousands, except share amounts)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37,619,226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(148,599)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585,542</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19,551</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(40,226)</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Compensation expense under share incentive plans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Dividends on Series A preferred shares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common shares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9"/>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2023</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37,619,749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874,577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(123,215)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562,544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200" w:type="dxa"/>
            <w:vAlign w:val="bottom"/>
          </w:tcPr>
          <w:p>
            <w:pPr>
              <w:jc w:val="right"/>
              <w:spacing w:after="0"/>
              <w:rPr>
                <w:sz w:val="20"/>
                <w:szCs w:val="20"/>
                <w:color w:val="auto"/>
              </w:rPr>
            </w:pPr>
            <w:r>
              <w:rPr>
                <w:rFonts w:ascii="Arial" w:cs="Arial" w:eastAsia="Arial" w:hAnsi="Arial"/>
                <w:sz w:val="18"/>
                <w:szCs w:val="18"/>
                <w:color w:val="auto"/>
              </w:rPr>
              <w:t>37,470,237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868,858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(152,055)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(163,044)</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553,766</w:t>
            </w: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42,471</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(25,781)</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w w:val="98"/>
              </w:rPr>
              <w:t>Compensation expense under share incentive plans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Series A preferred shares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Dividends on common shares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(5,756)</w:t>
            </w:r>
          </w:p>
        </w:tc>
        <w:tc>
          <w:tcPr>
            <w:tcW w:w="0" w:type="dxa"/>
            <w:vAlign w:val="bottom"/>
          </w:tcPr>
          <w:p>
            <w:pPr>
              <w:spacing w:after="0"/>
              <w:rPr>
                <w:sz w:val="1"/>
                <w:szCs w:val="1"/>
                <w:color w:val="auto"/>
              </w:rPr>
            </w:pPr>
          </w:p>
        </w:tc>
      </w:tr>
      <w:tr>
        <w:trPr>
          <w:trHeight w:val="244"/>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37,619,749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562,544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3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13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140" w:type="dxa"/>
            <w:vAlign w:val="bottom"/>
          </w:tcPr>
          <w:p>
            <w:pPr>
              <w:spacing w:after="0"/>
              <w:rPr>
                <w:sz w:val="16"/>
                <w:szCs w:val="16"/>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9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Shares (Par)</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(Loss) Income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6"/>
          </w:tcPr>
          <w:p>
            <w:pPr>
              <w:jc w:val="right"/>
              <w:ind w:right="12"/>
              <w:spacing w:after="0"/>
              <w:rPr>
                <w:sz w:val="20"/>
                <w:szCs w:val="20"/>
                <w:color w:val="auto"/>
              </w:rPr>
            </w:pPr>
            <w:r>
              <w:rPr>
                <w:rFonts w:ascii="Arial" w:cs="Arial" w:eastAsia="Arial" w:hAnsi="Arial"/>
                <w:sz w:val="14"/>
                <w:szCs w:val="14"/>
                <w:b w:val="1"/>
                <w:bCs w:val="1"/>
                <w:i w:val="1"/>
                <w:iCs w:val="1"/>
                <w:color w:val="auto"/>
                <w:w w:val="86"/>
              </w:rPr>
              <w:t>(in thousands, except share amounts)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37,450,264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865,081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594,386</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(60,656)</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Compensation expense under share incentive plans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Dividends on Series A preferred shares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common shares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9"/>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37,450,438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867,309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(175,249)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526,804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200" w:type="dxa"/>
            <w:vAlign w:val="bottom"/>
          </w:tcPr>
          <w:p>
            <w:pPr>
              <w:jc w:val="right"/>
              <w:spacing w:after="0"/>
              <w:rPr>
                <w:sz w:val="20"/>
                <w:szCs w:val="20"/>
                <w:color w:val="auto"/>
              </w:rPr>
            </w:pPr>
            <w:r>
              <w:rPr>
                <w:rFonts w:ascii="Arial" w:cs="Arial" w:eastAsia="Arial" w:hAnsi="Arial"/>
                <w:sz w:val="18"/>
                <w:szCs w:val="18"/>
                <w:color w:val="auto"/>
              </w:rPr>
              <w:t>37,373,066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862,040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(166,663)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29,978</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725,362</w:t>
            </w: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(205,227)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(205,227)</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w w:val="98"/>
              </w:rPr>
              <w:t>Compensation expense under share incentive plans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on Series A preferred shares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Dividends on common shares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44"/>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37,450,438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526,804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4"/>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189"/>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r>
      <w:tr>
        <w:trPr>
          <w:trHeight w:val="235"/>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Net cash provided by operating activities (a)</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97,751</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168,129</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Securities available-for-sale: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fixed maturity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(546,239)</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Sales – fixed maturity securities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206,790</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and calls – fixed maturity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143,015</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Purchases – equity securities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(36,850)</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 equity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Bank loan participations: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(78,371)</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43,257</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Other invested assets: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Return of capital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1,768</w:t>
            </w:r>
          </w:p>
        </w:tc>
      </w:tr>
      <w:tr>
        <w:trPr>
          <w:trHeight w:val="226"/>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Short-term investments, net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(72,341)</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Securities receivable or payable,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52,763</w:t>
            </w: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(262,181)</w:t>
            </w:r>
          </w:p>
        </w:tc>
      </w:tr>
      <w:tr>
        <w:trPr>
          <w:trHeight w:val="225"/>
        </w:trPr>
        <w:tc>
          <w:tcPr>
            <w:tcW w:w="8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Senior debt repayments</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Issuance of Series A preferred shares (Note 12)</w:t>
            </w: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144,898</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Payroll taxes withheld and remitted on net settlement of RSUs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Dividends on Series A preferred shares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(6,125)</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common shares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 of debt issuance costs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91,953</w:t>
            </w:r>
          </w:p>
        </w:tc>
      </w:tr>
      <w:tr>
        <w:trPr>
          <w:trHeight w:val="218"/>
        </w:trPr>
        <w:tc>
          <w:tcPr>
            <w:tcW w:w="8320" w:type="dxa"/>
            <w:vAlign w:val="bottom"/>
          </w:tcPr>
          <w:p>
            <w:pPr>
              <w:spacing w:after="0"/>
              <w:rPr>
                <w:sz w:val="20"/>
                <w:szCs w:val="20"/>
                <w:color w:val="auto"/>
              </w:rPr>
            </w:pPr>
            <w:r>
              <w:rPr>
                <w:rFonts w:ascii="Arial" w:cs="Arial" w:eastAsia="Arial" w:hAnsi="Arial"/>
                <w:sz w:val="18"/>
                <w:szCs w:val="18"/>
                <w:color w:val="auto"/>
              </w:rPr>
              <w:t>Change in cash, cash equivalents, and restricted cash equivalents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25"/>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276,379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292,128</w:t>
            </w:r>
          </w:p>
        </w:tc>
      </w:tr>
      <w:tr>
        <w:trPr>
          <w:trHeight w:val="219"/>
        </w:trPr>
        <w:tc>
          <w:tcPr>
            <w:tcW w:w="8320" w:type="dxa"/>
            <w:vAlign w:val="bottom"/>
          </w:tcPr>
          <w:p>
            <w:pPr>
              <w:spacing w:after="0"/>
              <w:rPr>
                <w:sz w:val="20"/>
                <w:szCs w:val="20"/>
                <w:color w:val="auto"/>
              </w:rPr>
            </w:pPr>
            <w:r>
              <w:rPr>
                <w:rFonts w:ascii="Arial" w:cs="Arial" w:eastAsia="Arial" w:hAnsi="Arial"/>
                <w:sz w:val="18"/>
                <w:szCs w:val="18"/>
                <w:color w:val="auto"/>
              </w:rPr>
              <w:t>Cash, cash equivalents, and restricted cash equivalents at end of period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339,781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290,029</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10,746</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8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Restricted cash equivalents at beginning of period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103,215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102,005</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 at end of period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102,485</w:t>
            </w:r>
          </w:p>
        </w:tc>
      </w:tr>
      <w:tr>
        <w:trPr>
          <w:trHeight w:val="224"/>
        </w:trPr>
        <w:tc>
          <w:tcPr>
            <w:tcW w:w="8320" w:type="dxa"/>
            <w:vAlign w:val="bottom"/>
          </w:tcPr>
          <w:p>
            <w:pPr>
              <w:spacing w:after="0"/>
              <w:rPr>
                <w:sz w:val="20"/>
                <w:szCs w:val="20"/>
                <w:color w:val="auto"/>
              </w:rPr>
            </w:pPr>
            <w:r>
              <w:rPr>
                <w:rFonts w:ascii="Arial" w:cs="Arial" w:eastAsia="Arial" w:hAnsi="Arial"/>
                <w:sz w:val="18"/>
                <w:szCs w:val="18"/>
                <w:color w:val="auto"/>
              </w:rPr>
              <w:t>Change in restricted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3,643</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r>
    </w:tbl>
    <w:p>
      <w:pPr>
        <w:spacing w:after="0" w:line="314" w:lineRule="exact"/>
        <w:rPr>
          <w:sz w:val="20"/>
          <w:szCs w:val="20"/>
          <w:color w:val="auto"/>
        </w:rPr>
      </w:pPr>
    </w:p>
    <w:p>
      <w:pPr>
        <w:jc w:val="both"/>
        <w:ind w:firstLine="6"/>
        <w:spacing w:after="0" w:line="259" w:lineRule="auto"/>
        <w:tabs>
          <w:tab w:leader="none" w:pos="197"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Cash provided by operating activities for the nine months ended September 30, 2023 and 2022 includes the restricted cash activity above related to a former insured, per the terms of a collateral trust. See “Item 2. Management’s Discussion and Analysis of Financial Condition and Results of Operations – </w:t>
      </w:r>
      <w:r>
        <w:rPr>
          <w:rFonts w:ascii="Arial" w:cs="Arial" w:eastAsia="Arial" w:hAnsi="Arial"/>
          <w:sz w:val="14"/>
          <w:szCs w:val="14"/>
          <w:i w:val="1"/>
          <w:iCs w:val="1"/>
          <w:color w:val="auto"/>
        </w:rPr>
        <w:t>Amounts Recoverable from an Indemnifying Party and Reinsurer on Legacy</w:t>
      </w:r>
      <w:r>
        <w:rPr>
          <w:rFonts w:ascii="Arial" w:cs="Arial" w:eastAsia="Arial" w:hAnsi="Arial"/>
          <w:sz w:val="14"/>
          <w:szCs w:val="14"/>
          <w:color w:val="auto"/>
        </w:rPr>
        <w:t xml:space="preserve"> </w:t>
      </w:r>
      <w:r>
        <w:rPr>
          <w:rFonts w:ascii="Arial" w:cs="Arial" w:eastAsia="Arial" w:hAnsi="Arial"/>
          <w:sz w:val="14"/>
          <w:szCs w:val="14"/>
          <w:i w:val="1"/>
          <w:iCs w:val="1"/>
          <w:color w:val="auto"/>
        </w:rPr>
        <w:t>Commercial Auto Book</w:t>
      </w:r>
      <w:r>
        <w:rPr>
          <w:rFonts w:ascii="Arial" w:cs="Arial" w:eastAsia="Arial" w:hAnsi="Arial"/>
          <w:sz w:val="14"/>
          <w:szCs w:val="14"/>
          <w:color w:val="auto"/>
        </w:rPr>
        <w:t>”. Excluding the restricted cash activity, cash provided by operating activities was $94.1 million and $167.6 million for the nine months ended September 30, 2023 and 2022,</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9440" w:firstLine="6"/>
        <w:spacing w:after="0" w:line="394" w:lineRule="auto"/>
        <w:tabs>
          <w:tab w:leader="none" w:pos="309"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ind w:firstLine="318"/>
        <w:spacing w:after="0" w:line="264"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a Bermuda-based reinsurance company as described below:</w:t>
      </w:r>
    </w:p>
    <w:p>
      <w:pPr>
        <w:spacing w:after="0" w:line="75" w:lineRule="exact"/>
        <w:rPr>
          <w:sz w:val="20"/>
          <w:szCs w:val="20"/>
          <w:color w:val="auto"/>
        </w:rPr>
      </w:pPr>
    </w:p>
    <w:p>
      <w:pPr>
        <w:ind w:left="640" w:hanging="316"/>
        <w:spacing w:after="0" w:line="365"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5"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82"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7"/>
        </w:numPr>
        <w:rPr>
          <w:rFonts w:ascii="Arial" w:cs="Arial" w:eastAsia="Arial" w:hAnsi="Arial"/>
          <w:sz w:val="15"/>
          <w:szCs w:val="15"/>
          <w:color w:val="auto"/>
        </w:rPr>
      </w:pPr>
      <w:r>
        <w:rPr>
          <w:rFonts w:ascii="Arial" w:cs="Arial" w:eastAsia="Arial" w:hAnsi="Arial"/>
          <w:sz w:val="15"/>
          <w:szCs w:val="15"/>
          <w:color w:val="auto"/>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spacing w:after="0" w:line="5" w:lineRule="exact"/>
        <w:rPr>
          <w:rFonts w:ascii="Arial" w:cs="Arial" w:eastAsia="Arial" w:hAnsi="Arial"/>
          <w:sz w:val="15"/>
          <w:szCs w:val="15"/>
          <w:color w:val="auto"/>
        </w:rPr>
      </w:pPr>
    </w:p>
    <w:p>
      <w:pPr>
        <w:jc w:val="both"/>
        <w:ind w:left="640" w:hanging="316"/>
        <w:spacing w:after="0" w:line="25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8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2022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2022 was derived from the Company’s audited annual consolidated financial statements.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$8.9 million at September 30, 2023 and $9.2 million at December 31, 2022, representing the Company’s maximum exposure to loss.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or expenses on share based compensation. For the nine months ended September 30, 2023 and 2022, our U.S. federal income tax expense was 26.8% and 30.9%, respectively, of the income before taxes. The effective rate exceeded the 21.0% U.S. statutory rate due to projected annual losses in Bermuda that do not provide a tax benefit and due to discrete items in the respective periods primarily related to excess tax expenses associated with vested restricted share units (“RSUs”).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Adopted Accounting Standards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new accounting standards adopted in 2023 that materially impacted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17"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78"/>
              </w:rPr>
              <w:t>Losses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7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323,661</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471,291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416,888</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719,600</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306,952</w:t>
            </w:r>
          </w:p>
        </w:tc>
        <w:tc>
          <w:tcPr>
            <w:tcW w:w="0" w:type="dxa"/>
            <w:vAlign w:val="bottom"/>
          </w:tcPr>
          <w:p>
            <w:pPr>
              <w:spacing w:after="0"/>
              <w:rPr>
                <w:sz w:val="1"/>
                <w:szCs w:val="1"/>
                <w:color w:val="auto"/>
              </w:rPr>
            </w:pPr>
          </w:p>
        </w:tc>
      </w:tr>
      <w:tr>
        <w:trPr>
          <w:trHeight w:val="174"/>
        </w:trPr>
        <w:tc>
          <w:tcPr>
            <w:tcW w:w="55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69,223</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2,054,727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(218,927)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1,836,324</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330,852</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437,702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401,249</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734,976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670,212</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309,015</w:t>
            </w:r>
          </w:p>
        </w:tc>
        <w:tc>
          <w:tcPr>
            <w:tcW w:w="0" w:type="dxa"/>
            <w:vAlign w:val="bottom"/>
          </w:tcPr>
          <w:p>
            <w:pPr>
              <w:spacing w:after="0"/>
              <w:rPr>
                <w:sz w:val="1"/>
                <w:szCs w:val="1"/>
                <w:color w:val="auto"/>
              </w:rPr>
            </w:pPr>
          </w:p>
        </w:tc>
      </w:tr>
      <w:tr>
        <w:trPr>
          <w:trHeight w:val="174"/>
        </w:trPr>
        <w:tc>
          <w:tcPr>
            <w:tcW w:w="55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72,089</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1,969,783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1,783,417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The amortized cost and fair value of available-for-sale investments in fixed maturity securities at September 30, 2023 are summarized, by contractual maturity,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 or</w:t>
            </w:r>
          </w:p>
        </w:tc>
        <w:tc>
          <w:tcPr>
            <w:tcW w:w="440" w:type="dxa"/>
            <w:vAlign w:val="bottom"/>
          </w:tcPr>
          <w:p>
            <w:pPr>
              <w:spacing w:after="0"/>
              <w:rPr>
                <w:sz w:val="14"/>
                <w:szCs w:val="14"/>
                <w:color w:val="auto"/>
              </w:rPr>
            </w:pPr>
          </w:p>
        </w:tc>
        <w:tc>
          <w:tcPr>
            <w:tcW w:w="90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6"/>
        </w:trPr>
        <w:tc>
          <w:tcPr>
            <w:tcW w:w="8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93,936</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518,494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488,596</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320,897</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262,887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209,055</w:t>
            </w:r>
          </w:p>
        </w:tc>
        <w:tc>
          <w:tcPr>
            <w:tcW w:w="0" w:type="dxa"/>
            <w:vAlign w:val="bottom"/>
          </w:tcPr>
          <w:p>
            <w:pPr>
              <w:spacing w:after="0"/>
              <w:rPr>
                <w:sz w:val="1"/>
                <w:szCs w:val="1"/>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416,888</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306,952</w:t>
            </w: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2,054,727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1,836,324</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5"/>
          </w:tcPr>
          <w:p>
            <w:pPr>
              <w:ind w:left="280"/>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5"/>
                <w:szCs w:val="15"/>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12 Months or More</w:t>
            </w:r>
          </w:p>
        </w:tc>
        <w:tc>
          <w:tcPr>
            <w:tcW w:w="22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0"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0"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2"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7"/>
              </w:rPr>
              <w:t>(in thousands)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(59,647)</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239,508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(54,405)</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(76,180)</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269,424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306,952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(25,488)</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260"/>
              <w:spacing w:after="0" w:line="174" w:lineRule="exact"/>
              <w:rPr>
                <w:sz w:val="20"/>
                <w:szCs w:val="20"/>
                <w:color w:val="auto"/>
              </w:rPr>
            </w:pPr>
            <w:r>
              <w:rPr>
                <w:rFonts w:ascii="Arial" w:cs="Arial" w:eastAsia="Arial" w:hAnsi="Arial"/>
                <w:sz w:val="18"/>
                <w:szCs w:val="18"/>
                <w:color w:val="auto"/>
                <w:w w:val="92"/>
              </w:rPr>
              <w:t>U.S. Treasury securities and obligations guaranteed</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by the U.S. government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1,303,995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1,815,397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(218,927)</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(56,316)</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225,870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98,594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324,464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(37,254)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(66,292)</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184,985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114,955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299,940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(26,127)</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260"/>
              <w:spacing w:after="0" w:line="174" w:lineRule="exact"/>
              <w:rPr>
                <w:sz w:val="20"/>
                <w:szCs w:val="20"/>
                <w:color w:val="auto"/>
              </w:rPr>
            </w:pPr>
            <w:r>
              <w:rPr>
                <w:rFonts w:ascii="Arial" w:cs="Arial" w:eastAsia="Arial" w:hAnsi="Arial"/>
                <w:sz w:val="18"/>
                <w:szCs w:val="18"/>
                <w:color w:val="auto"/>
                <w:w w:val="92"/>
              </w:rPr>
              <w:t>U.S. Treasury securities and obligations guaranteed</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by the U.S. government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1,112,489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(87,883)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1,588,192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(189,491)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At September 30, 2023, the Company held fixed maturity securities of 555 issuers that were in an unrealized loss position with a total fair value of $1,815.4 million and gross unrealized losses of $218.9 million. None of the fixed maturity securities with unrealized losses has ever missed, or been delinquent on a scheduled principal or interest payment. At September 30, 2023, 99.9% of the Company’s fixed maturity security portfolio was rated “BBB-” or better (“investment grade”) by Standard &amp; Poor’s or received an equivalent rating from another nationally recognized rating agency. The Company holds one fixed maturity security that is not rated by Standard &amp; Poor's or another nationally recognized rating agency with a fair value of $1.3 million at September 30, 2023.</w:t>
      </w:r>
    </w:p>
    <w:p>
      <w:pPr>
        <w:spacing w:after="0" w:line="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31F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Arial" w:cs="Arial" w:eastAsia="Arial" w:hAnsi="Arial"/>
          <w:sz w:val="18"/>
          <w:szCs w:val="18"/>
          <w:color w:val="000000"/>
        </w:rPr>
        <w:t>et realized and unrealized gains (losses) on investments</w:t>
      </w:r>
      <w:r>
        <w:rPr>
          <w:rFonts w:ascii="Arial" w:cs="Arial" w:eastAsia="Arial" w:hAnsi="Arial"/>
          <w:sz w:val="18"/>
          <w:szCs w:val="18"/>
          <w:color w:val="231F20"/>
        </w:rPr>
        <w:t>. Unrealized losses that are not credit-related are recognized in other comprehensive income.</w:t>
      </w:r>
    </w:p>
    <w:p>
      <w:pPr>
        <w:spacing w:after="0" w:line="8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September 30, 2023, December 31, 2022, or September 30, 2022. In the nine months ended </w:t>
      </w:r>
      <w:r>
        <w:rPr>
          <w:rFonts w:ascii="Arial" w:cs="Arial" w:eastAsia="Arial" w:hAnsi="Arial"/>
          <w:sz w:val="15"/>
          <w:szCs w:val="15"/>
          <w:color w:val="231F20"/>
        </w:rPr>
        <w:t>September 30, 2023, m</w:t>
      </w:r>
      <w:r>
        <w:rPr>
          <w:rFonts w:ascii="Arial" w:cs="Arial" w:eastAsia="Arial" w:hAnsi="Arial"/>
          <w:sz w:val="15"/>
          <w:szCs w:val="15"/>
          <w:color w:val="auto"/>
        </w:rPr>
        <w:t>anagement recognized an impairment loss of $85,000 for one fixed maturity security due to an intent to sell the security. For the remainder of securities in an unrealized loss position, m</w:t>
      </w:r>
      <w:r>
        <w:rPr>
          <w:rFonts w:ascii="Arial" w:cs="Arial" w:eastAsia="Arial" w:hAnsi="Arial"/>
          <w:sz w:val="15"/>
          <w:szCs w:val="15"/>
          <w:color w:val="231F20"/>
        </w:rPr>
        <w:t>anagement does not intend to sell the securities, and it is not “more likely than not”</w:t>
      </w:r>
      <w:r>
        <w:rPr>
          <w:rFonts w:ascii="Arial" w:cs="Arial" w:eastAsia="Arial" w:hAnsi="Arial"/>
          <w:sz w:val="15"/>
          <w:szCs w:val="15"/>
          <w:color w:val="auto"/>
        </w:rPr>
        <w:t xml:space="preserve"> </w:t>
      </w:r>
      <w:r>
        <w:rPr>
          <w:rFonts w:ascii="Arial" w:cs="Arial" w:eastAsia="Arial" w:hAnsi="Arial"/>
          <w:sz w:val="15"/>
          <w:szCs w:val="15"/>
          <w:color w:val="231F20"/>
        </w:rPr>
        <w:t>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231F20"/>
        </w:rPr>
        <w:t xml:space="preserve">Bank loan participations are measured at fair value pursuant to the Company's election of the fair value option, and changes in unrealized gains and losses in bank loan participations are reported in the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the requirements of ASU 2016-13. At September 30, 2023, the Company's bank loan portfolio had an aggregate fair value of $152.1 million and unpaid principal of $161.6 million. Investment income on bank loan participations included in net investment income was $4.3 million and $13.0 million for the </w:t>
      </w:r>
      <w:r>
        <w:rPr>
          <w:rFonts w:ascii="Arial" w:cs="Arial" w:eastAsia="Arial" w:hAnsi="Arial"/>
          <w:sz w:val="15"/>
          <w:szCs w:val="15"/>
          <w:color w:val="000000"/>
        </w:rPr>
        <w:t>three and nine</w:t>
      </w:r>
      <w:r>
        <w:rPr>
          <w:rFonts w:ascii="Arial" w:cs="Arial" w:eastAsia="Arial" w:hAnsi="Arial"/>
          <w:sz w:val="15"/>
          <w:szCs w:val="15"/>
          <w:color w:val="231F20"/>
        </w:rPr>
        <w:t xml:space="preserve"> months ended September 30, 2023, respectively ($3.4 million and $8.4 million for the </w:t>
      </w:r>
      <w:r>
        <w:rPr>
          <w:rFonts w:ascii="Arial" w:cs="Arial" w:eastAsia="Arial" w:hAnsi="Arial"/>
          <w:sz w:val="15"/>
          <w:szCs w:val="15"/>
          <w:color w:val="000000"/>
        </w:rPr>
        <w:t>three and nine</w:t>
      </w:r>
      <w:r>
        <w:rPr>
          <w:rFonts w:ascii="Arial" w:cs="Arial" w:eastAsia="Arial" w:hAnsi="Arial"/>
          <w:sz w:val="15"/>
          <w:szCs w:val="15"/>
          <w:color w:val="231F20"/>
        </w:rPr>
        <w:t xml:space="preserve"> months ended September 30, 2022, respectively)</w:t>
      </w:r>
      <w:r>
        <w:rPr>
          <w:rFonts w:ascii="Arial" w:cs="Arial" w:eastAsia="Arial" w:hAnsi="Arial"/>
          <w:sz w:val="15"/>
          <w:szCs w:val="15"/>
          <w:color w:val="000000"/>
        </w:rPr>
        <w:t>.</w:t>
      </w:r>
      <w:r>
        <w:rPr>
          <w:rFonts w:ascii="Arial" w:cs="Arial" w:eastAsia="Arial" w:hAnsi="Arial"/>
          <w:sz w:val="15"/>
          <w:szCs w:val="15"/>
          <w:color w:val="231F20"/>
        </w:rPr>
        <w:t xml:space="preserve"> Net realized and unrealized gains (losses) on bank loan participations included gains of </w:t>
      </w:r>
      <w:r>
        <w:rPr>
          <w:rFonts w:ascii="Arial" w:cs="Arial" w:eastAsia="Arial" w:hAnsi="Arial"/>
          <w:sz w:val="15"/>
          <w:szCs w:val="15"/>
          <w:color w:val="000000"/>
        </w:rPr>
        <w:t>$2.5 million</w:t>
      </w:r>
      <w:r>
        <w:rPr>
          <w:rFonts w:ascii="Arial" w:cs="Arial" w:eastAsia="Arial" w:hAnsi="Arial"/>
          <w:sz w:val="15"/>
          <w:szCs w:val="15"/>
          <w:color w:val="231F20"/>
        </w:rPr>
        <w:t xml:space="preserve"> and </w:t>
      </w:r>
      <w:r>
        <w:rPr>
          <w:rFonts w:ascii="Arial" w:cs="Arial" w:eastAsia="Arial" w:hAnsi="Arial"/>
          <w:sz w:val="15"/>
          <w:szCs w:val="15"/>
          <w:color w:val="000000"/>
        </w:rPr>
        <w:t>$6.0 million</w:t>
      </w:r>
      <w:r>
        <w:rPr>
          <w:rFonts w:ascii="Arial" w:cs="Arial" w:eastAsia="Arial" w:hAnsi="Arial"/>
          <w:sz w:val="15"/>
          <w:szCs w:val="15"/>
          <w:color w:val="231F20"/>
        </w:rPr>
        <w:t xml:space="preserve"> for the </w:t>
      </w:r>
      <w:r>
        <w:rPr>
          <w:rFonts w:ascii="Arial" w:cs="Arial" w:eastAsia="Arial" w:hAnsi="Arial"/>
          <w:sz w:val="15"/>
          <w:szCs w:val="15"/>
          <w:color w:val="000000"/>
        </w:rPr>
        <w:t>three and nine</w:t>
      </w:r>
      <w:r>
        <w:rPr>
          <w:rFonts w:ascii="Arial" w:cs="Arial" w:eastAsia="Arial" w:hAnsi="Arial"/>
          <w:sz w:val="15"/>
          <w:szCs w:val="15"/>
          <w:color w:val="231F20"/>
        </w:rPr>
        <w:t xml:space="preserve"> months ended September 30, 2023, respectively (losses of </w:t>
      </w:r>
      <w:r>
        <w:rPr>
          <w:rFonts w:ascii="Arial" w:cs="Arial" w:eastAsia="Arial" w:hAnsi="Arial"/>
          <w:sz w:val="15"/>
          <w:szCs w:val="15"/>
          <w:color w:val="000000"/>
        </w:rPr>
        <w:t>$2.2 million</w:t>
      </w:r>
      <w:r>
        <w:rPr>
          <w:rFonts w:ascii="Arial" w:cs="Arial" w:eastAsia="Arial" w:hAnsi="Arial"/>
          <w:sz w:val="15"/>
          <w:szCs w:val="15"/>
          <w:color w:val="231F20"/>
        </w:rPr>
        <w:t xml:space="preserve"> and </w:t>
      </w:r>
      <w:r>
        <w:rPr>
          <w:rFonts w:ascii="Arial" w:cs="Arial" w:eastAsia="Arial" w:hAnsi="Arial"/>
          <w:sz w:val="15"/>
          <w:szCs w:val="15"/>
          <w:color w:val="000000"/>
        </w:rPr>
        <w:t>$14.2 million</w:t>
      </w:r>
      <w:r>
        <w:rPr>
          <w:rFonts w:ascii="Arial" w:cs="Arial" w:eastAsia="Arial" w:hAnsi="Arial"/>
          <w:sz w:val="15"/>
          <w:szCs w:val="15"/>
          <w:color w:val="231F20"/>
        </w:rPr>
        <w:t xml:space="preserve"> for the </w:t>
      </w:r>
      <w:r>
        <w:rPr>
          <w:rFonts w:ascii="Arial" w:cs="Arial" w:eastAsia="Arial" w:hAnsi="Arial"/>
          <w:sz w:val="15"/>
          <w:szCs w:val="15"/>
          <w:color w:val="000000"/>
        </w:rPr>
        <w:t>three and nine</w:t>
      </w:r>
      <w:r>
        <w:rPr>
          <w:rFonts w:ascii="Arial" w:cs="Arial" w:eastAsia="Arial" w:hAnsi="Arial"/>
          <w:sz w:val="15"/>
          <w:szCs w:val="15"/>
          <w:color w:val="231F20"/>
        </w:rPr>
        <w:t xml:space="preserve"> months ended September 30, 2022, respectively). For the </w:t>
      </w:r>
      <w:r>
        <w:rPr>
          <w:rFonts w:ascii="Arial" w:cs="Arial" w:eastAsia="Arial" w:hAnsi="Arial"/>
          <w:sz w:val="15"/>
          <w:szCs w:val="15"/>
          <w:color w:val="000000"/>
        </w:rPr>
        <w:t>three months ended September 30, 2023, management concluded that none of the unrealized losses were due to</w:t>
      </w:r>
      <w:r>
        <w:rPr>
          <w:rFonts w:ascii="Arial" w:cs="Arial" w:eastAsia="Arial" w:hAnsi="Arial"/>
          <w:sz w:val="15"/>
          <w:szCs w:val="15"/>
          <w:color w:val="231F20"/>
        </w:rPr>
        <w:t xml:space="preserve"> </w:t>
      </w:r>
      <w:r>
        <w:rPr>
          <w:rFonts w:ascii="Arial" w:cs="Arial" w:eastAsia="Arial" w:hAnsi="Arial"/>
          <w:sz w:val="15"/>
          <w:szCs w:val="15"/>
          <w:color w:val="000000"/>
        </w:rPr>
        <w:t xml:space="preserve">credit impairments. </w:t>
      </w:r>
      <w:r>
        <w:rPr>
          <w:rFonts w:ascii="Arial" w:cs="Arial" w:eastAsia="Arial" w:hAnsi="Arial"/>
          <w:sz w:val="15"/>
          <w:szCs w:val="15"/>
          <w:color w:val="231F20"/>
        </w:rPr>
        <w:t>For the</w:t>
      </w:r>
      <w:r>
        <w:rPr>
          <w:rFonts w:ascii="Arial" w:cs="Arial" w:eastAsia="Arial" w:hAnsi="Arial"/>
          <w:sz w:val="15"/>
          <w:szCs w:val="15"/>
          <w:color w:val="000000"/>
        </w:rPr>
        <w:t xml:space="preserve"> nine months ended September 30, 2023</w:t>
      </w:r>
      <w:r>
        <w:rPr>
          <w:rFonts w:ascii="Arial" w:cs="Arial" w:eastAsia="Arial" w:hAnsi="Arial"/>
          <w:sz w:val="15"/>
          <w:szCs w:val="15"/>
          <w:color w:val="231F20"/>
        </w:rPr>
        <w:t xml:space="preserve">, management concluded that $2.4 million of the unrealized losses were due to credit-related impairments. For the </w:t>
      </w:r>
      <w:r>
        <w:rPr>
          <w:rFonts w:ascii="Arial" w:cs="Arial" w:eastAsia="Arial" w:hAnsi="Arial"/>
          <w:sz w:val="15"/>
          <w:szCs w:val="15"/>
          <w:color w:val="000000"/>
        </w:rPr>
        <w:t>three and nine</w:t>
      </w:r>
      <w:r>
        <w:rPr>
          <w:rFonts w:ascii="Arial" w:cs="Arial" w:eastAsia="Arial" w:hAnsi="Arial"/>
          <w:sz w:val="15"/>
          <w:szCs w:val="15"/>
          <w:color w:val="231F20"/>
        </w:rPr>
        <w:t xml:space="preserve"> months ended September 30, 2022, management concluded that unrealized losses were largely market-driven and that none of the unrealized losses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27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4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September 30, 2023 or December 31, 2022.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4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19"/>
        </w:trPr>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loan participations: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values of bank loan participations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(13,818)</w:t>
            </w:r>
          </w:p>
        </w:tc>
      </w:tr>
      <w:tr>
        <w:trPr>
          <w:trHeight w:val="219"/>
        </w:trPr>
        <w:tc>
          <w:tcPr>
            <w:tcW w:w="5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(14,194)</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values of equity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(15,959)</w:t>
            </w:r>
          </w:p>
        </w:tc>
      </w:tr>
      <w:tr>
        <w:trPr>
          <w:trHeight w:val="218"/>
        </w:trPr>
        <w:tc>
          <w:tcPr>
            <w:tcW w:w="5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(15,912)</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 and other: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Changes in fair values of short-term investments and other</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4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(29,874)</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ind w:left="94"/>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214"/>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94"/>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94" w:firstLine="318"/>
        <w:spacing w:after="0" w:line="264"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private debt.</w:t>
      </w:r>
    </w:p>
    <w:p>
      <w:pPr>
        <w:spacing w:after="0" w:line="104" w:lineRule="exact"/>
        <w:rPr>
          <w:sz w:val="20"/>
          <w:szCs w:val="20"/>
          <w:color w:val="auto"/>
        </w:rPr>
      </w:pPr>
    </w:p>
    <w:tbl>
      <w:tblPr>
        <w:tblLayout w:type="fixed"/>
        <w:tblInd w:w="94"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5"/>
          </w:tcPr>
          <w:p>
            <w:pPr>
              <w:ind w:left="660"/>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6"/>
          </w:tcPr>
          <w:p>
            <w:pPr>
              <w:ind w:left="680"/>
              <w:spacing w:after="0"/>
              <w:rPr>
                <w:sz w:val="20"/>
                <w:szCs w:val="20"/>
                <w:color w:val="auto"/>
              </w:rPr>
            </w:pPr>
            <w:r>
              <w:rPr>
                <w:rFonts w:ascii="Arial" w:cs="Arial" w:eastAsia="Arial" w:hAnsi="Arial"/>
                <w:sz w:val="14"/>
                <w:szCs w:val="14"/>
                <w:b w:val="1"/>
                <w:bCs w:val="1"/>
                <w:color w:val="auto"/>
              </w:rPr>
              <w:t>Investment Income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1"/>
                <w:szCs w:val="11"/>
                <w:color w:val="auto"/>
              </w:rPr>
            </w:pPr>
          </w:p>
        </w:tc>
        <w:tc>
          <w:tcPr>
            <w:tcW w:w="1800" w:type="dxa"/>
            <w:vAlign w:val="bottom"/>
            <w:gridSpan w:val="3"/>
          </w:tcPr>
          <w:p>
            <w:pPr>
              <w:jc w:val="center"/>
              <w:ind w:left="75"/>
              <w:spacing w:after="0" w:line="130" w:lineRule="exact"/>
              <w:rPr>
                <w:sz w:val="20"/>
                <w:szCs w:val="20"/>
                <w:color w:val="auto"/>
              </w:rPr>
            </w:pPr>
            <w:r>
              <w:rPr>
                <w:rFonts w:ascii="Arial" w:cs="Arial" w:eastAsia="Arial" w:hAnsi="Arial"/>
                <w:sz w:val="14"/>
                <w:szCs w:val="14"/>
                <w:b w:val="1"/>
                <w:bCs w:val="1"/>
                <w:color w:val="auto"/>
                <w:w w:val="92"/>
              </w:rPr>
              <w:t>Three Months Ended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40" w:type="dxa"/>
            <w:vAlign w:val="bottom"/>
            <w:gridSpan w:val="4"/>
          </w:tcPr>
          <w:p>
            <w:pPr>
              <w:jc w:val="right"/>
              <w:ind w:right="573"/>
              <w:spacing w:after="0" w:line="130"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center"/>
              <w:ind w:left="75"/>
              <w:spacing w:after="0"/>
              <w:rPr>
                <w:sz w:val="20"/>
                <w:szCs w:val="20"/>
                <w:color w:val="auto"/>
              </w:rPr>
            </w:pPr>
            <w:r>
              <w:rPr>
                <w:rFonts w:ascii="Arial" w:cs="Arial" w:eastAsia="Arial" w:hAnsi="Arial"/>
                <w:sz w:val="14"/>
                <w:szCs w:val="14"/>
                <w:b w:val="1"/>
                <w:bCs w:val="1"/>
                <w:i w:val="1"/>
                <w:iCs w:val="1"/>
                <w:color w:val="auto"/>
                <w:w w:val="87"/>
              </w:rPr>
              <w:t>(in thousands)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9,159</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760" w:type="dxa"/>
            <w:vAlign w:val="bottom"/>
          </w:tcPr>
          <w:p>
            <w:pPr>
              <w:jc w:val="right"/>
              <w:ind w:right="581"/>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8"/>
        </w:trPr>
        <w:tc>
          <w:tcPr>
            <w:tcW w:w="3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9"/>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8"/>
        </w:trPr>
        <w:tc>
          <w:tcPr>
            <w:tcW w:w="3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Private Debt </w:t>
            </w:r>
            <w:r>
              <w:rPr>
                <w:rFonts w:ascii="Arial" w:cs="Arial" w:eastAsia="Arial" w:hAnsi="Arial"/>
                <w:sz w:val="18"/>
                <w:szCs w:val="18"/>
                <w:i w:val="1"/>
                <w:iCs w:val="1"/>
                <w:color w:val="auto"/>
              </w:rPr>
              <w:t>(d)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invested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6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25"/>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9"/>
        </w:trPr>
        <w:tc>
          <w:tcPr>
            <w:tcW w:w="3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8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254" w:hanging="254"/>
        <w:spacing w:after="0" w:line="263" w:lineRule="auto"/>
        <w:tabs>
          <w:tab w:leader="none" w:pos="25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Company's Excess and Surplus Lines segment owns equity interests ranging from 2.5% to 4.9% in various LLCs whose principal objective is capital appreciation and income generation from owning and operating renewable energy production facilities (wind and solar). The Corporate and Other segment also held an interest in one of the LLCs until the fourth quarter of 2022. The LLCs are managed by an entity for which two former directors served as officers, and the former Non-Executive Chairman of the Company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$50,000 and $1.4 million in the nine months ended September 30, 2023 and 2022, respectively. During the fourth quarter of 2022, the underlying projects in two of our LLCs were sold at the manager's discretion. In the three months ended March 31, 2023, the Company received additional proceeds from the sales of $1.2 million comprised of $984,000 in the Excess and Surplus Lines segment and $170,000 in the Corporate and Other segment. We could receive additional contingent payments in the future according to terms of the transaction.</w:t>
      </w:r>
    </w:p>
    <w:p>
      <w:pPr>
        <w:spacing w:after="0" w:line="81" w:lineRule="exact"/>
        <w:rPr>
          <w:rFonts w:ascii="Arial" w:cs="Arial" w:eastAsia="Arial" w:hAnsi="Arial"/>
          <w:sz w:val="17"/>
          <w:szCs w:val="17"/>
          <w:color w:val="auto"/>
        </w:rPr>
      </w:pPr>
    </w:p>
    <w:p>
      <w:pPr>
        <w:jc w:val="both"/>
        <w:ind w:left="254" w:hanging="254"/>
        <w:spacing w:after="0" w:line="255" w:lineRule="auto"/>
        <w:tabs>
          <w:tab w:leader="none" w:pos="248" w:val="left"/>
        </w:tabs>
        <w:numPr>
          <w:ilvl w:val="0"/>
          <w:numId w:val="9"/>
        </w:numPr>
        <w:rPr>
          <w:rFonts w:ascii="Arial" w:cs="Arial" w:eastAsia="Arial" w:hAnsi="Arial"/>
          <w:sz w:val="18"/>
          <w:szCs w:val="18"/>
          <w:color w:val="auto"/>
        </w:rPr>
      </w:pPr>
      <w:r>
        <w:rPr>
          <w:rFonts w:ascii="Arial" w:cs="Arial" w:eastAsia="Arial" w:hAnsi="Arial"/>
          <w:sz w:val="18"/>
          <w:szCs w:val="18"/>
          <w:color w:val="231F20"/>
        </w:rPr>
        <w:t xml:space="preserve">The Company's </w:t>
      </w:r>
      <w:r>
        <w:rPr>
          <w:rFonts w:ascii="Arial" w:cs="Arial" w:eastAsia="Arial" w:hAnsi="Arial"/>
          <w:sz w:val="18"/>
          <w:szCs w:val="18"/>
          <w:color w:val="000000"/>
        </w:rPr>
        <w:t>Excess and Surplus Lines and</w:t>
      </w:r>
      <w:r>
        <w:rPr>
          <w:rFonts w:ascii="Arial" w:cs="Arial" w:eastAsia="Arial" w:hAnsi="Arial"/>
          <w:sz w:val="18"/>
          <w:szCs w:val="18"/>
          <w:color w:val="231F20"/>
        </w:rPr>
        <w:t xml:space="preserve"> Corporate and Other segments have invested in notes receivable for renewable energy projects. At September 30, 2023, the Company held two notes issued by an </w:t>
      </w:r>
      <w:r>
        <w:rPr>
          <w:rFonts w:ascii="Arial" w:cs="Arial" w:eastAsia="Arial" w:hAnsi="Arial"/>
          <w:sz w:val="18"/>
          <w:szCs w:val="18"/>
          <w:color w:val="000000"/>
        </w:rPr>
        <w:t>entity for which two of our former directors serve as officers</w:t>
      </w:r>
      <w:r>
        <w:rPr>
          <w:rFonts w:ascii="Arial" w:cs="Arial" w:eastAsia="Arial" w:hAnsi="Arial"/>
          <w:sz w:val="18"/>
          <w:szCs w:val="18"/>
          <w:color w:val="231F20"/>
        </w:rPr>
        <w:t>. Interest on the notes, which mature in 2025, is fixed at 12%.</w:t>
      </w:r>
    </w:p>
    <w:p>
      <w:pPr>
        <w:spacing w:after="0" w:line="82" w:lineRule="exact"/>
        <w:rPr>
          <w:rFonts w:ascii="Arial" w:cs="Arial" w:eastAsia="Arial" w:hAnsi="Arial"/>
          <w:sz w:val="18"/>
          <w:szCs w:val="18"/>
          <w:color w:val="auto"/>
        </w:rPr>
      </w:pPr>
    </w:p>
    <w:p>
      <w:pPr>
        <w:jc w:val="both"/>
        <w:ind w:left="254" w:hanging="254"/>
        <w:spacing w:after="0" w:line="306" w:lineRule="auto"/>
        <w:tabs>
          <w:tab w:leader="none" w:pos="251" w:val="left"/>
        </w:tabs>
        <w:numPr>
          <w:ilvl w:val="0"/>
          <w:numId w:val="9"/>
        </w:numPr>
        <w:rPr>
          <w:rFonts w:ascii="Arial" w:cs="Arial" w:eastAsia="Arial" w:hAnsi="Arial"/>
          <w:sz w:val="15"/>
          <w:szCs w:val="15"/>
          <w:color w:val="231F20"/>
        </w:rPr>
      </w:pPr>
      <w:r>
        <w:rPr>
          <w:rFonts w:ascii="Arial" w:cs="Arial" w:eastAsia="Arial" w:hAnsi="Arial"/>
          <w:sz w:val="15"/>
          <w:szCs w:val="15"/>
          <w:color w:val="auto"/>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w:t>
      </w:r>
      <w:r>
        <w:rPr>
          <w:rFonts w:ascii="Arial" w:cs="Arial" w:eastAsia="Arial" w:hAnsi="Arial"/>
          <w:sz w:val="15"/>
          <w:szCs w:val="15"/>
          <w:color w:val="231F20"/>
        </w:rPr>
        <w:t>Income f</w:t>
      </w:r>
      <w:r>
        <w:rPr>
          <w:rFonts w:ascii="Arial" w:cs="Arial" w:eastAsia="Arial" w:hAnsi="Arial"/>
          <w:sz w:val="15"/>
          <w:szCs w:val="15"/>
          <w:color w:val="auto"/>
        </w:rPr>
        <w:t>rom the partnerships is recognized under the equity method of accounting. At September 30, 2023, the Company’s Excess and Surplus Lines segment has outstanding commitments to invest another $6.7 million in the limited partnerships.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34"/>
          </w:cols>
          <w:pgMar w:left="226" w:top="127" w:right="339" w:bottom="1440" w:gutter="0" w:footer="0" w:header="0"/>
        </w:sectPr>
      </w:pPr>
    </w:p>
    <w:bookmarkStart w:id="17" w:name="page18"/>
    <w:bookmarkEnd w:id="17"/>
    <w:p>
      <w:pPr>
        <w:ind w:left="94"/>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214"/>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94"/>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left="254" w:hanging="254"/>
        <w:spacing w:after="0" w:line="250" w:lineRule="auto"/>
        <w:tabs>
          <w:tab w:leader="none" w:pos="248"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 xml:space="preserve">The Company's Excess and Surplus Lines segment has invested in two notes receivable for structured private specialty credit. Interest on the notes, which mature in 2031, is fixed at 4.25% and 5.25%. At September 30, 2023, the Company’s Excess and Surplus Lines segment has outstanding commitments to invest another $7.7 million in these notes. Previously, the Company's Excess and Surplus Lines segment held $4.5 million of subordinated notes issued by a bank holding company for which the former Non-Executive Chairman of the Company was previously the Lead Independent Director. </w:t>
      </w:r>
      <w:r>
        <w:rPr>
          <w:rFonts w:ascii="Arial" w:cs="Arial" w:eastAsia="Arial" w:hAnsi="Arial"/>
          <w:sz w:val="18"/>
          <w:szCs w:val="18"/>
          <w:color w:val="231F20"/>
        </w:rPr>
        <w:t>T</w:t>
      </w:r>
      <w:r>
        <w:rPr>
          <w:rFonts w:ascii="Arial" w:cs="Arial" w:eastAsia="Arial" w:hAnsi="Arial"/>
          <w:sz w:val="18"/>
          <w:szCs w:val="18"/>
          <w:color w:val="auto"/>
        </w:rPr>
        <w:t>he notes matured on August 12, 2023. Interest on the notes was fixed at 7.6% per annum.</w:t>
      </w:r>
    </w:p>
    <w:p>
      <w:pPr>
        <w:spacing w:after="0" w:line="81" w:lineRule="exact"/>
        <w:rPr>
          <w:rFonts w:ascii="Arial" w:cs="Arial" w:eastAsia="Arial" w:hAnsi="Arial"/>
          <w:sz w:val="18"/>
          <w:szCs w:val="18"/>
          <w:color w:val="231F20"/>
        </w:rPr>
      </w:pPr>
    </w:p>
    <w:p>
      <w:pPr>
        <w:ind w:left="414" w:hanging="314"/>
        <w:spacing w:after="0"/>
        <w:tabs>
          <w:tab w:leader="none" w:pos="414"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17" w:lineRule="exact"/>
        <w:rPr>
          <w:sz w:val="20"/>
          <w:szCs w:val="20"/>
          <w:color w:val="auto"/>
        </w:rPr>
      </w:pPr>
    </w:p>
    <w:p>
      <w:pPr>
        <w:jc w:val="both"/>
        <w:ind w:left="94" w:firstLine="318"/>
        <w:spacing w:after="0" w:line="252"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September 30, 2023 and December 31, 2022.</w:t>
      </w:r>
    </w:p>
    <w:p>
      <w:pPr>
        <w:spacing w:after="0" w:line="85" w:lineRule="exact"/>
        <w:rPr>
          <w:sz w:val="20"/>
          <w:szCs w:val="20"/>
          <w:color w:val="auto"/>
        </w:rPr>
      </w:pPr>
    </w:p>
    <w:p>
      <w:pPr>
        <w:jc w:val="both"/>
        <w:ind w:left="94" w:firstLine="318"/>
        <w:spacing w:after="0" w:line="330" w:lineRule="auto"/>
        <w:rPr>
          <w:sz w:val="20"/>
          <w:szCs w:val="20"/>
          <w:color w:val="auto"/>
        </w:rPr>
      </w:pPr>
      <w:r>
        <w:rPr>
          <w:rFonts w:ascii="Arial" w:cs="Arial" w:eastAsia="Arial" w:hAnsi="Arial"/>
          <w:sz w:val="15"/>
          <w:szCs w:val="15"/>
          <w:color w:val="auto"/>
        </w:rPr>
        <w:t>On September 25, 2023, the Company announced that certain of its subsidiaries entered into an agreement to sell the renewal rights to the Individual Risk Workers’ Compensation (“IRWC”) business in the Specialty Admitted Insurance segment. Upon closing of the transaction on September 29, 2023, the Company recognized an impairment charge of $2.5 million related to the trademark intangible asset associated with the IRWC business.</w:t>
      </w:r>
    </w:p>
    <w:p>
      <w:pPr>
        <w:spacing w:after="0" w:line="31" w:lineRule="exact"/>
        <w:rPr>
          <w:sz w:val="20"/>
          <w:szCs w:val="20"/>
          <w:color w:val="auto"/>
        </w:rPr>
      </w:pPr>
    </w:p>
    <w:p>
      <w:pPr>
        <w:ind w:left="414"/>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141" w:lineRule="exact"/>
        <w:rPr>
          <w:sz w:val="20"/>
          <w:szCs w:val="20"/>
          <w:color w:val="auto"/>
        </w:rPr>
      </w:pPr>
    </w:p>
    <w:tbl>
      <w:tblPr>
        <w:tblLayout w:type="fixed"/>
        <w:tblInd w:w="94" w:type="dxa"/>
        <w:tblCellMar>
          <w:top w:w="0" w:type="dxa"/>
          <w:left w:w="0" w:type="dxa"/>
          <w:bottom w:w="0" w:type="dxa"/>
          <w:right w:w="0" w:type="dxa"/>
        </w:tblCellMar>
      </w:tblPr>
      <w:tr>
        <w:trPr>
          <w:trHeight w:val="184"/>
        </w:trPr>
        <w:tc>
          <w:tcPr>
            <w:tcW w:w="4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5"/>
          </w:tcPr>
          <w:p>
            <w:pPr>
              <w:ind w:left="52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5"/>
                <w:szCs w:val="15"/>
                <w:color w:val="auto"/>
              </w:rPr>
            </w:pPr>
          </w:p>
        </w:tc>
        <w:tc>
          <w:tcPr>
            <w:tcW w:w="2500" w:type="dxa"/>
            <w:vAlign w:val="bottom"/>
            <w:gridSpan w:val="4"/>
          </w:tcPr>
          <w:p>
            <w:pPr>
              <w:jc w:val="right"/>
              <w:ind w:right="716"/>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080" w:type="dxa"/>
            <w:vAlign w:val="bottom"/>
          </w:tcPr>
          <w:p>
            <w:pPr>
              <w:spacing w:after="0"/>
              <w:rPr>
                <w:sz w:val="11"/>
                <w:szCs w:val="11"/>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5"/>
          </w:tcPr>
          <w:p>
            <w:pPr>
              <w:ind w:left="72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Indefinite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19,700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licenses and authorities</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Indefinite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color w:val="auto"/>
                <w:w w:val="91"/>
              </w:rPr>
              <w:t>Identifiable intangible assets not subject to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 relationships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18"/>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Identifiable intangible assets subject to amortization</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34"/>
          </w:cols>
          <w:pgMar w:left="226"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Earnings (Loss) Per Share</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earnings (loss) per common share computations contained in the condensed consolidated financial statements: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56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189"/>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80" w:type="dxa"/>
            <w:vAlign w:val="bottom"/>
            <w:gridSpan w:val="7"/>
          </w:tcPr>
          <w:p>
            <w:pPr>
              <w:ind w:left="40"/>
              <w:spacing w:after="0"/>
              <w:rPr>
                <w:sz w:val="20"/>
                <w:szCs w:val="20"/>
                <w:color w:val="auto"/>
              </w:rPr>
            </w:pPr>
            <w:r>
              <w:rPr>
                <w:rFonts w:ascii="Arial" w:cs="Arial" w:eastAsia="Arial" w:hAnsi="Arial"/>
                <w:sz w:val="14"/>
                <w:szCs w:val="14"/>
                <w:b w:val="1"/>
                <w:bCs w:val="1"/>
                <w:i w:val="1"/>
                <w:iCs w:val="1"/>
                <w:color w:val="auto"/>
                <w:w w:val="86"/>
              </w:rPr>
              <w:t>(in thousands, except share and per share amounts)</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Dividends on Series A preferred shares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shareholders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r>
      <w:tr>
        <w:trPr>
          <w:trHeight w:val="265"/>
        </w:trPr>
        <w:tc>
          <w:tcPr>
            <w:tcW w:w="5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542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37,642,632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37,450,381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37,605,986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37,435,798</w:t>
            </w:r>
          </w:p>
        </w:tc>
      </w:tr>
      <w:tr>
        <w:trPr>
          <w:trHeight w:val="225"/>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potential common shares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206,858</w:t>
            </w:r>
          </w:p>
        </w:tc>
      </w:tr>
      <w:tr>
        <w:trPr>
          <w:trHeight w:val="219"/>
        </w:trPr>
        <w:tc>
          <w:tcPr>
            <w:tcW w:w="54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37,822,906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37,450,381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37,822,774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37,642,656</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1"/>
        </w:trPr>
        <w:tc>
          <w:tcPr>
            <w:tcW w:w="5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Net income (loss) per common share: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25"/>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potential common shares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For the three and nine months ended </w:t>
      </w:r>
      <w:r>
        <w:rPr>
          <w:rFonts w:ascii="Arial" w:cs="Arial" w:eastAsia="Arial" w:hAnsi="Arial"/>
          <w:sz w:val="15"/>
          <w:szCs w:val="15"/>
          <w:color w:val="231F20"/>
        </w:rPr>
        <w:t>September 30, 2023, potential common shares of 5,640,158</w:t>
      </w:r>
      <w:r>
        <w:rPr>
          <w:rFonts w:ascii="Arial" w:cs="Arial" w:eastAsia="Arial" w:hAnsi="Arial"/>
          <w:sz w:val="15"/>
          <w:szCs w:val="15"/>
          <w:color w:val="auto"/>
        </w:rPr>
        <w:t xml:space="preserve"> were excluded from the calculation of diluted earnings per common share as their effects were anti-dilutive. For the three and nine months ended September 30, 2022, potential common shares of </w:t>
      </w:r>
      <w:r>
        <w:rPr>
          <w:rFonts w:ascii="Arial" w:cs="Arial" w:eastAsia="Arial" w:hAnsi="Arial"/>
          <w:sz w:val="15"/>
          <w:szCs w:val="15"/>
          <w:color w:val="231F20"/>
        </w:rPr>
        <w:t>5,830,234 and</w:t>
      </w:r>
      <w:r>
        <w:rPr>
          <w:rFonts w:ascii="Arial" w:cs="Arial" w:eastAsia="Arial" w:hAnsi="Arial"/>
          <w:sz w:val="15"/>
          <w:szCs w:val="15"/>
          <w:color w:val="auto"/>
        </w:rPr>
        <w:t xml:space="preserve"> 4,421,223, respectively, were excluded from the calculation of diluted (loss) earnings per common share as their effects were anti-dilutive.</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earnings (loss) per share calculation above is based on the conversion price adjustment effective date for Series A Preferred Shares (as defined in Note 12 below) pursuant to the Certificate of Designations for the Series A Preferred Shares, which prescribes the conversion price to be used in the event of an optional or mandatory conversion to be the conversion price effective with the financial statements for the most recently completed quarter prior to the date of conversion, which are the June 30, 2023 financial statements for an assumed conversion date of July 1, 2023. This calculation is different from that used for our earnings release for the quarter ended September 30, 2023 (filed with the SEC as an exhibit to the Current Report on Form 8-K on November 8, 2023), which gave effect to cumulative net adverse development exceeding the prescribed anti-dilution threshold in the third quarter of 2023 (which would be applicable for an assumed conversion date of October 1, 2023), resulting in a lower conversion price and a higher amount of dilutive potential common shares. The difference in dilutive potential common shares did not result in a difference in earnings (loss) per share for either the three or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$688,000 at September 30, 2023, $670,000 at June 30, 2023, $612,000 at December 31, 2022, $621,000 at September 30, 2022, $601,000 at June 30, 2022, and $631,000 at December 31, 2021.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4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Reserve for losses and loss adjustment expenses net of reinsurance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recoverables at beginning of period</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1,338,973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1,159,145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1,248,270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1,399,214</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w w:val="95"/>
              </w:rPr>
              <w:t>Add: Incurred losses and loss adjustment expenses net of reinsurance: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385,114</w:t>
            </w: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Arial" w:cs="Arial" w:eastAsia="Arial" w:hAnsi="Arial"/>
                <w:sz w:val="18"/>
                <w:szCs w:val="18"/>
                <w:color w:val="auto"/>
              </w:rPr>
              <w:t>Prior years - retroactive reinsurance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 - excluding retroactive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Total incurred losses and loss and adjustment expenses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139,171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153,008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435,767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409,985</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Deduct: Loss and loss adjustment expense payments net of reinsurance: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22,057</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275,375</w:t>
            </w:r>
          </w:p>
        </w:tc>
        <w:tc>
          <w:tcPr>
            <w:tcW w:w="0" w:type="dxa"/>
            <w:vAlign w:val="bottom"/>
          </w:tcPr>
          <w:p>
            <w:pPr>
              <w:spacing w:after="0"/>
              <w:rPr>
                <w:sz w:val="1"/>
                <w:szCs w:val="1"/>
                <w:color w:val="auto"/>
              </w:rPr>
            </w:pPr>
          </w:p>
        </w:tc>
      </w:tr>
      <w:tr>
        <w:trPr>
          <w:trHeight w:val="218"/>
        </w:trPr>
        <w:tc>
          <w:tcPr>
            <w:tcW w:w="5420" w:type="dxa"/>
            <w:vAlign w:val="bottom"/>
          </w:tcPr>
          <w:p>
            <w:pPr>
              <w:ind w:left="20"/>
              <w:spacing w:after="0"/>
              <w:rPr>
                <w:sz w:val="20"/>
                <w:szCs w:val="20"/>
                <w:color w:val="auto"/>
              </w:rPr>
            </w:pPr>
            <w:r>
              <w:rPr>
                <w:rFonts w:ascii="Arial" w:cs="Arial" w:eastAsia="Arial" w:hAnsi="Arial"/>
                <w:sz w:val="18"/>
                <w:szCs w:val="18"/>
                <w:color w:val="auto"/>
              </w:rPr>
              <w:t>Total loss and loss adjustment expense payments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100,846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94,206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289,258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297,432</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Deduct: Change in deferred reinsurance gain - retroactive reinsurance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Deduct: Loss reserves ceded in Casualty Re LPT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299,493</w:t>
            </w:r>
          </w:p>
        </w:tc>
        <w:tc>
          <w:tcPr>
            <w:tcW w:w="0" w:type="dxa"/>
            <w:vAlign w:val="bottom"/>
          </w:tcPr>
          <w:p>
            <w:pPr>
              <w:spacing w:after="0"/>
              <w:rPr>
                <w:sz w:val="1"/>
                <w:szCs w:val="1"/>
                <w:color w:val="auto"/>
              </w:rPr>
            </w:pPr>
          </w:p>
        </w:tc>
      </w:tr>
      <w:tr>
        <w:trPr>
          <w:trHeight w:val="174"/>
        </w:trPr>
        <w:tc>
          <w:tcPr>
            <w:tcW w:w="54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Add: Changes in reinsurance recoverable of Casualty Re LPT unrelated to</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reserve activity</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153"/>
        </w:trPr>
        <w:tc>
          <w:tcPr>
            <w:tcW w:w="5420" w:type="dxa"/>
            <w:vAlign w:val="bottom"/>
          </w:tcPr>
          <w:p>
            <w:pPr>
              <w:ind w:left="20"/>
              <w:spacing w:after="0" w:line="154" w:lineRule="exact"/>
              <w:rPr>
                <w:sz w:val="20"/>
                <w:szCs w:val="20"/>
                <w:color w:val="auto"/>
              </w:rPr>
            </w:pPr>
            <w:r>
              <w:rPr>
                <w:rFonts w:ascii="Arial" w:cs="Arial" w:eastAsia="Arial" w:hAnsi="Arial"/>
                <w:sz w:val="17"/>
                <w:szCs w:val="17"/>
                <w:color w:val="auto"/>
              </w:rPr>
              <w:t>Reserve for losses and loss adjustment expenses net of reinsurance</w:t>
            </w: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recoverables at end of period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1,377,217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1,201,243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1,377,217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1,201,243</w:t>
            </w:r>
          </w:p>
        </w:tc>
        <w:tc>
          <w:tcPr>
            <w:tcW w:w="0" w:type="dxa"/>
            <w:vAlign w:val="bottom"/>
          </w:tcPr>
          <w:p>
            <w:pPr>
              <w:spacing w:after="0"/>
              <w:rPr>
                <w:sz w:val="1"/>
                <w:szCs w:val="1"/>
                <w:color w:val="auto"/>
              </w:rPr>
            </w:pPr>
          </w:p>
        </w:tc>
      </w:tr>
      <w:tr>
        <w:trPr>
          <w:trHeight w:val="174"/>
        </w:trPr>
        <w:tc>
          <w:tcPr>
            <w:tcW w:w="54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Add: Reinsurance recoverables on unpaid losses and loss adjustment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at end of period</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1,510,135</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1,585,457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1,510,135</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1,585,457</w:t>
            </w:r>
          </w:p>
        </w:tc>
        <w:tc>
          <w:tcPr>
            <w:tcW w:w="0" w:type="dxa"/>
            <w:vAlign w:val="bottom"/>
          </w:tcPr>
          <w:p>
            <w:pPr>
              <w:spacing w:after="0"/>
              <w:rPr>
                <w:sz w:val="1"/>
                <w:szCs w:val="1"/>
                <w:color w:val="auto"/>
              </w:rPr>
            </w:pPr>
          </w:p>
        </w:tc>
      </w:tr>
      <w:tr>
        <w:trPr>
          <w:trHeight w:val="153"/>
        </w:trPr>
        <w:tc>
          <w:tcPr>
            <w:tcW w:w="5420" w:type="dxa"/>
            <w:vAlign w:val="bottom"/>
          </w:tcPr>
          <w:p>
            <w:pPr>
              <w:ind w:left="20"/>
              <w:spacing w:after="0" w:line="154" w:lineRule="exact"/>
              <w:rPr>
                <w:sz w:val="20"/>
                <w:szCs w:val="20"/>
                <w:color w:val="auto"/>
              </w:rPr>
            </w:pPr>
            <w:r>
              <w:rPr>
                <w:rFonts w:ascii="Arial" w:cs="Arial" w:eastAsia="Arial" w:hAnsi="Arial"/>
                <w:sz w:val="17"/>
                <w:szCs w:val="17"/>
                <w:color w:val="auto"/>
              </w:rPr>
              <w:t>Reserve for losses and loss adjustment expenses gross of reinsurance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20"/>
              <w:spacing w:after="0" w:line="186" w:lineRule="exact"/>
              <w:rPr>
                <w:sz w:val="20"/>
                <w:szCs w:val="20"/>
                <w:color w:val="auto"/>
              </w:rPr>
            </w:pPr>
            <w:r>
              <w:rPr>
                <w:rFonts w:ascii="Arial" w:cs="Arial" w:eastAsia="Arial" w:hAnsi="Arial"/>
                <w:sz w:val="18"/>
                <w:szCs w:val="18"/>
                <w:color w:val="auto"/>
                <w:w w:val="95"/>
              </w:rPr>
              <w:t>recoverables on unpaid losses and loss adjustment expenses at end of</w:t>
            </w:r>
          </w:p>
        </w:tc>
        <w:tc>
          <w:tcPr>
            <w:tcW w:w="320" w:type="dxa"/>
            <w:vAlign w:val="bottom"/>
            <w:vMerge w:val="restart"/>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2,887,352</w:t>
            </w:r>
          </w:p>
        </w:tc>
        <w:tc>
          <w:tcPr>
            <w:tcW w:w="120" w:type="dxa"/>
            <w:vAlign w:val="bottom"/>
          </w:tcPr>
          <w:p>
            <w:pPr>
              <w:spacing w:after="0"/>
              <w:rPr>
                <w:sz w:val="16"/>
                <w:szCs w:val="16"/>
                <w:color w:val="auto"/>
              </w:rPr>
            </w:pPr>
          </w:p>
        </w:tc>
        <w:tc>
          <w:tcPr>
            <w:tcW w:w="460" w:type="dxa"/>
            <w:vAlign w:val="bottom"/>
            <w:vMerge w:val="restart"/>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2,786,700</w:t>
            </w:r>
          </w:p>
        </w:tc>
        <w:tc>
          <w:tcPr>
            <w:tcW w:w="100" w:type="dxa"/>
            <w:vAlign w:val="bottom"/>
          </w:tcPr>
          <w:p>
            <w:pPr>
              <w:spacing w:after="0"/>
              <w:rPr>
                <w:sz w:val="16"/>
                <w:szCs w:val="16"/>
                <w:color w:val="auto"/>
              </w:rPr>
            </w:pPr>
          </w:p>
        </w:tc>
        <w:tc>
          <w:tcPr>
            <w:tcW w:w="460" w:type="dxa"/>
            <w:vAlign w:val="bottom"/>
            <w:vMerge w:val="restart"/>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2,887,352</w:t>
            </w:r>
          </w:p>
        </w:tc>
        <w:tc>
          <w:tcPr>
            <w:tcW w:w="100" w:type="dxa"/>
            <w:vAlign w:val="bottom"/>
          </w:tcPr>
          <w:p>
            <w:pPr>
              <w:spacing w:after="0"/>
              <w:rPr>
                <w:sz w:val="16"/>
                <w:szCs w:val="16"/>
                <w:color w:val="auto"/>
              </w:rPr>
            </w:pPr>
          </w:p>
        </w:tc>
        <w:tc>
          <w:tcPr>
            <w:tcW w:w="460" w:type="dxa"/>
            <w:vAlign w:val="bottom"/>
            <w:vMerge w:val="restart"/>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2,786,700</w:t>
            </w:r>
          </w:p>
        </w:tc>
        <w:tc>
          <w:tcPr>
            <w:tcW w:w="0" w:type="dxa"/>
            <w:vAlign w:val="bottom"/>
          </w:tcPr>
          <w:p>
            <w:pPr>
              <w:spacing w:after="0"/>
              <w:rPr>
                <w:sz w:val="1"/>
                <w:szCs w:val="1"/>
                <w:color w:val="auto"/>
              </w:rPr>
            </w:pPr>
          </w:p>
        </w:tc>
      </w:tr>
      <w:tr>
        <w:trPr>
          <w:trHeight w:val="203"/>
        </w:trPr>
        <w:tc>
          <w:tcPr>
            <w:tcW w:w="5420" w:type="dxa"/>
            <w:vAlign w:val="bottom"/>
          </w:tcPr>
          <w:p>
            <w:pPr>
              <w:ind w:left="20"/>
              <w:spacing w:after="0" w:line="198" w:lineRule="exact"/>
              <w:rPr>
                <w:sz w:val="20"/>
                <w:szCs w:val="20"/>
                <w:color w:val="auto"/>
              </w:rPr>
            </w:pPr>
            <w:r>
              <w:rPr>
                <w:rFonts w:ascii="Arial" w:cs="Arial" w:eastAsia="Arial" w:hAnsi="Arial"/>
                <w:sz w:val="18"/>
                <w:szCs w:val="18"/>
                <w:color w:val="auto"/>
              </w:rPr>
              <w:t>period</w:t>
            </w: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Company experienced $12.5 million of net adverse reserve development in the three months ended September 30, 2023 on the reserve for losses and loss adjustment expenses held at December 31, 2022 (excluding adverse prior year development on the loss portfolio transfers subject to retroactive reinsurance accounting - see </w:t>
      </w:r>
      <w:r>
        <w:rPr>
          <w:rFonts w:ascii="Arial" w:cs="Arial" w:eastAsia="Arial" w:hAnsi="Arial"/>
          <w:sz w:val="18"/>
          <w:szCs w:val="18"/>
          <w:i w:val="1"/>
          <w:iCs w:val="1"/>
          <w:color w:val="auto"/>
        </w:rPr>
        <w:t>Loss Portfolio Transfers</w:t>
      </w:r>
      <w:r>
        <w:rPr>
          <w:rFonts w:ascii="Arial" w:cs="Arial" w:eastAsia="Arial" w:hAnsi="Arial"/>
          <w:sz w:val="18"/>
          <w:szCs w:val="18"/>
          <w:color w:val="auto"/>
        </w:rPr>
        <w:t xml:space="preserve"> below). This reserve development included $7.8 million of net adverse development in the Excess and Surplus Lines segment, no development in the Specialty Admitted Insurance segment, and $4.7 million of net adverse development in the Casualty Reinsurance segment.</w:t>
      </w:r>
    </w:p>
    <w:p>
      <w:pPr>
        <w:spacing w:after="0" w:line="8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 Company experienced $1.1 million of net favorable reserve development in the three months ended September 30, 2022 on the reserve for losses and loss adjustment expenses held at December 31, 2021 (excluding adverse prior year development on the loss portfolio transfers subject to retroactive reinsurance accounting - see </w:t>
      </w:r>
      <w:r>
        <w:rPr>
          <w:rFonts w:ascii="Arial" w:cs="Arial" w:eastAsia="Arial" w:hAnsi="Arial"/>
          <w:sz w:val="15"/>
          <w:szCs w:val="15"/>
          <w:i w:val="1"/>
          <w:iCs w:val="1"/>
          <w:color w:val="auto"/>
        </w:rPr>
        <w:t>Loss Portfolio Transfers</w:t>
      </w:r>
      <w:r>
        <w:rPr>
          <w:rFonts w:ascii="Arial" w:cs="Arial" w:eastAsia="Arial" w:hAnsi="Arial"/>
          <w:sz w:val="15"/>
          <w:szCs w:val="15"/>
          <w:color w:val="auto"/>
        </w:rPr>
        <w:t xml:space="preserve"> below). This reserve development included $139,000 of net adverse development in the Excess and Surplus Lines segment, $1.3 million of net favorable development in the Specialty Admitted Insurance segment, and no development in the Casualty Reinsurance segment. The Company also experienced $5.0 million of net catastrophe losses in the current accident year for the three months ended September 30, 2022 related to Hurricane Ian. The losses were primarily in the Excess Property book in the Excess and Surplus Lines segment.</w:t>
      </w:r>
    </w:p>
    <w:p>
      <w:pPr>
        <w:spacing w:after="0" w:line="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experienced $16.1 million of net adverse reserve development in the nine months ended September 30, 2023 on the reserve for losses and loss adjustment expenses held at December 31, 2022 (excluding adverse prior year development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the loss portfolio transfers subject to retroactive reinsurance accounting - see </w:t>
      </w:r>
      <w:r>
        <w:rPr>
          <w:rFonts w:ascii="Arial" w:cs="Arial" w:eastAsia="Arial" w:hAnsi="Arial"/>
          <w:sz w:val="18"/>
          <w:szCs w:val="18"/>
          <w:i w:val="1"/>
          <w:iCs w:val="1"/>
          <w:color w:val="auto"/>
        </w:rPr>
        <w:t>Loss Portfolio Transfers</w:t>
      </w:r>
      <w:r>
        <w:rPr>
          <w:rFonts w:ascii="Arial" w:cs="Arial" w:eastAsia="Arial" w:hAnsi="Arial"/>
          <w:sz w:val="18"/>
          <w:szCs w:val="18"/>
          <w:color w:val="auto"/>
        </w:rPr>
        <w:t xml:space="preserve"> below). This reserve development included $7.6 million of net adverse development in the Excess and Surplus Lines segment, $1.0 million of net favorable development in the Specialty Admitted Insurance segment, and $9.5 million of net adverse development in the Casualty Reinsurance segment.</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Company experienced $4.1 million of net adverse reserve development in the nine months ended September 30, 2022 on the reserve for losses and loss adjustment expenses held at December 31, 2021 (excluding adverse prior year development on the loss portfolio transfers subject to retroactive reinsurance accounting - see </w:t>
      </w:r>
      <w:r>
        <w:rPr>
          <w:rFonts w:ascii="Arial" w:cs="Arial" w:eastAsia="Arial" w:hAnsi="Arial"/>
          <w:sz w:val="17"/>
          <w:szCs w:val="17"/>
          <w:i w:val="1"/>
          <w:iCs w:val="1"/>
          <w:color w:val="auto"/>
        </w:rPr>
        <w:t>Loss Portfolio Transfers</w:t>
      </w:r>
      <w:r>
        <w:rPr>
          <w:rFonts w:ascii="Arial" w:cs="Arial" w:eastAsia="Arial" w:hAnsi="Arial"/>
          <w:sz w:val="17"/>
          <w:szCs w:val="17"/>
          <w:color w:val="auto"/>
        </w:rPr>
        <w:t xml:space="preserve"> below). This reserve development included $48,000 of net adverse development in the Excess and Surplus Lines segment, $2.8 million of net favorable development in the Specialty Admitted Insurance segment, and $6.8 million of net adverse development in the Casualty Reinsurance segment that was associated with the Casualty Re LPT (as defined below). The Company also experienced $5.0 million of net catastrophe losses in the current accident year for the nine months ended September 30, 2022 related to Hurricane Ian. The losses were primarily in the Excess Property book in the Excess and Surplus Lines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Portfolio Transfers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has entered into two loss portfolio transfers, which are a form of reinsurance utilized by the Company to transfer losses and loss adjustment expenses and associated risk of adverse development on covered subject business, as defined in the respective agreements, to an assuming reinsurer in exchange for a reinsurance premium.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Auto Loss Portfolio Transfer</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Re Loss Portfolio Transfer</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February 23, 2022, JRG Re entered into a loss portfolio transfer retrocession agreement (the “Casualty Re LPT”)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were adjusted for claims paid from October 1, 2021 to the Retrocession Closing Date. The Casualty Reinsurance segment incurred $6.8 million of net adverse reserve development in the three months ended March 31, 2022 associated with the Casualty Re LPT.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Retroactive Reinsurance Accounting</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periodically reevaluates the remaining reserves subject to the Commercial Auto LPT and the Casualty Re LPT. For the three and nine months ended September 30, 2023, due to adverse paid and reported loss trends, the Company recognized adverse prior year development of $14.0 million and $81.3 million, respectively, on the reserves subject to the Commercial Auto LPT ($7.1 million and $60.6 million, respectively) and Casualty Re LPT ($7.0 million and $20.6 million, respectively), resulting in corresponding additional amounts ceded under the respective loss portfolio transfers. In the three and nine months ended September 30, 2022, the Company recognized adverse prior year development of $46.7 million on the reserves subject to the Commercial Auto LPT. Both loss portfolio transfers are in gain positions as the cumulative amounts ceded under the loss portfolio transfers exceed the consideration paid, requiring the application of retroactive reinsurance accounting under GAAP.</w:t>
      </w:r>
    </w:p>
    <w:p>
      <w:pPr>
        <w:spacing w:after="0" w:line="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retroactive reinsurance accounting, gains are deferred and recognized in earnings in proportion to actual paid recoveries under the loss portfolio transfers using the recovery method. Over the life of the contracts, we would expect no economic impact to the Company as long as any additional losses are within the limit of the loss portfolio transfer and the counterparty performs under the contract. In periods where the Company recognizes a change in the estimate of the reserves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the loss portfolio transfers that increases or decreases the amounts ceded under the loss portfolio transfers, the proportion of actual paid recoveries to total ceded losses is affected and the change in deferred gain is recognized in earnings as if the revised estimate of ceded losses was available at the effective date of the loss portfolio transfer. The effect of the deferred retroactive reinsurance benefit is recorded in losses and loss adjustment expenses on the Condensed Consolidated Statements of Income (Loss) and Comprehensive (Loss) Income.</w:t>
      </w:r>
    </w:p>
    <w:p>
      <w:pPr>
        <w:spacing w:after="0" w:line="7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For the three and nine months ended September 30, 2023, retroactive reinsurance benefits totaling $14.0 million and $63.7 million, respectively ($10.2 million and $54.4 million for the Commercial Auto LPT, respectively, and $3.7 million and $9.3 million for the Casualty Re LPT, respectively), were recorded in losses and loss adjustment expenses on the Condensed Consolidated Statements of Income (Loss) and Comprehensive (Loss) Income using the recovery method. In the three and nine months ended September 30, 2022, retroactive reinsurance benefits of $25.9 million were recorded in losses and loss adjustment expenses for the Commercial Auto LPT using the recovery method. As of September 30, 2023, the cumulative amounts ceded under the loss portfolio transfers was $814.2 million ($452.5 million under the Commercial Auto LPT and $361.7 million under the Casualty Re LPT). The total unrecognized deferred retroactive reinsurance gain of $37.7 million at September 30, 2023 under the loss portfolio transfers ($22.0 million related to the Commercial Auto LPT and $15.7 million related to the Casualty Re LPT) is separately presented on the Company's Condensed Consolidated Balance Sheets. The Company has $38.3 million of aggregate limit remaining under the Casualty Re LPT at September 30, 2023.</w:t>
      </w:r>
    </w:p>
    <w:p>
      <w:pPr>
        <w:spacing w:after="0" w:line="48"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w:t>
      </w:r>
    </w:p>
    <w:p>
      <w:pPr>
        <w:spacing w:after="0" w:line="117"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loss: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40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Unrealized losses arising during the period, before U.S. income taxes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(233,501)</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28,295</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Unrealized losses arising during the period, net of U.S.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(205,206)</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Less reclassification adjustment: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(losses) gains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154"/>
        </w:trPr>
        <w:tc>
          <w:tcPr>
            <w:tcW w:w="5420" w:type="dxa"/>
            <w:vAlign w:val="bottom"/>
            <w:tcBorders>
              <w:top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Reclassification adjustment for investment (losses) gains realized in net</w:t>
            </w:r>
          </w:p>
        </w:tc>
        <w:tc>
          <w:tcPr>
            <w:tcW w:w="3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(205,227)</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invested assets are primarily comprised of fixed maturity securities that are classified as available-for-sale and carried at fair value with unrealized gains and losses (except where the Company has determined that an unrealized loss is due to credit-related factors) on these securities reported, net of applicable taxes, as a separate component of accumulated comprehensive income (loss). The fair values of fixed maturities generally move inversely with interest rates, and for the periods presented above, the fair values of our fixed maturity securities were negatively impacted by rising interest rates leading to unrealized losses recognized in other comprehensive loss.</w:t>
      </w:r>
    </w:p>
    <w:p>
      <w:pPr>
        <w:spacing w:after="0" w:line="8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addition to the $478,000 and $847,000 of net realized investment losses on available-for-sale fixed maturities for the three and nine </w:t>
      </w:r>
      <w:r>
        <w:rPr>
          <w:rFonts w:ascii="Arial" w:cs="Arial" w:eastAsia="Arial" w:hAnsi="Arial"/>
          <w:sz w:val="15"/>
          <w:szCs w:val="15"/>
          <w:color w:val="231F20"/>
        </w:rPr>
        <w:t>months ended</w:t>
      </w:r>
      <w:r>
        <w:rPr>
          <w:rFonts w:ascii="Arial" w:cs="Arial" w:eastAsia="Arial" w:hAnsi="Arial"/>
          <w:sz w:val="15"/>
          <w:szCs w:val="15"/>
          <w:color w:val="auto"/>
        </w:rPr>
        <w:t xml:space="preserve"> September 30, 2023 ($972,000 of net realized investment losses and $284,000 of net realized investment gains for the three and nine </w:t>
      </w:r>
      <w:r>
        <w:rPr>
          <w:rFonts w:ascii="Arial" w:cs="Arial" w:eastAsia="Arial" w:hAnsi="Arial"/>
          <w:sz w:val="15"/>
          <w:szCs w:val="15"/>
          <w:color w:val="231F20"/>
        </w:rPr>
        <w:t>months ended</w:t>
      </w:r>
      <w:r>
        <w:rPr>
          <w:rFonts w:ascii="Arial" w:cs="Arial" w:eastAsia="Arial" w:hAnsi="Arial"/>
          <w:sz w:val="15"/>
          <w:szCs w:val="15"/>
          <w:color w:val="auto"/>
        </w:rPr>
        <w:t xml:space="preserve"> September 30, 2022</w:t>
      </w:r>
      <w:r>
        <w:rPr>
          <w:rFonts w:ascii="Arial" w:cs="Arial" w:eastAsia="Arial" w:hAnsi="Arial"/>
          <w:sz w:val="15"/>
          <w:szCs w:val="15"/>
          <w:color w:val="231F20"/>
        </w:rPr>
        <w:t>, respectively),</w:t>
      </w:r>
      <w:r>
        <w:rPr>
          <w:rFonts w:ascii="Arial" w:cs="Arial" w:eastAsia="Arial" w:hAnsi="Arial"/>
          <w:sz w:val="15"/>
          <w:szCs w:val="15"/>
          <w:color w:val="auto"/>
        </w:rPr>
        <w:t xml:space="preserve"> the Company also recognized net realized and unrealized investment gains in the respective periods of $2.5 million and $6.0 million on its investments in bank loan participations (net realized and unrealized investment losses of $2.2 million and $14.2 million in the respective prior year periods) and net realized and unrealized investment losses in the respective periods of $1.7 million and $2.3 million on its investments in equity securities (net realized and unrealized investment losses of $4.6 million and $15.9 million in the respective prior year periods).</w:t>
      </w:r>
    </w:p>
    <w:p>
      <w:pPr>
        <w:spacing w:after="0" w:line="40" w:lineRule="exact"/>
        <w:rPr>
          <w:sz w:val="20"/>
          <w:szCs w:val="20"/>
          <w:color w:val="auto"/>
        </w:rPr>
      </w:pPr>
    </w:p>
    <w:p>
      <w:pPr>
        <w:ind w:left="440" w:hanging="434"/>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is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claims alleging bad faith in the handling of insurance claims. The Company believes that the outcome of such matters, individually and in the aggregate, is not reasonably likely to have a material adverse effect on the Company's consolidated financial position, results of operations or cash flows.</w:t>
      </w:r>
    </w:p>
    <w:p>
      <w:pPr>
        <w:spacing w:after="0" w:line="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8,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On August 28, 2023, the Court denied the Second MTD and discovery is underway. The Second Amended Complaint asserts claims under Sections 10(b) and 20(a) of the Securities Exchange Act of 1934 on behalf of a putative class of persons and entities that purchased the Company's stock between February 22, 2019 and October 25, 2021, alleges that Defendants failed to make appropriate disclosures concerning the adequacy of reserves for policies that covered Rasier LLC, a subsidiary of Uber Technologies, Inc., and seeks unspecified damages, costs, attorneys’ fees and such other relief as the court may deem proper. We believe that the Plaintiffs’ claims are without merit and intend to vigorously defend this lawsuit.</w:t>
      </w:r>
    </w:p>
    <w:p>
      <w:pPr>
        <w:spacing w:after="0" w:line="27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Company’s reinsurance subsidiary, JRG Re, entered into three letter of credit facilities with banks as security to third-party reinsureds on reinsurance assumed by JRG Re. JRG Re has established custodial accounts to secure these letters of credit. Under a $30.0 million facility, $4.4 million of letters of credit were issued through September 30, 2023 which were secured by deposits of $5.1 million. Under a $102.5 million facility, $41.4 million of letters of credit were issued through September 30, 2023 which were secured by deposits of $51.8 million. Under a $100.0 million facility, $27.9 million of letters of credit were issued through September 30, 2023 which were secured by deposits of $35.7 million. JRG Re has also established trust accounts to secure its obligations to selected reinsureds. The total amount deposited in the trust accounts for the benefit of third-party reinsureds was $385.2 million at September 30,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 and Reinsurer on Legacy Commercial Auto Book</w:t>
      </w:r>
    </w:p>
    <w:p>
      <w:pPr>
        <w:spacing w:after="0" w:line="111"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7"/>
          <w:szCs w:val="17"/>
          <w:color w:val="auto"/>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Since inception, due to adverse paid and reported loss trends on the legacy Rasier business, the Company has recognized adverse prior year development of $107.3 million on the reserves subject to the Commercial Auto LPT, bringing the cumulative amount ceded under the Commercial Auto LPT to $452.5 million at September 30, 2023.</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Rasier and Aleka are required to post collateral under the Indemnity Agreements and the Commercial Auto LPT, respectively:</w:t>
      </w:r>
    </w:p>
    <w:p>
      <w:pPr>
        <w:spacing w:after="0" w:line="111" w:lineRule="exact"/>
        <w:rPr>
          <w:sz w:val="20"/>
          <w:szCs w:val="20"/>
          <w:color w:val="auto"/>
        </w:rPr>
      </w:pPr>
    </w:p>
    <w:p>
      <w:pPr>
        <w:jc w:val="both"/>
        <w:ind w:firstLine="364"/>
        <w:spacing w:after="0" w:line="265" w:lineRule="auto"/>
        <w:tabs>
          <w:tab w:leader="none" w:pos="631" w:val="left"/>
        </w:tabs>
        <w:numPr>
          <w:ilvl w:val="0"/>
          <w:numId w:val="13"/>
        </w:numPr>
        <w:rPr>
          <w:rFonts w:ascii="Arial" w:cs="Arial" w:eastAsia="Arial" w:hAnsi="Arial"/>
          <w:sz w:val="17"/>
          <w:szCs w:val="17"/>
          <w:color w:val="auto"/>
        </w:rPr>
      </w:pPr>
      <w:r>
        <w:rPr>
          <w:rFonts w:ascii="Arial" w:cs="Arial" w:eastAsia="Arial" w:hAnsi="Arial"/>
          <w:sz w:val="17"/>
          <w:szCs w:val="17"/>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September 30, 2023, the balance in the Indemnity Trust was $149.7 million, and, together with the balance of the Loss Fund Trust (as defined below) attributable to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Indemnity Agreements as described below, the total balance of collateral securing Rasier’s obligations under the Indemnity Agreements was $218.9 million.</w:t>
      </w:r>
    </w:p>
    <w:p>
      <w:pPr>
        <w:spacing w:after="0" w:line="146" w:lineRule="exact"/>
        <w:rPr>
          <w:sz w:val="20"/>
          <w:szCs w:val="20"/>
          <w:color w:val="auto"/>
        </w:rPr>
      </w:pPr>
    </w:p>
    <w:p>
      <w:pPr>
        <w:jc w:val="both"/>
        <w:ind w:firstLine="364"/>
        <w:spacing w:after="0" w:line="248" w:lineRule="auto"/>
        <w:tabs>
          <w:tab w:leader="none" w:pos="631"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the Commercial Auto LPT, Aleka is required to post collateral equal to 102% of James River's estimate of Aleka's obligations under the Commercial Auto LPT, calculated in accordance with standard actuarial principles and based on reserves recorded in the Company’s statutory financial statements. The collateral is provided through a collateral trust arrangement (the “LPT Trust”) established in favor of James River by Aleka. At September 30, 2023, the balance in the LPT Trust was $69.4 million, and, together with the balance of the Loss Fund Trust (as defined below) attributable to the Commercial Auto LPT as described below, the total balance of collateral securing Aleka’s obligations under the Commercial Auto LPT was $97.6 million. At September 30, 2023, the total reinsurance recoverables under the Commercial Auto LPT was $101.1 million (including $92.8 million of unpaid recoverables and $8.3 million of paid recoverables).</w:t>
      </w:r>
    </w:p>
    <w:p>
      <w:pPr>
        <w:spacing w:after="0" w:line="93" w:lineRule="exact"/>
        <w:rPr>
          <w:sz w:val="20"/>
          <w:szCs w:val="20"/>
          <w:color w:val="auto"/>
        </w:rPr>
      </w:pPr>
    </w:p>
    <w:p>
      <w:pPr>
        <w:jc w:val="both"/>
        <w:ind w:firstLine="358"/>
        <w:spacing w:after="0" w:line="303" w:lineRule="auto"/>
        <w:rPr>
          <w:sz w:val="20"/>
          <w:szCs w:val="20"/>
          <w:color w:val="auto"/>
        </w:rPr>
      </w:pPr>
      <w:r>
        <w:rPr>
          <w:rFonts w:ascii="Arial" w:cs="Arial" w:eastAsia="Arial" w:hAnsi="Arial"/>
          <w:sz w:val="15"/>
          <w:szCs w:val="15"/>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September 30, 2023, the balance in the Loss Fund Trust was $106.9 million, including $69.2 million representing collateral supporting Rasier’s obligations under the Indemnity Agreements and $28.2 million representing collateral supporting Aleka’s obligations under the Commercial Auto LPT. Funds posted to the Loss Fund Trust are classified as restricted cash equivalents on the Company's balance sheets.</w:t>
      </w:r>
    </w:p>
    <w:p>
      <w:pPr>
        <w:spacing w:after="0" w:line="266"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pacing w:after="0" w:line="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Segment Information</w:t>
      </w:r>
    </w:p>
    <w:p>
      <w:pPr>
        <w:spacing w:after="0" w:line="11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 xml:space="preserve">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and gross fee income (in specific instances when the Company is not retaining insurance risk) in “other income” in the condensed consolidated statements of income (loss) and comprehensive (loss) income less loss and loss adjustment expenses on business not subject to retroactive reinsurance accounting for loss portfolio transfers (see </w:t>
      </w:r>
      <w:r>
        <w:rPr>
          <w:rFonts w:ascii="Arial" w:cs="Arial" w:eastAsia="Arial" w:hAnsi="Arial"/>
          <w:sz w:val="15"/>
          <w:szCs w:val="15"/>
          <w:i w:val="1"/>
          <w:iCs w:val="1"/>
          <w:color w:val="auto"/>
        </w:rPr>
        <w:t>Loss Portfolio Transfers</w:t>
      </w:r>
      <w:r>
        <w:rPr>
          <w:rFonts w:ascii="Arial" w:cs="Arial" w:eastAsia="Arial" w:hAnsi="Arial"/>
          <w:sz w:val="15"/>
          <w:szCs w:val="15"/>
          <w:color w:val="auto"/>
        </w:rPr>
        <w:t xml:space="preserve"> in </w:t>
      </w:r>
      <w:r>
        <w:rPr>
          <w:rFonts w:ascii="Arial" w:cs="Arial" w:eastAsia="Arial" w:hAnsi="Arial"/>
          <w:sz w:val="15"/>
          <w:szCs w:val="15"/>
          <w:i w:val="1"/>
          <w:iCs w:val="1"/>
          <w:color w:val="auto"/>
        </w:rPr>
        <w:t>Note 5 - Reserve for Losses and Loss Adjustment Expenses</w:t>
      </w:r>
      <w:r>
        <w:rPr>
          <w:rFonts w:ascii="Arial" w:cs="Arial" w:eastAsia="Arial" w:hAnsi="Arial"/>
          <w:sz w:val="15"/>
          <w:szCs w:val="15"/>
          <w:color w:val="auto"/>
        </w:rPr>
        <w:t xml:space="preserve">) and other operating expenses of the operating segments. Gross fee income of $1.2 million and $3.6 million for the Specialty Admitted Insurance segment was included in other income and in underwriting profit (loss) for the three and nine </w:t>
      </w:r>
      <w:r>
        <w:rPr>
          <w:rFonts w:ascii="Arial" w:cs="Arial" w:eastAsia="Arial" w:hAnsi="Arial"/>
          <w:sz w:val="15"/>
          <w:szCs w:val="15"/>
          <w:color w:val="231F20"/>
        </w:rPr>
        <w:t>months ended</w:t>
      </w:r>
      <w:r>
        <w:rPr>
          <w:rFonts w:ascii="Arial" w:cs="Arial" w:eastAsia="Arial" w:hAnsi="Arial"/>
          <w:sz w:val="15"/>
          <w:szCs w:val="15"/>
          <w:color w:val="auto"/>
        </w:rPr>
        <w:t xml:space="preserve"> September 30, 2023, respectively ($914,000 and $2.6 million in the respective prior year periods)</w:t>
      </w:r>
      <w:r>
        <w:rPr>
          <w:rFonts w:ascii="Arial" w:cs="Arial" w:eastAsia="Arial" w:hAnsi="Arial"/>
          <w:sz w:val="15"/>
          <w:szCs w:val="15"/>
          <w:color w:val="231F20"/>
        </w:rPr>
        <w:t>.</w:t>
      </w:r>
      <w:r>
        <w:rPr>
          <w:rFonts w:ascii="Arial" w:cs="Arial" w:eastAsia="Arial" w:hAnsi="Arial"/>
          <w:sz w:val="15"/>
          <w:szCs w:val="15"/>
          <w:color w:val="auto"/>
        </w:rPr>
        <w:t xml:space="preserve"> Segment results are reported prior to the effects of intercompany reinsurance agreements among the Company’s insurance subsidiaries.</w:t>
      </w:r>
    </w:p>
    <w:p>
      <w:pPr>
        <w:spacing w:after="0" w:line="4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September 25, 2023, the Company announced that certain of its subsidiaries entered into an agreement to sell the renewal rights to the Individual Risk Workers’ Compensation (“IRWC”) business in the Specialty Admitted Insurance segment. The transaction includes the full operations of the business, including underwriting, loss control and claims, and transfer of the employees supporting the business. The transaction, which closed on September 29, 2023, is aligned with the Company's strategy to focus resources on core businesses where it has meaningful scale. Gross written premiums for IRWC were $11.0 million and $35.3 million for the three and nine months ended September 30, 2023 ($12.3 million and $39.8 million in the respective prior year periods). Upon closing of the transaction, the Company recognized a $2.2 million gain on sale included in other income in the current period representing the minimum guaranteed consideration to be received in the transaction. The Company also recognized an impairment charge of $2.5 million related to the trademark intangible asset associated with the IRWC business.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53"/>
              <w:spacing w:after="0"/>
              <w:rPr>
                <w:sz w:val="20"/>
                <w:szCs w:val="20"/>
                <w:color w:val="auto"/>
              </w:rPr>
            </w:pPr>
            <w:r>
              <w:rPr>
                <w:rFonts w:ascii="Arial" w:cs="Arial" w:eastAsia="Arial" w:hAnsi="Arial"/>
                <w:sz w:val="14"/>
                <w:szCs w:val="14"/>
                <w:b w:val="1"/>
                <w:bCs w:val="1"/>
                <w:color w:val="auto"/>
                <w:w w:val="85"/>
              </w:rPr>
              <w:t>Excess and</w:t>
            </w:r>
          </w:p>
        </w:tc>
        <w:tc>
          <w:tcPr>
            <w:tcW w:w="320" w:type="dxa"/>
            <w:vAlign w:val="bottom"/>
          </w:tcPr>
          <w:p>
            <w:pPr>
              <w:spacing w:after="0"/>
              <w:rPr>
                <w:sz w:val="14"/>
                <w:szCs w:val="14"/>
                <w:color w:val="auto"/>
              </w:rPr>
            </w:pPr>
          </w:p>
        </w:tc>
        <w:tc>
          <w:tcPr>
            <w:tcW w:w="1100" w:type="dxa"/>
            <w:vAlign w:val="bottom"/>
          </w:tcPr>
          <w:p>
            <w:pPr>
              <w:jc w:val="center"/>
              <w:ind w:right="173"/>
              <w:spacing w:after="0"/>
              <w:rPr>
                <w:sz w:val="20"/>
                <w:szCs w:val="20"/>
                <w:color w:val="auto"/>
              </w:rPr>
            </w:pPr>
            <w:r>
              <w:rPr>
                <w:rFonts w:ascii="Arial" w:cs="Arial" w:eastAsia="Arial" w:hAnsi="Arial"/>
                <w:sz w:val="14"/>
                <w:szCs w:val="14"/>
                <w:b w:val="1"/>
                <w:bCs w:val="1"/>
                <w:color w:val="auto"/>
                <w:w w:val="91"/>
              </w:rPr>
              <w:t>Specialty</w:t>
            </w:r>
          </w:p>
        </w:tc>
        <w:tc>
          <w:tcPr>
            <w:tcW w:w="260" w:type="dxa"/>
            <w:vAlign w:val="bottom"/>
          </w:tcPr>
          <w:p>
            <w:pPr>
              <w:spacing w:after="0"/>
              <w:rPr>
                <w:sz w:val="14"/>
                <w:szCs w:val="14"/>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89"/>
              </w:rPr>
              <w:t>Casualty</w:t>
            </w:r>
          </w:p>
        </w:tc>
        <w:tc>
          <w:tcPr>
            <w:tcW w:w="280" w:type="dxa"/>
            <w:vAlign w:val="bottom"/>
          </w:tcPr>
          <w:p>
            <w:pPr>
              <w:spacing w:after="0"/>
              <w:rPr>
                <w:sz w:val="14"/>
                <w:szCs w:val="14"/>
                <w:color w:val="auto"/>
              </w:rPr>
            </w:pPr>
          </w:p>
        </w:tc>
        <w:tc>
          <w:tcPr>
            <w:tcW w:w="1140" w:type="dxa"/>
            <w:vAlign w:val="bottom"/>
          </w:tcPr>
          <w:p>
            <w:pPr>
              <w:jc w:val="center"/>
              <w:ind w:right="193"/>
              <w:spacing w:after="0"/>
              <w:rPr>
                <w:sz w:val="20"/>
                <w:szCs w:val="20"/>
                <w:color w:val="auto"/>
              </w:rPr>
            </w:pPr>
            <w:r>
              <w:rPr>
                <w:rFonts w:ascii="Arial" w:cs="Arial" w:eastAsia="Arial" w:hAnsi="Arial"/>
                <w:sz w:val="14"/>
                <w:szCs w:val="14"/>
                <w:b w:val="1"/>
                <w:bCs w:val="1"/>
                <w:color w:val="auto"/>
                <w:w w:val="92"/>
              </w:rPr>
              <w:t>Corporate</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3"/>
              <w:spacing w:after="0" w:line="142" w:lineRule="exact"/>
              <w:rPr>
                <w:sz w:val="20"/>
                <w:szCs w:val="20"/>
                <w:color w:val="auto"/>
              </w:rPr>
            </w:pPr>
            <w:r>
              <w:rPr>
                <w:rFonts w:ascii="Arial" w:cs="Arial" w:eastAsia="Arial" w:hAnsi="Arial"/>
                <w:sz w:val="14"/>
                <w:szCs w:val="14"/>
                <w:b w:val="1"/>
                <w:bCs w:val="1"/>
                <w:color w:val="auto"/>
                <w:w w:val="88"/>
              </w:rPr>
              <w:t>Surplus</w:t>
            </w:r>
          </w:p>
        </w:tc>
        <w:tc>
          <w:tcPr>
            <w:tcW w:w="320" w:type="dxa"/>
            <w:vAlign w:val="bottom"/>
          </w:tcPr>
          <w:p>
            <w:pPr>
              <w:spacing w:after="0"/>
              <w:rPr>
                <w:sz w:val="12"/>
                <w:szCs w:val="12"/>
                <w:color w:val="auto"/>
              </w:rPr>
            </w:pPr>
          </w:p>
        </w:tc>
        <w:tc>
          <w:tcPr>
            <w:tcW w:w="1100" w:type="dxa"/>
            <w:vAlign w:val="bottom"/>
          </w:tcPr>
          <w:p>
            <w:pPr>
              <w:jc w:val="center"/>
              <w:ind w:right="173"/>
              <w:spacing w:after="0" w:line="142" w:lineRule="exact"/>
              <w:rPr>
                <w:sz w:val="20"/>
                <w:szCs w:val="20"/>
                <w:color w:val="auto"/>
              </w:rPr>
            </w:pPr>
            <w:r>
              <w:rPr>
                <w:rFonts w:ascii="Arial" w:cs="Arial" w:eastAsia="Arial" w:hAnsi="Arial"/>
                <w:sz w:val="14"/>
                <w:szCs w:val="14"/>
                <w:b w:val="1"/>
                <w:bCs w:val="1"/>
                <w:color w:val="auto"/>
                <w:w w:val="92"/>
              </w:rPr>
              <w:t>Admitted</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193"/>
              <w:spacing w:after="0" w:line="142" w:lineRule="exact"/>
              <w:rPr>
                <w:sz w:val="20"/>
                <w:szCs w:val="20"/>
                <w:color w:val="auto"/>
              </w:rPr>
            </w:pPr>
            <w:r>
              <w:rPr>
                <w:rFonts w:ascii="Arial" w:cs="Arial" w:eastAsia="Arial" w:hAnsi="Arial"/>
                <w:sz w:val="14"/>
                <w:szCs w:val="14"/>
                <w:b w:val="1"/>
                <w:bCs w:val="1"/>
                <w:color w:val="auto"/>
                <w:w w:val="88"/>
              </w:rPr>
              <w:t>and</w:t>
            </w:r>
          </w:p>
        </w:tc>
        <w:tc>
          <w:tcPr>
            <w:tcW w:w="380" w:type="dxa"/>
            <w:vAlign w:val="bottom"/>
          </w:tcPr>
          <w:p>
            <w:pPr>
              <w:spacing w:after="0"/>
              <w:rPr>
                <w:sz w:val="12"/>
                <w:szCs w:val="12"/>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2"/>
              </w:rPr>
              <w:t>Lines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0"/>
              </w:rPr>
              <w:t>Insurance</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Reinsurance</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i w:val="1"/>
                <w:iCs w:val="1"/>
                <w:color w:val="auto"/>
                <w:w w:val="87"/>
              </w:rPr>
              <w:t>(in thousands)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2023</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217,151</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125,700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342,503</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157,600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18,952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(loss) of operating segments</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18,342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(4,213)</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16,096</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18,204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4,506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846</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6,486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177,026</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23,108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233,427</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2,864,996</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1,379,044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876,822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72,625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5,193,487</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204,785</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123,389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30,331</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358,505</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139,095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33,270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190,189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of operating segments</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16,402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3,044</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6,955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9,596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1,235</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3,715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140,946</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40,869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201,229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2,623,257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1,222,280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1,290,573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69,381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5,205,491</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732,180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387,175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14,782</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1,134,137</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455,640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82,023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608,075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(loss) of operating segments</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45,449</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(3,779)</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43,552</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48,160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18,794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77,252</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2,823</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18,066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20,889</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506,876</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101,244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695,149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2,864,996</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1,379,044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876,822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72,625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5,193,487</w:t>
            </w: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675,702</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374,066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68,387</w:t>
            </w: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1,118,155</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408,280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55,283</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102,712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566,275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(loss) of operating segments</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60,193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(3,734)</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58,205</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15,795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29,750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2,577</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8,714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405,997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122,594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587,983</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181,831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2,623,257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1,222,280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1,290,573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69,381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5,205,491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reconciles the underwriting profit (loss) of the operating segments by individual segment to consolidated income (loss) before income taxes: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Three Months Ended</w:t>
            </w:r>
          </w:p>
        </w:tc>
        <w:tc>
          <w:tcPr>
            <w:tcW w:w="460" w:type="dxa"/>
            <w:vAlign w:val="bottom"/>
          </w:tcPr>
          <w:p>
            <w:pPr>
              <w:spacing w:after="0"/>
              <w:rPr>
                <w:sz w:val="14"/>
                <w:szCs w:val="14"/>
                <w:color w:val="auto"/>
              </w:rPr>
            </w:pPr>
          </w:p>
        </w:tc>
        <w:tc>
          <w:tcPr>
            <w:tcW w:w="2400" w:type="dxa"/>
            <w:vAlign w:val="bottom"/>
            <w:gridSpan w:val="4"/>
          </w:tcPr>
          <w:p>
            <w:pPr>
              <w:jc w:val="center"/>
              <w:ind w:right="373"/>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operating segments: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18,342</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16,402</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45,449</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60,193</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profit of operating segments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58,205</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(25,209)</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32,996</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Losses and loss adjustment expenses - retroactive reinsurance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48,278</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(29,874)</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(7,332)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Impairment of intangible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19,176</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Other Operating Expenses and Other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420" w:type="dxa"/>
            <w:vAlign w:val="bottom"/>
          </w:tcPr>
          <w:p>
            <w:pPr>
              <w:ind w:left="320"/>
              <w:spacing w:after="0"/>
              <w:rPr>
                <w:sz w:val="20"/>
                <w:szCs w:val="20"/>
                <w:color w:val="auto"/>
              </w:rPr>
            </w:pPr>
            <w:r>
              <w:rPr>
                <w:rFonts w:ascii="Arial" w:cs="Arial" w:eastAsia="Arial" w:hAnsi="Arial"/>
                <w:sz w:val="18"/>
                <w:szCs w:val="18"/>
                <w:color w:val="auto"/>
              </w:rPr>
              <w:t>Other operating expenses consist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Three Months Ended</w:t>
            </w:r>
          </w:p>
        </w:tc>
        <w:tc>
          <w:tcPr>
            <w:tcW w:w="460" w:type="dxa"/>
            <w:vAlign w:val="bottom"/>
          </w:tcPr>
          <w:p>
            <w:pPr>
              <w:spacing w:after="0"/>
              <w:rPr>
                <w:sz w:val="23"/>
                <w:szCs w:val="23"/>
                <w:color w:val="auto"/>
              </w:rPr>
            </w:pPr>
          </w:p>
        </w:tc>
        <w:tc>
          <w:tcPr>
            <w:tcW w:w="2400" w:type="dxa"/>
            <w:vAlign w:val="bottom"/>
            <w:gridSpan w:val="4"/>
          </w:tcPr>
          <w:p>
            <w:pPr>
              <w:jc w:val="center"/>
              <w:ind w:right="373"/>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69,321</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Other underwriting expenses of the operating segments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52,151</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25,209</w:t>
            </w: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176,253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146,681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Other expenses of $641,000 and $1.5 million for the three and nine </w:t>
      </w:r>
      <w:r>
        <w:rPr>
          <w:rFonts w:ascii="Arial" w:cs="Arial" w:eastAsia="Arial" w:hAnsi="Arial"/>
          <w:sz w:val="17"/>
          <w:szCs w:val="17"/>
          <w:color w:val="231F20"/>
        </w:rPr>
        <w:t>months ended September 30, 2023</w:t>
      </w:r>
      <w:r>
        <w:rPr>
          <w:rFonts w:ascii="Arial" w:cs="Arial" w:eastAsia="Arial" w:hAnsi="Arial"/>
          <w:sz w:val="17"/>
          <w:szCs w:val="17"/>
          <w:color w:val="auto"/>
        </w:rPr>
        <w:t>, respectively ($210,000 and $578,000 in the respective prior year periods), primarily consist of certain nonoperating expenses including legal fees related to a purported class action lawsuit and legal and other professional fees and other expenses related to various strategic initiatives including the sale of renewal rights to the IRWC business in the Specialty Admitted Insurance segment and loss portfolio transfers accounted for as retroactive reinsurance.</w:t>
      </w:r>
    </w:p>
    <w:p>
      <w:pPr>
        <w:spacing w:after="0" w:line="6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Fair Value Measurements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Three levels of inputs are used to measure fair value of financial instruments: (1) Level 1: quoted price (unadjusted) in active markets for identical assets,</w:t>
      </w:r>
    </w:p>
    <w:p>
      <w:pPr>
        <w:spacing w:after="0" w:line="51" w:lineRule="exact"/>
        <w:rPr>
          <w:sz w:val="20"/>
          <w:szCs w:val="20"/>
          <w:color w:val="auto"/>
        </w:rPr>
      </w:pPr>
    </w:p>
    <w:p>
      <w:pPr>
        <w:jc w:val="both"/>
        <w:ind w:firstLine="6"/>
        <w:spacing w:after="0" w:line="248" w:lineRule="auto"/>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Arial" w:cs="Arial" w:eastAsia="Arial" w:hAnsi="Arial"/>
          <w:sz w:val="15"/>
          <w:szCs w:val="15"/>
          <w:i w:val="1"/>
          <w:iCs w:val="1"/>
          <w:color w:val="auto"/>
        </w:rPr>
        <w:t>e.g.</w:t>
      </w:r>
      <w:r>
        <w:rPr>
          <w:rFonts w:ascii="Arial" w:cs="Arial" w:eastAsia="Arial" w:hAnsi="Arial"/>
          <w:sz w:val="15"/>
          <w:szCs w:val="15"/>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2021.</w:t>
      </w:r>
    </w:p>
    <w:p>
      <w:pPr>
        <w:spacing w:after="0" w:line="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measured at fair value on a recurring basis as of September 30, 2023 are summarized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Fair Value Measurements Using</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88"/>
              </w:rPr>
              <w:t>Quoted Prices</w:t>
            </w:r>
          </w:p>
        </w:tc>
        <w:tc>
          <w:tcPr>
            <w:tcW w:w="220" w:type="dxa"/>
            <w:vAlign w:val="bottom"/>
          </w:tcPr>
          <w:p>
            <w:pPr>
              <w:spacing w:after="0"/>
              <w:rPr>
                <w:sz w:val="10"/>
                <w:szCs w:val="10"/>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Markets for</w:t>
            </w:r>
          </w:p>
        </w:tc>
        <w:tc>
          <w:tcPr>
            <w:tcW w:w="22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1"/>
              </w:rPr>
              <w:t>Identical</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78"/>
              </w:rPr>
              <w:t>Assets</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Level 3</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7"/>
              </w:rPr>
              <w:t>(in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323,661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323,661</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416,888</w:t>
            </w: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719,600</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306,952</w:t>
            </w:r>
          </w:p>
        </w:tc>
        <w:tc>
          <w:tcPr>
            <w:tcW w:w="0" w:type="dxa"/>
            <w:vAlign w:val="bottom"/>
          </w:tcPr>
          <w:p>
            <w:pPr>
              <w:spacing w:after="0"/>
              <w:rPr>
                <w:sz w:val="1"/>
                <w:szCs w:val="1"/>
                <w:color w:val="auto"/>
              </w:rPr>
            </w:pPr>
          </w:p>
        </w:tc>
      </w:tr>
      <w:tr>
        <w:trPr>
          <w:trHeight w:val="173"/>
        </w:trPr>
        <w:tc>
          <w:tcPr>
            <w:tcW w:w="5420" w:type="dxa"/>
            <w:vAlign w:val="bottom"/>
          </w:tcPr>
          <w:p>
            <w:pPr>
              <w:ind w:left="260"/>
              <w:spacing w:after="0" w:line="173" w:lineRule="exact"/>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government</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69,223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69,223</w:t>
            </w: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1,836,324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68,876</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46,878</w:t>
            </w:r>
          </w:p>
        </w:tc>
        <w:tc>
          <w:tcPr>
            <w:tcW w:w="0" w:type="dxa"/>
            <w:vAlign w:val="bottom"/>
          </w:tcPr>
          <w:p>
            <w:pPr>
              <w:spacing w:after="0"/>
              <w:rPr>
                <w:sz w:val="1"/>
                <w:szCs w:val="1"/>
                <w:color w:val="auto"/>
              </w:rPr>
            </w:pPr>
          </w:p>
        </w:tc>
      </w:tr>
      <w:tr>
        <w:trPr>
          <w:trHeight w:val="218"/>
        </w:trPr>
        <w:tc>
          <w:tcPr>
            <w:tcW w:w="542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44,592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line="19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71,138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60"/>
              <w:spacing w:after="0" w:line="193" w:lineRule="exact"/>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2"/>
              <w:spacing w:after="0" w:line="19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115,754</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tcPr>
          <w:p>
            <w:pPr>
              <w:ind w:left="20"/>
              <w:spacing w:after="0" w:line="198" w:lineRule="exact"/>
              <w:rPr>
                <w:sz w:val="20"/>
                <w:szCs w:val="20"/>
                <w:color w:val="auto"/>
              </w:rPr>
            </w:pPr>
            <w:r>
              <w:rPr>
                <w:rFonts w:ascii="Arial" w:cs="Arial" w:eastAsia="Arial" w:hAnsi="Arial"/>
                <w:sz w:val="18"/>
                <w:szCs w:val="18"/>
                <w:color w:val="auto"/>
              </w:rPr>
              <w:t>Bank loan participations</w:t>
            </w: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152,068</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line="198"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8" w:lineRule="exact"/>
              <w:rPr>
                <w:sz w:val="20"/>
                <w:szCs w:val="20"/>
                <w:color w:val="auto"/>
              </w:rPr>
            </w:pPr>
            <w:r>
              <w:rPr>
                <w:rFonts w:ascii="Arial" w:cs="Arial" w:eastAsia="Arial" w:hAnsi="Arial"/>
                <w:sz w:val="18"/>
                <w:szCs w:val="18"/>
                <w:color w:val="auto"/>
              </w:rPr>
              <w:t>152,068</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measured at fair value on a recurring basis as of December 31, 2022 are summarized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Fair Value Measurements Using</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88"/>
              </w:rPr>
              <w:t>Quoted Prices</w:t>
            </w:r>
          </w:p>
        </w:tc>
        <w:tc>
          <w:tcPr>
            <w:tcW w:w="22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5"/>
              </w:rPr>
              <w:t>Markets for</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1"/>
              </w:rPr>
              <w:t>Identical</w:t>
            </w: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78"/>
              </w:rPr>
              <w:t>Assets</w:t>
            </w: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0"/>
              </w:rPr>
              <w:t>Inputs</w:t>
            </w:r>
          </w:p>
        </w:tc>
        <w:tc>
          <w:tcPr>
            <w:tcW w:w="32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3"/>
        </w:trPr>
        <w:tc>
          <w:tcPr>
            <w:tcW w:w="5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Level 3</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7"/>
              </w:rPr>
              <w:t>(in thousands)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330,852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330,852</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401,249</w:t>
            </w:r>
          </w:p>
        </w:tc>
        <w:tc>
          <w:tcPr>
            <w:tcW w:w="0" w:type="dxa"/>
            <w:vAlign w:val="bottom"/>
          </w:tcPr>
          <w:p>
            <w:pPr>
              <w:spacing w:after="0"/>
              <w:rPr>
                <w:sz w:val="1"/>
                <w:szCs w:val="1"/>
                <w:color w:val="auto"/>
              </w:rPr>
            </w:pPr>
          </w:p>
        </w:tc>
      </w:tr>
      <w:tr>
        <w:trPr>
          <w:trHeight w:val="225"/>
        </w:trPr>
        <w:tc>
          <w:tcPr>
            <w:tcW w:w="542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670,212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670,212</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309,015</w:t>
            </w:r>
          </w:p>
        </w:tc>
        <w:tc>
          <w:tcPr>
            <w:tcW w:w="0" w:type="dxa"/>
            <w:vAlign w:val="bottom"/>
          </w:tcPr>
          <w:p>
            <w:pPr>
              <w:spacing w:after="0"/>
              <w:rPr>
                <w:sz w:val="1"/>
                <w:szCs w:val="1"/>
                <w:color w:val="auto"/>
              </w:rPr>
            </w:pPr>
          </w:p>
        </w:tc>
      </w:tr>
      <w:tr>
        <w:trPr>
          <w:trHeight w:val="173"/>
        </w:trPr>
        <w:tc>
          <w:tcPr>
            <w:tcW w:w="5420" w:type="dxa"/>
            <w:vAlign w:val="bottom"/>
          </w:tcPr>
          <w:p>
            <w:pPr>
              <w:ind w:left="260"/>
              <w:spacing w:after="0" w:line="173" w:lineRule="exact"/>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government</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72,089</w:t>
            </w:r>
          </w:p>
        </w:tc>
        <w:tc>
          <w:tcPr>
            <w:tcW w:w="0" w:type="dxa"/>
            <w:vAlign w:val="bottom"/>
          </w:tcPr>
          <w:p>
            <w:pPr>
              <w:spacing w:after="0"/>
              <w:rPr>
                <w:sz w:val="1"/>
                <w:szCs w:val="1"/>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1,711,647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1,783,417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70,831</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47,796</w:t>
            </w: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20" w:type="dxa"/>
            <w:vAlign w:val="bottom"/>
          </w:tcPr>
          <w:p>
            <w:pPr>
              <w:ind w:left="20"/>
              <w:spacing w:after="0" w:line="198" w:lineRule="exact"/>
              <w:rPr>
                <w:sz w:val="20"/>
                <w:szCs w:val="20"/>
                <w:color w:val="auto"/>
              </w:rPr>
            </w:pPr>
            <w:r>
              <w:rPr>
                <w:rFonts w:ascii="Arial" w:cs="Arial" w:eastAsia="Arial" w:hAnsi="Arial"/>
                <w:sz w:val="18"/>
                <w:szCs w:val="18"/>
                <w:color w:val="auto"/>
              </w:rPr>
              <w:t>Bank loan participations</w:t>
            </w: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154,991</w:t>
            </w:r>
          </w:p>
        </w:tc>
        <w:tc>
          <w:tcPr>
            <w:tcW w:w="100" w:type="dxa"/>
            <w:vAlign w:val="bottom"/>
          </w:tcPr>
          <w:p>
            <w:pPr>
              <w:spacing w:after="0"/>
              <w:rPr>
                <w:sz w:val="17"/>
                <w:szCs w:val="17"/>
                <w:color w:val="auto"/>
              </w:rPr>
            </w:pPr>
          </w:p>
        </w:tc>
        <w:tc>
          <w:tcPr>
            <w:tcW w:w="18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line="198"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198" w:lineRule="exact"/>
              <w:rPr>
                <w:sz w:val="20"/>
                <w:szCs w:val="20"/>
                <w:color w:val="auto"/>
              </w:rPr>
            </w:pPr>
            <w:r>
              <w:rPr>
                <w:rFonts w:ascii="Arial" w:cs="Arial" w:eastAsia="Arial" w:hAnsi="Arial"/>
                <w:sz w:val="18"/>
                <w:szCs w:val="18"/>
                <w:color w:val="auto"/>
              </w:rPr>
              <w:t>154,991</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107,812</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A reconciliation of the beginning and ending balances of available-for-sale fixed maturity securities, equity securities, and bank loan participations measured at fair value on a recurring basis using significant unobservable inputs (Level 3) is shown below:</w:t>
      </w:r>
    </w:p>
    <w:p>
      <w:pPr>
        <w:spacing w:after="0" w:line="6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460" w:type="dxa"/>
            <w:vAlign w:val="bottom"/>
            <w:gridSpan w:val="4"/>
          </w:tcPr>
          <w:p>
            <w:pPr>
              <w:jc w:val="center"/>
              <w:ind w:left="301"/>
              <w:spacing w:after="0"/>
              <w:rPr>
                <w:sz w:val="20"/>
                <w:szCs w:val="20"/>
                <w:color w:val="auto"/>
              </w:rPr>
            </w:pPr>
            <w:r>
              <w:rPr>
                <w:rFonts w:ascii="Arial" w:cs="Arial" w:eastAsia="Arial" w:hAnsi="Arial"/>
                <w:sz w:val="14"/>
                <w:szCs w:val="14"/>
                <w:b w:val="1"/>
                <w:bCs w:val="1"/>
                <w:color w:val="auto"/>
                <w:w w:val="92"/>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3"/>
          </w:tcPr>
          <w:p>
            <w:pPr>
              <w:jc w:val="center"/>
              <w:ind w:left="37"/>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4"/>
                <w:szCs w:val="14"/>
                <w:color w:val="auto"/>
              </w:rPr>
            </w:pPr>
          </w:p>
        </w:tc>
      </w:tr>
      <w:tr>
        <w:trPr>
          <w:trHeight w:val="189"/>
        </w:trPr>
        <w:tc>
          <w:tcPr>
            <w:tcW w:w="54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438"/>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r>
      <w:tr>
        <w:trPr>
          <w:trHeight w:val="189"/>
        </w:trPr>
        <w:tc>
          <w:tcPr>
            <w:tcW w:w="5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gridSpan w:val="3"/>
          </w:tcPr>
          <w:p>
            <w:pPr>
              <w:jc w:val="center"/>
              <w:ind w:right="458"/>
              <w:spacing w:after="0"/>
              <w:rPr>
                <w:sz w:val="20"/>
                <w:szCs w:val="20"/>
                <w:color w:val="auto"/>
              </w:rPr>
            </w:pPr>
            <w:r>
              <w:rPr>
                <w:rFonts w:ascii="Arial" w:cs="Arial" w:eastAsia="Arial" w:hAnsi="Arial"/>
                <w:sz w:val="14"/>
                <w:szCs w:val="14"/>
                <w:b w:val="1"/>
                <w:bCs w:val="1"/>
                <w:i w:val="1"/>
                <w:iCs w:val="1"/>
                <w:color w:val="auto"/>
                <w:w w:val="87"/>
              </w:rPr>
              <w:t>(in thousands)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3"/>
          </w:tcPr>
          <w:p>
            <w:pPr>
              <w:jc w:val="center"/>
              <w:ind w:left="37"/>
              <w:spacing w:after="0"/>
              <w:rPr>
                <w:sz w:val="20"/>
                <w:szCs w:val="20"/>
                <w:color w:val="auto"/>
              </w:rPr>
            </w:pPr>
            <w:r>
              <w:rPr>
                <w:rFonts w:ascii="Arial" w:cs="Arial" w:eastAsia="Arial" w:hAnsi="Arial"/>
                <w:sz w:val="14"/>
                <w:szCs w:val="14"/>
                <w:b w:val="1"/>
                <w:bCs w:val="1"/>
                <w:i w:val="1"/>
                <w:iCs w:val="1"/>
                <w:color w:val="auto"/>
                <w:w w:val="89"/>
              </w:rPr>
              <w:t>(in thousands)</w:t>
            </w:r>
          </w:p>
        </w:tc>
        <w:tc>
          <w:tcPr>
            <w:tcW w:w="22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Transfers out of Level 3</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in to Level 3</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Purchases</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Maturities, calls and paydowns</w:t>
            </w:r>
          </w:p>
        </w:tc>
        <w:tc>
          <w:tcPr>
            <w:tcW w:w="9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9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6"/>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Included in earnings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5"/>
        </w:trPr>
        <w:tc>
          <w:tcPr>
            <w:tcW w:w="5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Included in other comprehensive income</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3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Company had one equity security at December 31, 2022 and September 30, 2023 for which the fair value was determined using significant unobservable inputs (Level 3). The fair value of $24,000 at September 30, 2023 for the equity security was obtained from our asset manager and was derived from an internal model.</w:t>
      </w:r>
    </w:p>
    <w:p>
      <w:pPr>
        <w:spacing w:after="0" w:line="82"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Company held one equity security at December 31, 2021 for which the fair value was determined using significant unobservable inputs (Level 3). The fair value of $102,000 for the equity security was based on expected proceeds from its sale. During the nine months ended September 30, 2022, the Company sold the equity security.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no transfers between Level 1 and Level 2 during the nine months ended September 30, 2023 or 2022. The Company recognizes transfers between levels at the beginning of the reporting period.</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September 30, 2023 and December 31, 2022, there were no investments for which external sources were unavailable to determine fair value.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4"/>
          </w:tcPr>
          <w:p>
            <w:pPr>
              <w:ind w:left="580"/>
              <w:spacing w:after="0"/>
              <w:rPr>
                <w:sz w:val="20"/>
                <w:szCs w:val="20"/>
                <w:color w:val="auto"/>
              </w:rPr>
            </w:pPr>
            <w:r>
              <w:rPr>
                <w:rFonts w:ascii="Arial" w:cs="Arial" w:eastAsia="Arial" w:hAnsi="Arial"/>
                <w:sz w:val="14"/>
                <w:szCs w:val="14"/>
                <w:b w:val="1"/>
                <w:bCs w:val="1"/>
                <w:color w:val="auto"/>
              </w:rPr>
              <w:t>September 30, 2023</w:t>
            </w:r>
          </w:p>
        </w:tc>
        <w:tc>
          <w:tcPr>
            <w:tcW w:w="380" w:type="dxa"/>
            <w:vAlign w:val="bottom"/>
          </w:tcPr>
          <w:p>
            <w:pPr>
              <w:spacing w:after="0"/>
              <w:rPr>
                <w:sz w:val="15"/>
                <w:szCs w:val="15"/>
                <w:color w:val="auto"/>
              </w:rPr>
            </w:pPr>
          </w:p>
        </w:tc>
        <w:tc>
          <w:tcPr>
            <w:tcW w:w="2480" w:type="dxa"/>
            <w:vAlign w:val="bottom"/>
            <w:gridSpan w:val="3"/>
          </w:tcPr>
          <w:p>
            <w:pPr>
              <w:jc w:val="right"/>
              <w:ind w:right="773"/>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ind w:right="356"/>
              <w:spacing w:after="0" w:line="130"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1"/>
                <w:szCs w:val="11"/>
                <w:color w:val="auto"/>
              </w:rPr>
            </w:pPr>
          </w:p>
        </w:tc>
        <w:tc>
          <w:tcPr>
            <w:tcW w:w="1020" w:type="dxa"/>
            <w:vAlign w:val="bottom"/>
          </w:tcPr>
          <w:p>
            <w:pPr>
              <w:jc w:val="right"/>
              <w:ind w:right="356"/>
              <w:spacing w:after="0" w:line="130"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1"/>
                <w:szCs w:val="11"/>
                <w:color w:val="auto"/>
              </w:rPr>
            </w:pPr>
          </w:p>
        </w:tc>
        <w:tc>
          <w:tcPr>
            <w:tcW w:w="11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1,836,324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1,836,324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1,783,417</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1,783,417</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115,754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118,627</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118,627</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152,068</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152,068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154,991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154,991</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232,923</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173,164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173,164</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106,858</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103,215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103,215</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54,129</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107,812</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107,812</w:t>
            </w: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Other invested assets – notes receivable</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10,539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7,205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Senior debt</w:t>
            </w:r>
          </w:p>
        </w:tc>
        <w:tc>
          <w:tcPr>
            <w:tcW w:w="26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222,300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228,526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222,300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226,063</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debt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104,055</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104,055</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127,149</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September 30, 2023 and December 31, 2022 were determined by calculating the present value of expected future cash flows under the terms of the note agreements or debt agreements, as applicable, discounted at an estimated market rate of interest at September 30, 2023 and December 31, 2022, respectively. The Company also utilized an internally developed valuation model based on the spread of a comparable market index to determine the fair value of certain other invested assets-notes receivable at September 30, 2023.</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fair values of senior debt and junior subordinated debt at September 30, 2023 and December 31, 2022 were determined using inputs to the valuation methodology that are unobservable (Level 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Senior Debt</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repaid $40.0 million of loans that were outstanding under a credit agreement (the “2017 Facility”) in the three months ended March 31, 2022. At September 30, 2023, unsecured loans of $21.5 million and secured letters of credit totaling $27.9 million were outstanding under the 2017 Facility. The 2017 Facility provides the Company with a revolving line of credit of up to $100.0 million, which may be used for loans and letters of credit made or issued, at the borrowers’ option, on a secured or unsecured basis. The 2017 Facility contains certain financial and other covenants which the Company was in compliance with at September 30, 2023.</w:t>
      </w:r>
    </w:p>
    <w:p>
      <w:pPr>
        <w:spacing w:after="0" w:line="8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Series A Preferred Shares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February 24, 2022, the Company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transaction closed on March 1, 2022 (the “Series A Closing Date”).</w:t>
      </w:r>
    </w:p>
    <w:p>
      <w:pPr>
        <w:spacing w:after="0" w:line="8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spacing w:after="0" w:line="7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Holders of the Series A Preferred Shares are entitled to a dividend at the initial rate of 7% of the Liquidation Preference per annum, paid in cash, in-kind in common shares or in Series A Preferred Shares, at the Company's election. On the five-year anniversary of the Series A Closing Date, and each five-year anniversary thereafter, the dividend rate will reset to a rate equal to the five-year U.S. treasury rate plus 5.2%. Dividends accrue and are payable quarterly. Cash dividends of $7.9 million were paid in the nine months ended September 30, 2023 including cash dividends paid in January, March, and June for the three month periods ended December 31, 2022, March 31, 2023, and June 30, 2023. Dividends of $2.6 million for the three months ended September 30, 2023 were paid on October 2, 2023. Cash dividends of $6.1 million were paid in the nine months ended September 30, 2022, including $3.5 million on June 30, 2022 for the period from the Series A Closing Date through June 30, 2022, and $2.6 million on September 30, 2022.</w:t>
      </w:r>
    </w:p>
    <w:p>
      <w:pPr>
        <w:spacing w:after="0" w:line="5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Series A Preferred Shares are convertible at the option of the holders thereof at any time into common shares at an initial conversion price of $26.5950, making the Series A Preferred Shares convertible into 5,640,158 common shares. The conversion price is subject to customary anti-dilution adjustments, including cash dividends on the common shares above specified levels, as well as certain adjustments in case of net adverse reserve developments in excess of a threshold over a period of time. The measurement period for the adverse reserve development anti-dilution adjustment commenced with the quarter beginning January 1, 2022 and ends with the quarter ending December 31, 2025. As of September 30, 2023, net adverse reserve development exceeded the threshold. If net adverse reserve development exceeds the threshold at the conclusion of the measurement period (or upon a mandatory or optional conversion, if earlier), the conversion price will be adjusted pursuant to the Certificate of Designations and the adjusted conversion price will become effective after the filing of the Company's financial statements for the period ending December 31, 2025 (or immediately after the close of business on the date of the public filing of the Company's financial statements for the most recent quarterly period preceding a mandatory or optional conversion, if earlier). None of the other triggers that would result in additional adjustments to the conversion price have been met at September 30, 2023.</w:t>
      </w:r>
    </w:p>
    <w:p>
      <w:pPr>
        <w:spacing w:after="0" w:line="5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Certificate of Designations setting forth the terms of the Series A Preferred Shares limits the Company's ability to pay dividends to its common shareholders. If the Company pays cash dividends of more than $0.05 per common share per quarter, without the consent of at least the majority of the Series A Preferred Shares then outstanding, the Company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to the Company's shareholders also trigger a reduction of the conversion price applicable to the Series A Preferred Shares.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At any time on or after the two year anniversary of the Series A Closing Date, if the volume-weighted average price (“VWAP”) per common share is greater than 130% of the then-applicable conversion price for at least twenty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spacing w:after="0" w:line="7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spacing w:after="0" w:line="8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holders of the Series A Preferred Shares may require the Company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the five-year anniversary of the Series A Closing Date, all dividends that would have accrued up to such five-year anniversary, but that have not been paid. The repurchase price will be payable in cash.</w:t>
      </w:r>
    </w:p>
    <w:p>
      <w:pPr>
        <w:spacing w:after="0" w:line="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Because the Company may be required to repurchase all or a portion of the Series A Preferred Shares at the option of the holder upon the occurrence of certain change of control events, the Series A Preferred Shares have been classified as mezzanine equity in the Company's condensed consolidated balance sheets and are recognized at fair value of $150.0 million (the proceeds on the date of issuance) less issuance costs of $5.1 million, resulting in a carrying value of $144.9 million.</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the terms of the Investment Agreement, GPC Partners has the right to designate one member of the Board (the “Series A Designee”). GPC Partners has designated Matthew Botein as the Series A Designee and, accordingly, the Board approved the appointment of Mr. Botein to serve as a Class I director with a term expiring at the 2024 annual meeting of the Company’s shareholders.</w:t>
      </w:r>
    </w:p>
    <w:p>
      <w:pPr>
        <w:spacing w:after="0" w:line="76" w:lineRule="exact"/>
        <w:rPr>
          <w:sz w:val="20"/>
          <w:szCs w:val="20"/>
          <w:color w:val="auto"/>
        </w:rPr>
      </w:pPr>
    </w:p>
    <w:p>
      <w:pPr>
        <w:ind w:right="8300" w:firstLine="6"/>
        <w:spacing w:after="0" w:line="364" w:lineRule="auto"/>
        <w:tabs>
          <w:tab w:leader="none" w:pos="397"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Stock and Equity Awards </w:t>
      </w:r>
      <w:r>
        <w:rPr>
          <w:rFonts w:ascii="Arial" w:cs="Arial" w:eastAsia="Arial" w:hAnsi="Arial"/>
          <w:sz w:val="18"/>
          <w:szCs w:val="18"/>
          <w:b w:val="1"/>
          <w:bCs w:val="1"/>
          <w:i w:val="1"/>
          <w:iCs w:val="1"/>
          <w:color w:val="auto"/>
        </w:rPr>
        <w:t>Common Shares</w:t>
      </w:r>
    </w:p>
    <w:p>
      <w:pPr>
        <w:spacing w:after="0" w:line="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Total common shares outstanding increased from 37,470,237 at December 31, 2022 to 37,619,749 at September 30, 2023, reflecting 149,512 common shares issued in the nine months ended September 30, 2023 related to vesting of RSUs.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declared the following dividends on common shares during the first nine months of 2023 and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Date of Declaration</w:t>
            </w:r>
          </w:p>
        </w:tc>
        <w:tc>
          <w:tcPr>
            <w:tcW w:w="16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6"/>
                <w:szCs w:val="16"/>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Payable to Shareholders of</w:t>
            </w:r>
          </w:p>
        </w:tc>
        <w:tc>
          <w:tcPr>
            <w:tcW w:w="214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0"/>
              </w:rPr>
              <w:t>Payment Date</w:t>
            </w:r>
          </w:p>
        </w:tc>
        <w:tc>
          <w:tcPr>
            <w:tcW w:w="200" w:type="dxa"/>
            <w:vAlign w:val="bottom"/>
          </w:tcPr>
          <w:p>
            <w:pPr>
              <w:spacing w:after="0"/>
              <w:rPr>
                <w:sz w:val="16"/>
                <w:szCs w:val="16"/>
                <w:color w:val="auto"/>
              </w:rPr>
            </w:pPr>
          </w:p>
        </w:tc>
        <w:tc>
          <w:tcPr>
            <w:tcW w:w="132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w w:val="98"/>
              </w:rPr>
              <w:t>Total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Common Share</w:t>
            </w:r>
          </w:p>
        </w:tc>
        <w:tc>
          <w:tcPr>
            <w:tcW w:w="18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Record on</w:t>
            </w:r>
          </w:p>
        </w:tc>
        <w:tc>
          <w:tcPr>
            <w:tcW w:w="2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line="181" w:lineRule="exact"/>
              <w:rPr>
                <w:sz w:val="20"/>
                <w:szCs w:val="20"/>
                <w:color w:val="auto"/>
              </w:rPr>
            </w:pPr>
            <w:r>
              <w:rPr>
                <w:rFonts w:ascii="Arial" w:cs="Arial" w:eastAsia="Arial" w:hAnsi="Arial"/>
                <w:sz w:val="18"/>
                <w:szCs w:val="18"/>
                <w:b w:val="1"/>
                <w:bCs w:val="1"/>
                <w:color w:val="auto"/>
                <w:w w:val="84"/>
              </w:rPr>
              <w:t>2023</w:t>
            </w:r>
          </w:p>
        </w:tc>
        <w:tc>
          <w:tcPr>
            <w:tcW w:w="21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9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February 16,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9"/>
                <w:szCs w:val="19"/>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March 13, 2023</w:t>
            </w: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March 31, 2023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1,921,802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27,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June 12, 2023</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June 30, 2023</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1,921,040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July 27,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7"/>
              </w:rPr>
              <w:t>September 11, 2023</w:t>
            </w:r>
          </w:p>
        </w:tc>
        <w:tc>
          <w:tcPr>
            <w:tcW w:w="214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87"/>
              </w:rPr>
              <w:t>September 29, 2023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1,921,550</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5,764,392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4"/>
              </w:rPr>
              <w:t>2022</w:t>
            </w:r>
          </w:p>
        </w:tc>
        <w:tc>
          <w:tcPr>
            <w:tcW w:w="2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February 16,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9"/>
                <w:szCs w:val="19"/>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March 14, 2022</w:t>
            </w: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March 31, 2022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1,908,482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28,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June 13, 2022</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June 30, 2022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1,907,953</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July 26,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7"/>
              </w:rPr>
              <w:t>September 12, 2022</w:t>
            </w:r>
          </w:p>
        </w:tc>
        <w:tc>
          <w:tcPr>
            <w:tcW w:w="214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87"/>
              </w:rPr>
              <w:t>September 30, 2022</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1,908,287</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5,724,722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Included in the total dividends for the nine months ended September 30, 2023 and 2022 are $121,000 and $107,000, respectively, of dividend equivalents on unvested RSUs. The balance of dividends payable on unvested RSUs was $280,000 at September 30, 2023 and $335,000 at December 31, 2022.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4,982,650, and at September 30, 2023, 1,508,848 shares are available for grant.</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 Initial awards were granted in the first quarter of 2023.</w:t>
      </w:r>
    </w:p>
    <w:p>
      <w:pPr>
        <w:spacing w:after="0" w:line="8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Each PRSU represents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initial PRSU awards have a performance period of January 1, 2023 through December 31, 2025.</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September 30, 2023, 69,320 shares are available for grant.</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59"/>
              <w:spacing w:after="0" w:line="137"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8"/>
              <w:spacing w:after="0" w:line="13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6"/>
              </w:rPr>
              <w:t>Average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8"/>
              <w:spacing w:after="0" w:line="142"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6"/>
        </w:trPr>
        <w:tc>
          <w:tcPr>
            <w:tcW w:w="5560" w:type="dxa"/>
            <w:vAlign w:val="bottom"/>
          </w:tcPr>
          <w:p>
            <w:pPr>
              <w:spacing w:after="0"/>
              <w:rPr>
                <w:sz w:val="11"/>
                <w:szCs w:val="11"/>
                <w:color w:val="auto"/>
              </w:rPr>
            </w:pPr>
          </w:p>
        </w:tc>
        <w:tc>
          <w:tcPr>
            <w:tcW w:w="13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7"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8"/>
              <w:spacing w:after="0" w:line="137"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
        </w:trPr>
        <w:tc>
          <w:tcPr>
            <w:tcW w:w="55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287,974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Lapsed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(164,548)</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76,393</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60" w:type="dxa"/>
            <w:vAlign w:val="bottom"/>
          </w:tcPr>
          <w:p>
            <w:pPr>
              <w:ind w:left="20"/>
              <w:spacing w:after="0" w:line="198" w:lineRule="exact"/>
              <w:rPr>
                <w:sz w:val="20"/>
                <w:szCs w:val="20"/>
                <w:color w:val="auto"/>
              </w:rPr>
            </w:pPr>
            <w:r>
              <w:rPr>
                <w:rFonts w:ascii="Arial" w:cs="Arial" w:eastAsia="Arial" w:hAnsi="Arial"/>
                <w:sz w:val="18"/>
                <w:szCs w:val="18"/>
                <w:color w:val="auto"/>
              </w:rPr>
              <w:t>Exercisable, end of period</w:t>
            </w:r>
          </w:p>
        </w:tc>
        <w:tc>
          <w:tcPr>
            <w:tcW w:w="13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76,393</w:t>
            </w:r>
          </w:p>
        </w:tc>
        <w:tc>
          <w:tcPr>
            <w:tcW w:w="32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42.17</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287,974</w:t>
            </w:r>
          </w:p>
        </w:tc>
        <w:tc>
          <w:tcPr>
            <w:tcW w:w="34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All of the outstanding options are fully vested (vesting period of three years from date of grant) and have a contractual life of seven years from the original date of grant. All of the outstanding options have an exercise price equal to the fair value of the underlying shares at the date of grant. The weighted-average remaining contractual life of the options outstanding and exercisable at September 30, 2023 was 0.4 years.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3"/>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6"/>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200"/>
              <w:spacing w:after="0" w:line="137" w:lineRule="exact"/>
              <w:rPr>
                <w:sz w:val="20"/>
                <w:szCs w:val="20"/>
                <w:color w:val="auto"/>
              </w:rPr>
            </w:pPr>
            <w:r>
              <w:rPr>
                <w:rFonts w:ascii="Arial" w:cs="Arial" w:eastAsia="Arial" w:hAnsi="Arial"/>
                <w:sz w:val="14"/>
                <w:szCs w:val="14"/>
                <w:b w:val="1"/>
                <w:bCs w:val="1"/>
                <w:color w:val="auto"/>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40"/>
              <w:spacing w:after="0" w:line="13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5560" w:type="dxa"/>
            <w:vAlign w:val="bottom"/>
          </w:tcPr>
          <w:p>
            <w:pPr>
              <w:spacing w:after="0"/>
              <w:rPr>
                <w:sz w:val="12"/>
                <w:szCs w:val="12"/>
                <w:color w:val="auto"/>
              </w:rPr>
            </w:pPr>
          </w:p>
        </w:tc>
        <w:tc>
          <w:tcPr>
            <w:tcW w:w="134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100"/>
              <w:spacing w:after="0" w:line="146" w:lineRule="exact"/>
              <w:rPr>
                <w:sz w:val="20"/>
                <w:szCs w:val="20"/>
                <w:color w:val="auto"/>
              </w:rPr>
            </w:pPr>
            <w:r>
              <w:rPr>
                <w:rFonts w:ascii="Arial" w:cs="Arial" w:eastAsia="Arial" w:hAnsi="Arial"/>
                <w:sz w:val="14"/>
                <w:szCs w:val="14"/>
                <w:b w:val="1"/>
                <w:bCs w:val="1"/>
                <w:color w:val="auto"/>
              </w:rPr>
              <w:t>Grant Date</w:t>
            </w:r>
          </w:p>
        </w:tc>
        <w:tc>
          <w:tcPr>
            <w:tcW w:w="134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20"/>
              <w:spacing w:after="0" w:line="146"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
        </w:trPr>
        <w:tc>
          <w:tcPr>
            <w:tcW w:w="55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Unvested, 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665,458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292,135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545,450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Vested</w:t>
            </w:r>
          </w:p>
        </w:tc>
        <w:tc>
          <w:tcPr>
            <w:tcW w:w="1340" w:type="dxa"/>
            <w:vAlign w:val="bottom"/>
          </w:tcPr>
          <w:p>
            <w:pPr>
              <w:jc w:val="right"/>
              <w:spacing w:after="0"/>
              <w:rPr>
                <w:sz w:val="20"/>
                <w:szCs w:val="20"/>
                <w:color w:val="auto"/>
              </w:rPr>
            </w:pPr>
            <w:r>
              <w:rPr>
                <w:rFonts w:ascii="Arial" w:cs="Arial" w:eastAsia="Arial" w:hAnsi="Arial"/>
                <w:sz w:val="18"/>
                <w:szCs w:val="18"/>
                <w:color w:val="auto"/>
              </w:rPr>
              <w:t>(212,968)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(112,527)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Unvested, 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797,787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715,298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Outstanding RSUs granted to employees generally vest ratably over a three year vesting period. RSUs granted to non-employee directors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 The RSUs granted in 2023 include 91,818 PRSU awards.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Share based compensation expense is recognized on a straight-line basis over the vesting period. The amount of expense and related tax benefit is summarized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340" w:type="dxa"/>
            <w:vAlign w:val="bottom"/>
            <w:gridSpan w:val="3"/>
          </w:tcPr>
          <w:p>
            <w:pPr>
              <w:jc w:val="center"/>
              <w:ind w:left="423"/>
              <w:spacing w:after="0"/>
              <w:rPr>
                <w:sz w:val="20"/>
                <w:szCs w:val="20"/>
                <w:color w:val="auto"/>
              </w:rPr>
            </w:pPr>
            <w:r>
              <w:rPr>
                <w:rFonts w:ascii="Arial" w:cs="Arial" w:eastAsia="Arial" w:hAnsi="Arial"/>
                <w:sz w:val="14"/>
                <w:szCs w:val="14"/>
                <w:b w:val="1"/>
                <w:bCs w:val="1"/>
                <w:color w:val="auto"/>
                <w:w w:val="92"/>
              </w:rPr>
              <w:t>Three Months Ended</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0" w:type="dxa"/>
            <w:vAlign w:val="bottom"/>
            <w:gridSpan w:val="3"/>
          </w:tcPr>
          <w:p>
            <w:pPr>
              <w:jc w:val="center"/>
              <w:ind w:right="378"/>
              <w:spacing w:after="0"/>
              <w:rPr>
                <w:sz w:val="20"/>
                <w:szCs w:val="20"/>
                <w:color w:val="auto"/>
              </w:rPr>
            </w:pPr>
            <w:r>
              <w:rPr>
                <w:rFonts w:ascii="Arial" w:cs="Arial" w:eastAsia="Arial" w:hAnsi="Arial"/>
                <w:sz w:val="14"/>
                <w:szCs w:val="14"/>
                <w:b w:val="1"/>
                <w:bCs w:val="1"/>
                <w:color w:val="auto"/>
                <w:w w:val="93"/>
              </w:rPr>
              <w:t>Nine Months Ended</w:t>
            </w:r>
          </w:p>
        </w:tc>
      </w:tr>
      <w:tr>
        <w:trPr>
          <w:trHeight w:val="189"/>
        </w:trPr>
        <w:tc>
          <w:tcPr>
            <w:tcW w:w="54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1"/>
              <w:spacing w:after="0"/>
              <w:rPr>
                <w:sz w:val="20"/>
                <w:szCs w:val="20"/>
                <w:color w:val="auto"/>
              </w:rPr>
            </w:pPr>
            <w:r>
              <w:rPr>
                <w:rFonts w:ascii="Arial" w:cs="Arial" w:eastAsia="Arial" w:hAnsi="Arial"/>
                <w:sz w:val="14"/>
                <w:szCs w:val="14"/>
                <w:b w:val="1"/>
                <w:bCs w:val="1"/>
                <w:color w:val="auto"/>
                <w:w w:val="89"/>
              </w:rPr>
              <w:t>September 30,</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382"/>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r>
      <w:tr>
        <w:trPr>
          <w:trHeight w:val="189"/>
        </w:trPr>
        <w:tc>
          <w:tcPr>
            <w:tcW w:w="5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2"/>
          </w:tcPr>
          <w:p>
            <w:pPr>
              <w:jc w:val="right"/>
              <w:ind w:right="12"/>
              <w:spacing w:after="0"/>
              <w:rPr>
                <w:sz w:val="20"/>
                <w:szCs w:val="20"/>
                <w:color w:val="auto"/>
              </w:rPr>
            </w:pPr>
            <w:r>
              <w:rPr>
                <w:rFonts w:ascii="Arial" w:cs="Arial" w:eastAsia="Arial" w:hAnsi="Arial"/>
                <w:sz w:val="14"/>
                <w:szCs w:val="14"/>
                <w:b w:val="1"/>
                <w:bCs w:val="1"/>
                <w:i w:val="1"/>
                <w:iCs w:val="1"/>
                <w:color w:val="auto"/>
                <w:w w:val="99"/>
              </w:rPr>
              <w:t>(in thousands)</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based compensation expense</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3"/>
              </w:rPr>
              <w:t>2,224</w:t>
            </w:r>
          </w:p>
        </w:tc>
        <w:tc>
          <w:tcPr>
            <w:tcW w:w="94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3"/>
              </w:rPr>
              <w:t>2,228</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7,232</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r>
      <w:tr>
        <w:trPr>
          <w:trHeight w:val="224"/>
        </w:trPr>
        <w:tc>
          <w:tcPr>
            <w:tcW w:w="5420" w:type="dxa"/>
            <w:vAlign w:val="bottom"/>
          </w:tcPr>
          <w:p>
            <w:pPr>
              <w:ind w:left="20"/>
              <w:spacing w:after="0"/>
              <w:rPr>
                <w:sz w:val="20"/>
                <w:szCs w:val="20"/>
                <w:color w:val="auto"/>
              </w:rPr>
            </w:pPr>
            <w:r>
              <w:rPr>
                <w:rFonts w:ascii="Arial" w:cs="Arial" w:eastAsia="Arial" w:hAnsi="Arial"/>
                <w:sz w:val="18"/>
                <w:szCs w:val="18"/>
                <w:color w:val="auto"/>
              </w:rPr>
              <w:t>U.S. tax benefit on share based compensation expense</w:t>
            </w:r>
          </w:p>
        </w:tc>
        <w:tc>
          <w:tcPr>
            <w:tcW w:w="860" w:type="dxa"/>
            <w:vAlign w:val="bottom"/>
          </w:tcPr>
          <w:p>
            <w:pPr>
              <w:spacing w:after="0"/>
              <w:rPr>
                <w:sz w:val="19"/>
                <w:szCs w:val="19"/>
                <w:color w:val="auto"/>
              </w:rPr>
            </w:pPr>
          </w:p>
        </w:tc>
        <w:tc>
          <w:tcPr>
            <w:tcW w:w="540" w:type="dxa"/>
            <w:vAlign w:val="bottom"/>
          </w:tcPr>
          <w:p>
            <w:pPr>
              <w:jc w:val="right"/>
              <w:ind w:right="18"/>
              <w:spacing w:after="0"/>
              <w:rPr>
                <w:sz w:val="20"/>
                <w:szCs w:val="20"/>
                <w:color w:val="auto"/>
              </w:rPr>
            </w:pPr>
            <w:r>
              <w:rPr>
                <w:rFonts w:ascii="Arial" w:cs="Arial" w:eastAsia="Arial" w:hAnsi="Arial"/>
                <w:sz w:val="18"/>
                <w:szCs w:val="18"/>
                <w:color w:val="auto"/>
              </w:rPr>
              <w:t>412</w:t>
            </w:r>
          </w:p>
        </w:tc>
        <w:tc>
          <w:tcPr>
            <w:tcW w:w="940" w:type="dxa"/>
            <w:vAlign w:val="bottom"/>
          </w:tcPr>
          <w:p>
            <w:pPr>
              <w:spacing w:after="0"/>
              <w:rPr>
                <w:sz w:val="19"/>
                <w:szCs w:val="19"/>
                <w:color w:val="auto"/>
              </w:rPr>
            </w:pPr>
          </w:p>
        </w:tc>
        <w:tc>
          <w:tcPr>
            <w:tcW w:w="540" w:type="dxa"/>
            <w:vAlign w:val="bottom"/>
          </w:tcPr>
          <w:p>
            <w:pPr>
              <w:jc w:val="right"/>
              <w:ind w:right="18"/>
              <w:spacing w:after="0"/>
              <w:rPr>
                <w:sz w:val="20"/>
                <w:szCs w:val="20"/>
                <w:color w:val="auto"/>
              </w:rPr>
            </w:pPr>
            <w:r>
              <w:rPr>
                <w:rFonts w:ascii="Arial" w:cs="Arial" w:eastAsia="Arial" w:hAnsi="Arial"/>
                <w:sz w:val="18"/>
                <w:szCs w:val="18"/>
                <w:color w:val="auto"/>
              </w:rPr>
              <w:t>415</w:t>
            </w:r>
          </w:p>
        </w:tc>
        <w:tc>
          <w:tcPr>
            <w:tcW w:w="54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1,355</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September 30, 2023, the Company had $12.5 million of unrecognized share based compensation expense expected to be charged to earnings over a weighted-average period of 1.9 years.</w:t>
      </w:r>
    </w:p>
    <w:p>
      <w:pPr>
        <w:spacing w:after="0" w:line="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Subsequent Events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October 26, 2023, the Board of Directors declared a cash dividend of $0.05 per common share. The dividend is payable on December 29, 2023 to shareholders of record on December 11, 2023.</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October 26, 2023, the Board of Directors declared a dividend in the aggregate amount of $2.6 million on the Series A preferred shares. The dividend will be payable in cash on January 2, 2024 to shareholders of record on December 15, 2023.</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October 26, 2023, the Board of Directors approved an award under the 2014 LTIP to a Company employee with an aggregate fair value of $90,000 and a grant date of November 9, 2023.</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November 8, 2023, the Company entered into a Stock Purchase Agreement (the “Stock Purchase Agreement”) with Fleming Intermediate Holdings LLC, a Cayman Islands limited liability company (the “Buyer”). Pursuant to the Stock Purchase Agreement, and on the terms and subject to the conditions therein, the Buyer agreed to purchase from the Company all of the common shares of JRG Re (the “Transaction”). The Transaction, which is expected to close in the first quarter of 2024, will result in the Company’s disposition of its casualty reinsurance business and related assets.</w:t>
      </w:r>
    </w:p>
    <w:p>
      <w:pPr>
        <w:spacing w:after="0" w:line="7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Total consideration to the Company for the sale of JRG Re includes (A) $277 million, which is comprised of (i) $138 million payable by the Buyer to the Company on the closing date in cash, subject to final closing adjustments based on changes in JRG Re’s adjusted net worth between March 31, 2023 and the closing date, and (ii) a $139 million dividend or return of capital or surplus by JRG Re to the Company prior to the closing date, which dividend or return of capital or surplus is subject to the availability of unencumbered assets on the closing date, and (B) $2.5 million to be paid by the Buyer to the Company in the event that certain conditions outlined in the Stock Purchase Agreement are met on the date that is nine months following the closing date.</w:t>
      </w:r>
    </w:p>
    <w:p>
      <w:pPr>
        <w:spacing w:after="0" w:line="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Transaction is subject to the satisfaction or waiver of customary closing conditions, including approval of the Bermuda Monetary Authority. The Stock Purchase Agreement contains customary representations and warranties made by the Company and the Buyer that are subject, in some cases, to specified exceptions and qualifications contained in the Stock Purchase Agreement and the confidential disclosure schedules related thereto, as well as certain customary covenants. Pursuant to the Stock Purchase Agreement and subject to the conditions set forth therein, on the closing date, the Company and the Buyer will enter into certain ancillary agreements, including a transition services agreement.</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November 10, 2023, the Company announced that its board of directors has initiated an exploration of strategic alternatives. As part of this process, the board will consider a wide range of options for the Company including, among other things, a potential sale, merger, or other strategic transaction. The Company has retained financial advisers to assist in the process. There is no assurance that the process will result in the Company pursuing a particular transaction or other strategic outcome. The Company has not set a timetable for completion of this process, and it does not intend to disclose further developments unless and until it determines that further disclosure is appropriate or necessary.</w:t>
      </w:r>
    </w:p>
    <w:p>
      <w:pPr>
        <w:spacing w:after="0" w:line="6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On November 13, 2023, a purported class action lawsuit was filed in the US District Court, Southern District of New York, on behalf of Paul Glantz (“Plaintiff”) against James River Group Holdings, Ltd. and certain of its officers (together “Defendants”), asserting claims under Sections 10(b) and 20(a) of the Securities Exchange Act of 1934. Plaintiff alleges that he purchased James River common stock between August 7, 2023 and November 7, 2023, inclusive (the putative “Class Period”), that Defendants failed to disclose that the Company lacked effective internal controls regarding the recognition of reinstatement premiums for reinsurance and as a result the Company overstated its net income, and that, as a result, Plaintiff suffered unspecified damages. We believe that the Plaintiff’s claims are without merit and intend to vigorously defend this lawsuit.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Part II, Item 1A “Risk Factors” in this Quarterly Report on Form 10-Q, and Part I, Item 1A “Risk Factors” in our Annual Report on Form 10-K for the year ended December 31, 2022. The results of operations for the three and nine months ended September 30, 2023 are not necessarily indicative of the results that may be expected for the full year ending December 31, 2023,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2022.</w:t>
      </w:r>
    </w:p>
    <w:p>
      <w:pPr>
        <w:spacing w:after="0" w:line="4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James River Group Holdings, Ltd. is a Bermuda-based holding company. We own and operate a group of specialty insurance companies with the objective of generating compelling returns on tangible equity while limiting underwriting and investment volatility. We seek to accomplish this by earning profits from insurance underwriting and generating meaningful risk-adjusted investment returns while managing our capital.</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1" w:lineRule="exact"/>
        <w:rPr>
          <w:sz w:val="20"/>
          <w:szCs w:val="20"/>
          <w:color w:val="auto"/>
        </w:rPr>
      </w:pPr>
    </w:p>
    <w:p>
      <w:pPr>
        <w:jc w:val="both"/>
        <w:ind w:left="640" w:hanging="316"/>
        <w:spacing w:after="0" w:line="255"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82" w:lineRule="exact"/>
        <w:rPr>
          <w:rFonts w:ascii="Arial" w:cs="Arial" w:eastAsia="Arial" w:hAnsi="Arial"/>
          <w:sz w:val="18"/>
          <w:szCs w:val="18"/>
          <w:color w:val="auto"/>
        </w:rPr>
      </w:pPr>
    </w:p>
    <w:p>
      <w:pPr>
        <w:jc w:val="both"/>
        <w:ind w:left="640" w:hanging="316"/>
        <w:spacing w:after="0" w:line="265"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Specialty Admitted Insurance segment approaches the insurance market in two ways: as a “fronting” company and as a risk bearing underwriter. In its fronting business, the Specialty Admitted segment works with distributors, such as managing general agents and other producers, by using our licensure, rating and administrative services in order to produce and service insurance policies for reinsurers and other third party risk bearing entities. We charge fees for “fronting” for these capital providers. In some instances, we retain a small percentage of the risk on fronted business, generally 10%-35%. The Company’s risk bearing underwriting is focused on niche classes within the standard insurance markets, such as workers’ compensation coverage for residential contractors, light manufacturing operations, transportation workers and healthcare workers. This segment has admitted licenses and the authority to write excess and surplus lines insurance on a non-admitted basis in every U.S. state and the District of Columbia;</w:t>
      </w:r>
    </w:p>
    <w:p>
      <w:pPr>
        <w:spacing w:after="0" w:line="75" w:lineRule="exact"/>
        <w:rPr>
          <w:rFonts w:ascii="Arial" w:cs="Arial" w:eastAsia="Arial" w:hAnsi="Arial"/>
          <w:sz w:val="17"/>
          <w:szCs w:val="17"/>
          <w:color w:val="auto"/>
        </w:rPr>
      </w:pPr>
    </w:p>
    <w:p>
      <w:pPr>
        <w:jc w:val="both"/>
        <w:ind w:left="640" w:hanging="316"/>
        <w:spacing w:after="0" w:line="303" w:lineRule="auto"/>
        <w:tabs>
          <w:tab w:leader="none" w:pos="635"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Casualty Reinsurance segment, until the suspension of its underwriting activities at the beginning of this year, primarily provided proportional and working layer casualty reinsurance to third parties (primarily through reinsurance intermediaries) through JRG Reinsurance Company Ltd. (“JRG Re”). JRG Re also provided reinsurance to the Company’s U.S.-based insurance subsidiaries in the past through a quota-share reinsurance agreement. JRG Re is a Bermuda-based company and is licensed as a Class 3B reinsurer by the Bermuda Monetary Authority. Carolina Re, Inc. (formerly Carolina Re Ltd. “Carolina Re”) was originally formed as a Bermuda-based company in 2018 to provide reinsurance to the Company’s U.S.-based insurance subsidiaries through a quota-share reinsurance agreement, and was also the cedent on an aggregate stop loss reinsurance treaty with JRG Re through December 31, 2021. As a Bermuda-based company, Carolina Re made an irrevocable election to be taxed as a U.S. domestic corporation under Section 953(d) of the Internal Revenue Code of 1986, as amended, effective January 1, 2018. Carolina Re surrendered its Class 3A insurance license in 2022 and domesticated as a Delaware corporation in the third quarter of 2023.</w:t>
      </w:r>
    </w:p>
    <w:p>
      <w:pPr>
        <w:spacing w:after="0" w:line="54" w:lineRule="exact"/>
        <w:rPr>
          <w:rFonts w:ascii="Arial" w:cs="Arial" w:eastAsia="Arial" w:hAnsi="Arial"/>
          <w:sz w:val="15"/>
          <w:szCs w:val="15"/>
          <w:color w:val="auto"/>
        </w:rPr>
      </w:pPr>
    </w:p>
    <w:p>
      <w:pPr>
        <w:ind w:left="640" w:hanging="316"/>
        <w:spacing w:after="0" w:line="365" w:lineRule="auto"/>
        <w:tabs>
          <w:tab w:leader="none" w:pos="635"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the Company’s U.S.-domiciled insurance subsidiaries were previously parties to intercompany quota share reinsurance agreements that in periods prior to January 1, 2018 ceded 70% of their premiums and losses to JRG Re, and from January 1, 2018 through December 31, 2021, ceded 70% of their premiums and losses to Carolina Re. During 2022, Carolina Re commuted the outstanding obligations ceded under the intercompany quota-share reinsurance agreements back to the Company’s U.S.-based insurance subsidiaries with effect from January 1, 2022. During 2023, JRG Re commuted the outstanding obligations ceded under the intercompany quota share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reinsurance agreements back to the Company's U.S.-based insurance subsidiaries with effect from January 1, 2023.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82" w:lineRule="exact"/>
        <w:rPr>
          <w:sz w:val="20"/>
          <w:szCs w:val="20"/>
          <w:color w:val="auto"/>
        </w:rPr>
      </w:pPr>
    </w:p>
    <w:p>
      <w:pPr>
        <w:ind w:right="1960" w:firstLine="318"/>
        <w:spacing w:after="0" w:line="368" w:lineRule="auto"/>
        <w:rPr>
          <w:sz w:val="20"/>
          <w:szCs w:val="20"/>
          <w:color w:val="auto"/>
        </w:rPr>
      </w:pPr>
      <w:r>
        <w:rPr>
          <w:rFonts w:ascii="Arial" w:cs="Arial" w:eastAsia="Arial" w:hAnsi="Arial"/>
          <w:sz w:val="18"/>
          <w:szCs w:val="18"/>
          <w:color w:val="auto"/>
        </w:rPr>
        <w:t xml:space="preserve">All of our insurance and reinsurance subsidiaries have financial strength ratings of “A-” (Excellent) from A.M. Best Company. </w:t>
      </w:r>
      <w:r>
        <w:rPr>
          <w:rFonts w:ascii="Arial" w:cs="Arial" w:eastAsia="Arial" w:hAnsi="Arial"/>
          <w:sz w:val="18"/>
          <w:szCs w:val="18"/>
          <w:b w:val="1"/>
          <w:bCs w:val="1"/>
          <w:color w:val="auto"/>
        </w:rPr>
        <w:t>Key Metrics</w:t>
      </w:r>
    </w:p>
    <w:p>
      <w:pPr>
        <w:spacing w:after="0" w:line="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discuss certain key metrics, described below, which we believe provide useful information about our business and the operational factors underlying our financial performance.</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Underwriting profit </w:t>
      </w:r>
      <w:r>
        <w:rPr>
          <w:rFonts w:ascii="Arial" w:cs="Arial" w:eastAsia="Arial" w:hAnsi="Arial"/>
          <w:sz w:val="17"/>
          <w:szCs w:val="17"/>
          <w:color w:val="auto"/>
        </w:rPr>
        <w:t>is a non-GAAP measure commonly used in the property and casualty insurance industry to evaluate underwriting performance.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(in specific instances when the Company is not retaining insurance risk) less losses and loss adjustment expenses on business not subject to retroactive reinsurance accounting for loss portfolio transfers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before taxes and for additional information.</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Loss ratio</w:t>
      </w:r>
      <w:r>
        <w:rPr>
          <w:rFonts w:ascii="Arial" w:cs="Arial" w:eastAsia="Arial" w:hAnsi="Arial"/>
          <w:sz w:val="18"/>
          <w:szCs w:val="18"/>
          <w:color w:val="auto"/>
        </w:rPr>
        <w:t>, expressed as a percentage, is the ratio of losses and loss adjustment expenses on business not subject to retroactive reinsurance accounting for loss</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transfers to net earned premiums. Our definition of loss ratio may not be comparable to that of other companies. See “Underwriting Performance Ratios” for a reconciliation of underwriting ratios.</w:t>
      </w:r>
    </w:p>
    <w:p>
      <w:pPr>
        <w:spacing w:after="0" w:line="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Accident year loss ratio</w:t>
      </w:r>
      <w:r>
        <w:rPr>
          <w:rFonts w:ascii="Arial" w:cs="Arial" w:eastAsia="Arial" w:hAnsi="Arial"/>
          <w:sz w:val="18"/>
          <w:szCs w:val="18"/>
          <w:color w:val="auto"/>
        </w:rPr>
        <w:t>, expressed as a percentage, is the ratio of losses and loss adjustment expenses for the current accident year (excluding development on</w:t>
      </w:r>
      <w:r>
        <w:rPr>
          <w:rFonts w:ascii="Arial" w:cs="Arial" w:eastAsia="Arial" w:hAnsi="Arial"/>
          <w:sz w:val="18"/>
          <w:szCs w:val="18"/>
          <w:i w:val="1"/>
          <w:iCs w:val="1"/>
          <w:color w:val="auto"/>
        </w:rPr>
        <w:t xml:space="preserve"> </w:t>
      </w:r>
      <w:r>
        <w:rPr>
          <w:rFonts w:ascii="Arial" w:cs="Arial" w:eastAsia="Arial" w:hAnsi="Arial"/>
          <w:sz w:val="18"/>
          <w:szCs w:val="18"/>
          <w:color w:val="auto"/>
        </w:rPr>
        <w:t>prior accident year reserves) to net earned premiums.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Expense ratio</w:t>
      </w:r>
      <w:r>
        <w:rPr>
          <w:rFonts w:ascii="Arial" w:cs="Arial" w:eastAsia="Arial" w:hAnsi="Arial"/>
          <w:sz w:val="15"/>
          <w:szCs w:val="15"/>
          <w:color w:val="auto"/>
        </w:rPr>
        <w:t>, expressed as a percentage, is the ratio of other operating expenses net of gross fee income included in other income to net earned premiums.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Combined ratio </w:t>
      </w:r>
      <w:r>
        <w:rPr>
          <w:rFonts w:ascii="Arial" w:cs="Arial" w:eastAsia="Arial" w:hAnsi="Arial"/>
          <w:sz w:val="17"/>
          <w:szCs w:val="17"/>
          <w:color w:val="auto"/>
        </w:rPr>
        <w:t>is a measure of underwriting performance calculated as the sum of the loss ratio and the expense ratio. A combined ratio of less than 100%</w:t>
      </w:r>
      <w:r>
        <w:rPr>
          <w:rFonts w:ascii="Arial" w:cs="Arial" w:eastAsia="Arial" w:hAnsi="Arial"/>
          <w:sz w:val="17"/>
          <w:szCs w:val="17"/>
          <w:i w:val="1"/>
          <w:iCs w:val="1"/>
          <w:color w:val="auto"/>
        </w:rPr>
        <w:t xml:space="preserve"> </w:t>
      </w:r>
      <w:r>
        <w:rPr>
          <w:rFonts w:ascii="Arial" w:cs="Arial" w:eastAsia="Arial" w:hAnsi="Arial"/>
          <w:sz w:val="17"/>
          <w:szCs w:val="17"/>
          <w:color w:val="auto"/>
        </w:rPr>
        <w:t>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spacing w:after="0" w:line="6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i w:val="1"/>
          <w:iCs w:val="1"/>
          <w:color w:val="auto"/>
        </w:rPr>
        <w:t xml:space="preserve">Adjusted net operating income </w:t>
      </w:r>
      <w:r>
        <w:rPr>
          <w:rFonts w:ascii="Arial" w:cs="Arial" w:eastAsia="Arial" w:hAnsi="Arial"/>
          <w:sz w:val="15"/>
          <w:szCs w:val="15"/>
          <w:color w:val="auto"/>
        </w:rPr>
        <w:t>is an internal performance measure used in the management of our operations. We believe it gives our management and other</w:t>
      </w:r>
      <w:r>
        <w:rPr>
          <w:rFonts w:ascii="Arial" w:cs="Arial" w:eastAsia="Arial" w:hAnsi="Arial"/>
          <w:sz w:val="15"/>
          <w:szCs w:val="15"/>
          <w:i w:val="1"/>
          <w:iCs w:val="1"/>
          <w:color w:val="auto"/>
        </w:rPr>
        <w:t xml:space="preserve"> </w:t>
      </w:r>
      <w:r>
        <w:rPr>
          <w:rFonts w:ascii="Arial" w:cs="Arial" w:eastAsia="Arial" w:hAnsi="Arial"/>
          <w:sz w:val="15"/>
          <w:szCs w:val="15"/>
          <w:color w:val="auto"/>
        </w:rPr>
        <w:t>users of our financial information useful insight into our results of operations and our underlying business performance. Adjusted net operating income is defined as income available to common shareholders excluding a) the impact of retroactive reinsurance accounting for loss portfolio transfers, b) net realized and unrealized gains (losses) on investments, c) certain non-operating expenses such as professional service fees related to a purported class action lawsuit, various strategic initiatives, and the filing of registration statements for the offering of securities, and d) severance costs associated with terminated employees.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spacing w:after="0" w:line="4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i w:val="1"/>
          <w:iCs w:val="1"/>
          <w:color w:val="auto"/>
        </w:rPr>
        <w:t xml:space="preserve">Tangible equity </w:t>
      </w:r>
      <w:r>
        <w:rPr>
          <w:rFonts w:ascii="Arial" w:cs="Arial" w:eastAsia="Arial" w:hAnsi="Arial"/>
          <w:sz w:val="15"/>
          <w:szCs w:val="15"/>
          <w:color w:val="auto"/>
        </w:rPr>
        <w:t>is defined as shareholders' equity plus mezzanine Series A Preferred Shares (as defined below) and the unrecognized deferred retroactive</w:t>
      </w:r>
      <w:r>
        <w:rPr>
          <w:rFonts w:ascii="Arial" w:cs="Arial" w:eastAsia="Arial" w:hAnsi="Arial"/>
          <w:sz w:val="15"/>
          <w:szCs w:val="15"/>
          <w:i w:val="1"/>
          <w:iCs w:val="1"/>
          <w:color w:val="auto"/>
        </w:rPr>
        <w:t xml:space="preserve"> </w:t>
      </w:r>
      <w:r>
        <w:rPr>
          <w:rFonts w:ascii="Arial" w:cs="Arial" w:eastAsia="Arial" w:hAnsi="Arial"/>
          <w:sz w:val="15"/>
          <w:szCs w:val="15"/>
          <w:color w:val="auto"/>
        </w:rPr>
        <w:t>reinsurance gain on loss portfolio transfers less goodwill and intangible assets, net of amortization. We believe tangible equity is a good measure to evaluate the strength of our balance sheet and to compare returns relative to this measure. Key financial measures that we use to assess our longer term financial performance include the percentage growth in our tangible equity per share and our return on tangible equity.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Adjusted net operating return on tangible equity </w:t>
      </w:r>
      <w:r>
        <w:rPr>
          <w:rFonts w:ascii="Arial" w:cs="Arial" w:eastAsia="Arial" w:hAnsi="Arial"/>
          <w:sz w:val="18"/>
          <w:szCs w:val="18"/>
          <w:color w:val="auto"/>
        </w:rPr>
        <w:t>is defined as annualized adjusted net operating income expressed as a percentage of the average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equity balances in the respective period.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Tangible equity per share </w:t>
      </w:r>
      <w:r>
        <w:rPr>
          <w:rFonts w:ascii="Arial" w:cs="Arial" w:eastAsia="Arial" w:hAnsi="Arial"/>
          <w:sz w:val="18"/>
          <w:szCs w:val="18"/>
          <w:color w:val="auto"/>
        </w:rPr>
        <w:t>represents tangible equity divided by the sum of total common shares outstanding plus the common shares resulting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conversion of the outstanding Series A Preferred Shares into common shares (at the current conversion price).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retention </w:t>
      </w:r>
      <w:r>
        <w:rPr>
          <w:rFonts w:ascii="Arial" w:cs="Arial" w:eastAsia="Arial" w:hAnsi="Arial"/>
          <w:sz w:val="18"/>
          <w:szCs w:val="18"/>
          <w:color w:val="auto"/>
        </w:rPr>
        <w:t>is defined as the ratio of net written premiums to gross written premiums.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investment yield </w:t>
      </w:r>
      <w:r>
        <w:rPr>
          <w:rFonts w:ascii="Arial" w:cs="Arial" w:eastAsia="Arial" w:hAnsi="Arial"/>
          <w:sz w:val="18"/>
          <w:szCs w:val="18"/>
          <w:color w:val="auto"/>
        </w:rPr>
        <w:t>is annualized investment income before any deductions for fees and expenses, expressed as a percentage of the average beginning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ending carrying values of those investments during the period.</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Unless specified otherwise, all references to our defined metrics above in this </w:t>
      </w:r>
      <w:r>
        <w:rPr>
          <w:rFonts w:ascii="Arial" w:cs="Arial" w:eastAsia="Arial" w:hAnsi="Arial"/>
          <w:sz w:val="15"/>
          <w:szCs w:val="15"/>
          <w:i w:val="1"/>
          <w:iCs w:val="1"/>
          <w:color w:val="auto"/>
        </w:rPr>
        <w:t>Management’s Discussion and Analysis of Financial Condition and Results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Operations </w:t>
      </w:r>
      <w:r>
        <w:rPr>
          <w:rFonts w:ascii="Arial" w:cs="Arial" w:eastAsia="Arial" w:hAnsi="Arial"/>
          <w:sz w:val="15"/>
          <w:szCs w:val="15"/>
          <w:color w:val="auto"/>
        </w:rPr>
        <w:t>are for our business that is not subject to retroactive reinsurance accounting for loss portfolio transfers. Retroactive reinsurance accounting lacks</w:t>
      </w:r>
      <w:r>
        <w:rPr>
          <w:rFonts w:ascii="Arial" w:cs="Arial" w:eastAsia="Arial" w:hAnsi="Arial"/>
          <w:sz w:val="15"/>
          <w:szCs w:val="15"/>
          <w:i w:val="1"/>
          <w:iCs w:val="1"/>
          <w:color w:val="auto"/>
        </w:rPr>
        <w:t xml:space="preserve"> </w:t>
      </w:r>
      <w:r>
        <w:rPr>
          <w:rFonts w:ascii="Arial" w:cs="Arial" w:eastAsia="Arial" w:hAnsi="Arial"/>
          <w:sz w:val="15"/>
          <w:szCs w:val="15"/>
          <w:color w:val="auto"/>
        </w:rPr>
        <w:t>economic impact and management believes that the presentation of our key metrics on business not subject to retroactive reinsurance accounting is helpful to the users of our financial information. See “Underwriting Performance Ratios” and “Reconciliation of Non-GAAP Measures.”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3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2022. There have been no significant changes to any of these policies during the current year.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Strategic 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River Group Holdings, Ltd.</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November 10, 2023, the Company announced that its board of directors has initiated an exploration of strategic alternatives. See Note 14 – Subsequent Events for further information regarding the announcement.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Reinsurance Segment</w:t>
      </w:r>
    </w:p>
    <w:p>
      <w:pPr>
        <w:spacing w:after="0" w:line="111" w:lineRule="exact"/>
        <w:rPr>
          <w:sz w:val="20"/>
          <w:szCs w:val="20"/>
          <w:color w:val="auto"/>
        </w:rPr>
      </w:pPr>
    </w:p>
    <w:p>
      <w:pPr>
        <w:jc w:val="both"/>
        <w:ind w:firstLine="318"/>
        <w:spacing w:after="0" w:line="350" w:lineRule="auto"/>
        <w:rPr>
          <w:sz w:val="20"/>
          <w:szCs w:val="20"/>
          <w:color w:val="auto"/>
        </w:rPr>
      </w:pPr>
      <w:r>
        <w:rPr>
          <w:rFonts w:ascii="Arial" w:cs="Arial" w:eastAsia="Arial" w:hAnsi="Arial"/>
          <w:sz w:val="15"/>
          <w:szCs w:val="15"/>
          <w:color w:val="auto"/>
        </w:rPr>
        <w:t>As disclosed in our Form 10-K for the year ended December 31, 2022, the Company has suspended writing business in the Casualty Reinsurance segment, as we continue our focus on growing our higher returning U.S. insurance businesses. The Casualty Reinsurance segment will continue earning</w:t>
      </w:r>
    </w:p>
    <w:p>
      <w:pPr>
        <w:jc w:val="both"/>
        <w:spacing w:after="0" w:line="255" w:lineRule="auto"/>
        <w:rPr>
          <w:sz w:val="20"/>
          <w:szCs w:val="20"/>
          <w:color w:val="auto"/>
        </w:rPr>
      </w:pPr>
      <w:r>
        <w:rPr>
          <w:rFonts w:ascii="Arial" w:cs="Arial" w:eastAsia="Arial" w:hAnsi="Arial"/>
          <w:sz w:val="18"/>
          <w:szCs w:val="18"/>
          <w:color w:val="auto"/>
        </w:rPr>
        <w:t>premium due to the nature of the earnings patterns in the reinsurance business, which can extend over multiple years. Aside from the suspension of underwriting activities, the Casualty Reinsurance segment will maintain its normal day-to-day operations, with a staff to service the business on its books and facilitate compliance with regulatory requirements.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November 8, 2023, the Company announced that it has entered into a definitive agreement to sell JRG Re. See Note 14 – Subsequent Events for further information regarding the transaction.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Actions to Reduce Workers' Compensation Book</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June 2023, the Company non-renewed its large California workers' compensation program in the Specialty Admitted Insurance segment. This action was taken due to persistent rate pressure and tighter reinsurance capacity. Gross written premiums for the program were $25.7 million and $79.0 million for the three and nine months ended September 30, 2023 ($30.0 million and $84.8 million in the respective prior year periods).</w:t>
      </w:r>
    </w:p>
    <w:p>
      <w:pPr>
        <w:spacing w:after="0" w:line="6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September 25, 2023, the Company announced that certain of its subsidiaries entered into an agreement to sell the renewal rights to the Individual Risk Workers’ Compensation (“IRWC”) business in the Specialty Admitted Insurance segment. The transaction includes the full operations of the business, including underwriting, loss control and claims, and transfer of the employees supporting the business. The transaction, which closed on September 29, 2023, is aligned with our strategy to focus our resources on core businesses where we have meaningful scale. Gross written premiums for IRWC were $11.0 million and $35.3 million for the three and nine months ended September 30, 2023 ($12.3 million and $39.8 million in the respective prior year periods). Upon closing of the transaction, the Company recognized a $2.2 million gain on sale included in other income in the current period representing the minimum guaranteed consideration to be received in the transaction. The Company also recognized an impairment charge of $2.5 million related to the trademark intangible asset associated with the IRWC business.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Together, the large California program and IRWC business represent 29.5% of the Specialty Admitted Insurance segment's gross written premiums and 10.1% of consolidated gross written premiums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results: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60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gridSpan w:val="2"/>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jc w:val="right"/>
              <w:ind w:right="14"/>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342,503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358,505</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(4.5)%</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1,134,137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9"/>
              </w:rPr>
              <w:t>1,118,155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Arial" w:cs="Arial" w:eastAsia="Arial" w:hAnsi="Arial"/>
                <w:sz w:val="18"/>
                <w:szCs w:val="18"/>
                <w:color w:val="auto"/>
              </w:rPr>
              <w:t>Net retention</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43.6 %</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53.1 %</w:t>
            </w:r>
          </w:p>
        </w:tc>
        <w:tc>
          <w:tcPr>
            <w:tcW w:w="1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47.5 %</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50.2 %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149,473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190,251</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(21.4)%</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538,551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560,801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earned premiums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34"/>
              <w:spacing w:after="0"/>
              <w:rPr>
                <w:sz w:val="20"/>
                <w:szCs w:val="20"/>
                <w:color w:val="auto"/>
              </w:rPr>
            </w:pPr>
            <w:r>
              <w:rPr>
                <w:rFonts w:ascii="Arial" w:cs="Arial" w:eastAsia="Arial" w:hAnsi="Arial"/>
                <w:sz w:val="18"/>
                <w:szCs w:val="18"/>
                <w:i w:val="1"/>
                <w:iCs w:val="1"/>
                <w:color w:val="auto"/>
              </w:rPr>
              <w:t>6.5 %</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i w:val="1"/>
                <w:iCs w:val="1"/>
                <w:color w:val="auto"/>
              </w:rPr>
              <w:t>7.4 %</w:t>
            </w:r>
          </w:p>
        </w:tc>
        <w:tc>
          <w:tcPr>
            <w:tcW w:w="0" w:type="dxa"/>
            <w:vAlign w:val="bottom"/>
          </w:tcPr>
          <w:p>
            <w:pPr>
              <w:spacing w:after="0" w:line="20" w:lineRule="exact"/>
              <w:rPr>
                <w:sz w:val="1"/>
                <w:szCs w:val="1"/>
                <w:color w:val="auto"/>
              </w:rPr>
            </w:pPr>
          </w:p>
        </w:tc>
      </w:tr>
      <w:tr>
        <w:trPr>
          <w:trHeight w:val="198"/>
        </w:trPr>
        <w:tc>
          <w:tcPr>
            <w:tcW w:w="3140" w:type="dxa"/>
            <w:vAlign w:val="bottom"/>
            <w:vMerge w:val="continue"/>
          </w:tcPr>
          <w:p>
            <w:pPr>
              <w:spacing w:after="0"/>
              <w:rPr>
                <w:sz w:val="17"/>
                <w:szCs w:val="17"/>
                <w:color w:val="auto"/>
              </w:rPr>
            </w:pPr>
          </w:p>
        </w:tc>
        <w:tc>
          <w:tcPr>
            <w:tcW w:w="280" w:type="dxa"/>
            <w:vAlign w:val="bottom"/>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4"/>
              <w:spacing w:after="0" w:line="198" w:lineRule="exact"/>
              <w:rPr>
                <w:sz w:val="20"/>
                <w:szCs w:val="20"/>
                <w:color w:val="auto"/>
              </w:rPr>
            </w:pPr>
            <w:r>
              <w:rPr>
                <w:rFonts w:ascii="Arial" w:cs="Arial" w:eastAsia="Arial" w:hAnsi="Arial"/>
                <w:sz w:val="18"/>
                <w:szCs w:val="18"/>
                <w:color w:val="auto"/>
              </w:rPr>
              <w:t>202,625</w:t>
            </w:r>
          </w:p>
        </w:tc>
        <w:tc>
          <w:tcPr>
            <w:tcW w:w="120" w:type="dxa"/>
            <w:vAlign w:val="bottom"/>
          </w:tcPr>
          <w:p>
            <w:pPr>
              <w:spacing w:after="0"/>
              <w:rPr>
                <w:sz w:val="17"/>
                <w:szCs w:val="17"/>
                <w:color w:val="auto"/>
              </w:rPr>
            </w:pPr>
          </w:p>
        </w:tc>
        <w:tc>
          <w:tcPr>
            <w:tcW w:w="420" w:type="dxa"/>
            <w:vAlign w:val="bottom"/>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2"/>
              <w:spacing w:after="0" w:line="198" w:lineRule="exact"/>
              <w:rPr>
                <w:sz w:val="20"/>
                <w:szCs w:val="20"/>
                <w:color w:val="auto"/>
              </w:rPr>
            </w:pPr>
            <w:r>
              <w:rPr>
                <w:rFonts w:ascii="Arial" w:cs="Arial" w:eastAsia="Arial" w:hAnsi="Arial"/>
                <w:sz w:val="18"/>
                <w:szCs w:val="18"/>
                <w:color w:val="auto"/>
              </w:rPr>
              <w:t>190,189</w:t>
            </w:r>
          </w:p>
        </w:tc>
        <w:tc>
          <w:tcPr>
            <w:tcW w:w="1240" w:type="dxa"/>
            <w:vAlign w:val="bottom"/>
            <w:vMerge w:val="continue"/>
          </w:tcPr>
          <w:p>
            <w:pPr>
              <w:spacing w:after="0"/>
              <w:rPr>
                <w:sz w:val="17"/>
                <w:szCs w:val="17"/>
                <w:color w:val="auto"/>
              </w:rPr>
            </w:pPr>
          </w:p>
        </w:tc>
        <w:tc>
          <w:tcPr>
            <w:tcW w:w="300" w:type="dxa"/>
            <w:vAlign w:val="bottom"/>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4"/>
              <w:spacing w:after="0" w:line="198" w:lineRule="exact"/>
              <w:rPr>
                <w:sz w:val="20"/>
                <w:szCs w:val="20"/>
                <w:color w:val="auto"/>
              </w:rPr>
            </w:pPr>
            <w:r>
              <w:rPr>
                <w:rFonts w:ascii="Arial" w:cs="Arial" w:eastAsia="Arial" w:hAnsi="Arial"/>
                <w:sz w:val="18"/>
                <w:szCs w:val="18"/>
                <w:color w:val="auto"/>
              </w:rPr>
              <w:t>608,075</w:t>
            </w:r>
          </w:p>
        </w:tc>
        <w:tc>
          <w:tcPr>
            <w:tcW w:w="100" w:type="dxa"/>
            <w:vAlign w:val="bottom"/>
          </w:tcPr>
          <w:p>
            <w:pPr>
              <w:spacing w:after="0"/>
              <w:rPr>
                <w:sz w:val="17"/>
                <w:szCs w:val="17"/>
                <w:color w:val="auto"/>
              </w:rPr>
            </w:pPr>
          </w:p>
        </w:tc>
        <w:tc>
          <w:tcPr>
            <w:tcW w:w="440" w:type="dxa"/>
            <w:vAlign w:val="bottom"/>
          </w:tcPr>
          <w:p>
            <w:pPr>
              <w:jc w:val="right"/>
              <w:ind w:right="232"/>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2"/>
              <w:spacing w:after="0" w:line="198" w:lineRule="exact"/>
              <w:rPr>
                <w:sz w:val="20"/>
                <w:szCs w:val="20"/>
                <w:color w:val="auto"/>
              </w:rPr>
            </w:pPr>
            <w:r>
              <w:rPr>
                <w:rFonts w:ascii="Arial" w:cs="Arial" w:eastAsia="Arial" w:hAnsi="Arial"/>
                <w:sz w:val="18"/>
                <w:szCs w:val="18"/>
                <w:color w:val="auto"/>
              </w:rPr>
              <w:t>566,275</w:t>
            </w: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Losses and loss adjustment expenses</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retroactive reinsurance</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(139,090)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3"/>
              </w:rPr>
              <w:t>(132,235)</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5.2 %</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(418,205)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8"/>
              </w:rPr>
              <w:t>(389,212)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7.4 %</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(55,921)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(46,670)</w:t>
            </w:r>
          </w:p>
        </w:tc>
        <w:tc>
          <w:tcPr>
            <w:tcW w:w="124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i w:val="1"/>
                <w:iCs w:val="1"/>
                <w:color w:val="auto"/>
              </w:rPr>
              <w:t>19.8 %</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(172,630)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8"/>
              </w:rPr>
              <w:t>(144,067)</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19.8 %</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(1), (2)</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7,614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11,284</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(32.5)%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17,240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32,996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(47.8)%</w:t>
            </w:r>
          </w:p>
        </w:tc>
        <w:tc>
          <w:tcPr>
            <w:tcW w:w="0" w:type="dxa"/>
            <w:vAlign w:val="bottom"/>
          </w:tcPr>
          <w:p>
            <w:pPr>
              <w:spacing w:after="0"/>
              <w:rPr>
                <w:sz w:val="1"/>
                <w:szCs w:val="1"/>
                <w:color w:val="auto"/>
              </w:rPr>
            </w:pPr>
          </w:p>
        </w:tc>
      </w:tr>
      <w:tr>
        <w:trPr>
          <w:trHeight w:val="173"/>
        </w:trPr>
        <w:tc>
          <w:tcPr>
            <w:tcW w:w="3140" w:type="dxa"/>
            <w:vAlign w:val="bottom"/>
          </w:tcPr>
          <w:p>
            <w:pPr>
              <w:ind w:left="20"/>
              <w:spacing w:after="0" w:line="173" w:lineRule="exact"/>
              <w:rPr>
                <w:sz w:val="20"/>
                <w:szCs w:val="20"/>
                <w:color w:val="auto"/>
              </w:rPr>
            </w:pPr>
            <w:r>
              <w:rPr>
                <w:rFonts w:ascii="Arial" w:cs="Arial" w:eastAsia="Arial" w:hAnsi="Arial"/>
                <w:sz w:val="18"/>
                <w:szCs w:val="18"/>
                <w:color w:val="auto"/>
                <w:w w:val="98"/>
              </w:rPr>
              <w:t>Losses and loss adjustment expenses -</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color w:val="auto"/>
              </w:rPr>
              <w:t>retroactive reinsurance</w:t>
            </w:r>
          </w:p>
        </w:tc>
        <w:tc>
          <w:tcPr>
            <w:tcW w:w="280" w:type="dxa"/>
            <w:vAlign w:val="bottom"/>
          </w:tcPr>
          <w:p>
            <w:pPr>
              <w:spacing w:after="0"/>
              <w:rPr>
                <w:sz w:val="20"/>
                <w:szCs w:val="20"/>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(20,773)</w:t>
            </w:r>
          </w:p>
        </w:tc>
        <w:tc>
          <w:tcPr>
            <w:tcW w:w="1240" w:type="dxa"/>
            <w:vAlign w:val="bottom"/>
          </w:tcPr>
          <w:p>
            <w:pPr>
              <w:jc w:val="right"/>
              <w:ind w:right="34"/>
              <w:spacing w:after="0"/>
              <w:rPr>
                <w:sz w:val="20"/>
                <w:szCs w:val="20"/>
                <w:color w:val="auto"/>
              </w:rPr>
            </w:pPr>
            <w:r>
              <w:rPr>
                <w:rFonts w:ascii="Arial" w:cs="Arial" w:eastAsia="Arial" w:hAnsi="Arial"/>
                <w:sz w:val="18"/>
                <w:szCs w:val="18"/>
                <w:i w:val="1"/>
                <w:iCs w:val="1"/>
                <w:color w:val="auto"/>
              </w:rPr>
              <w:t>(99.6)%</w:t>
            </w:r>
          </w:p>
        </w:tc>
        <w:tc>
          <w:tcPr>
            <w:tcW w:w="300" w:type="dxa"/>
            <w:vAlign w:val="bottom"/>
          </w:tcPr>
          <w:p>
            <w:pPr>
              <w:spacing w:after="0"/>
              <w:rPr>
                <w:sz w:val="20"/>
                <w:szCs w:val="20"/>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(17,562)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(20,773)</w:t>
            </w:r>
          </w:p>
        </w:tc>
        <w:tc>
          <w:tcPr>
            <w:tcW w:w="1160" w:type="dxa"/>
            <w:vAlign w:val="bottom"/>
            <w:gridSpan w:val="2"/>
          </w:tcPr>
          <w:p>
            <w:pPr>
              <w:jc w:val="right"/>
              <w:spacing w:after="0"/>
              <w:rPr>
                <w:sz w:val="20"/>
                <w:szCs w:val="20"/>
                <w:color w:val="auto"/>
              </w:rPr>
            </w:pPr>
            <w:r>
              <w:rPr>
                <w:rFonts w:ascii="Arial" w:cs="Arial" w:eastAsia="Arial" w:hAnsi="Arial"/>
                <w:sz w:val="18"/>
                <w:szCs w:val="18"/>
                <w:i w:val="1"/>
                <w:iCs w:val="1"/>
                <w:color w:val="auto"/>
              </w:rPr>
              <w:t>(15.5)%</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26,305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17,306</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52.0 %</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77,252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48,278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60.0 %</w:t>
            </w:r>
          </w:p>
        </w:tc>
        <w:tc>
          <w:tcPr>
            <w:tcW w:w="0" w:type="dxa"/>
            <w:vAlign w:val="bottom"/>
          </w:tcPr>
          <w:p>
            <w:pPr>
              <w:spacing w:after="0"/>
              <w:rPr>
                <w:sz w:val="1"/>
                <w:szCs w:val="1"/>
                <w:color w:val="auto"/>
              </w:rPr>
            </w:pPr>
          </w:p>
        </w:tc>
      </w:tr>
      <w:tr>
        <w:trPr>
          <w:trHeight w:val="173"/>
        </w:trPr>
        <w:tc>
          <w:tcPr>
            <w:tcW w:w="3140" w:type="dxa"/>
            <w:vAlign w:val="bottom"/>
          </w:tcPr>
          <w:p>
            <w:pPr>
              <w:ind w:left="20"/>
              <w:spacing w:after="0" w:line="173" w:lineRule="exact"/>
              <w:rPr>
                <w:sz w:val="20"/>
                <w:szCs w:val="20"/>
                <w:color w:val="auto"/>
              </w:rPr>
            </w:pPr>
            <w:r>
              <w:rPr>
                <w:rFonts w:ascii="Arial" w:cs="Arial" w:eastAsia="Arial" w:hAnsi="Arial"/>
                <w:sz w:val="18"/>
                <w:szCs w:val="18"/>
                <w:color w:val="auto"/>
                <w:w w:val="92"/>
              </w:rPr>
              <w:t>Net realized and unrealized gains (losses)</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180"/>
              <w:spacing w:after="0"/>
              <w:rPr>
                <w:sz w:val="20"/>
                <w:szCs w:val="20"/>
                <w:color w:val="auto"/>
              </w:rPr>
            </w:pPr>
            <w:r>
              <w:rPr>
                <w:rFonts w:ascii="Arial" w:cs="Arial" w:eastAsia="Arial" w:hAnsi="Arial"/>
                <w:sz w:val="18"/>
                <w:szCs w:val="18"/>
                <w:color w:val="auto"/>
              </w:rPr>
              <w:t>on investments</w:t>
            </w:r>
          </w:p>
        </w:tc>
        <w:tc>
          <w:tcPr>
            <w:tcW w:w="280" w:type="dxa"/>
            <w:vAlign w:val="bottom"/>
          </w:tcPr>
          <w:p>
            <w:pPr>
              <w:spacing w:after="0"/>
              <w:rPr>
                <w:sz w:val="20"/>
                <w:szCs w:val="20"/>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(7,754)</w:t>
            </w:r>
          </w:p>
        </w:tc>
        <w:tc>
          <w:tcPr>
            <w:tcW w:w="1240" w:type="dxa"/>
            <w:vAlign w:val="bottom"/>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20"/>
                <w:szCs w:val="20"/>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(29,874)</w:t>
            </w:r>
          </w:p>
        </w:tc>
        <w:tc>
          <w:tcPr>
            <w:tcW w:w="100" w:type="dxa"/>
            <w:vAlign w:val="bottom"/>
          </w:tcPr>
          <w:p>
            <w:pPr>
              <w:spacing w:after="0"/>
              <w:rPr>
                <w:sz w:val="20"/>
                <w:szCs w:val="20"/>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364</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i w:val="1"/>
                <w:iCs w:val="1"/>
                <w:color w:val="auto"/>
              </w:rPr>
              <w:t>528.0 %</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1,523.2 %</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(7,332)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(4,950)</w:t>
            </w:r>
          </w:p>
        </w:tc>
        <w:tc>
          <w:tcPr>
            <w:tcW w:w="1240" w:type="dxa"/>
            <w:vAlign w:val="bottom"/>
          </w:tcPr>
          <w:p>
            <w:pPr>
              <w:jc w:val="right"/>
              <w:ind w:right="34"/>
              <w:spacing w:after="0"/>
              <w:rPr>
                <w:sz w:val="20"/>
                <w:szCs w:val="20"/>
                <w:color w:val="auto"/>
              </w:rPr>
            </w:pPr>
            <w:r>
              <w:rPr>
                <w:rFonts w:ascii="Arial" w:cs="Arial" w:eastAsia="Arial" w:hAnsi="Arial"/>
                <w:sz w:val="18"/>
                <w:szCs w:val="18"/>
                <w:i w:val="1"/>
                <w:iCs w:val="1"/>
                <w:color w:val="auto"/>
              </w:rPr>
              <w:t>48.1 %</w:t>
            </w:r>
          </w:p>
        </w:tc>
        <w:tc>
          <w:tcPr>
            <w:tcW w:w="30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(20,889)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(11,291)</w:t>
            </w:r>
          </w:p>
        </w:tc>
        <w:tc>
          <w:tcPr>
            <w:tcW w:w="1160" w:type="dxa"/>
            <w:vAlign w:val="bottom"/>
            <w:gridSpan w:val="2"/>
          </w:tcPr>
          <w:p>
            <w:pPr>
              <w:jc w:val="right"/>
              <w:spacing w:after="0"/>
              <w:rPr>
                <w:sz w:val="20"/>
                <w:szCs w:val="20"/>
                <w:color w:val="auto"/>
              </w:rPr>
            </w:pPr>
            <w:r>
              <w:rPr>
                <w:rFonts w:ascii="Arial" w:cs="Arial" w:eastAsia="Arial" w:hAnsi="Arial"/>
                <w:sz w:val="18"/>
                <w:szCs w:val="18"/>
                <w:i w:val="1"/>
                <w:iCs w:val="1"/>
                <w:color w:val="auto"/>
              </w:rPr>
              <w:t>85.0 %</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(90)</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of intangible assets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136"/>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taxes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26,564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(4,613)</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58,001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19,176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202.5 %</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7,013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w:t>
            </w:r>
          </w:p>
        </w:tc>
        <w:tc>
          <w:tcPr>
            <w:tcW w:w="1240" w:type="dxa"/>
            <w:vAlign w:val="bottom"/>
            <w:tcBorders>
              <w:bottom w:val="single" w:sz="8" w:color="CCEEFF"/>
            </w:tcBorders>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15,530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5,928</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162.0 %</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19,551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(4,621)</w:t>
            </w:r>
          </w:p>
        </w:tc>
        <w:tc>
          <w:tcPr>
            <w:tcW w:w="1240" w:type="dxa"/>
            <w:vAlign w:val="bottom"/>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42,471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13,248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220.6 %</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Dividends on Series A Preferred Shares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(2,625)</w:t>
            </w:r>
          </w:p>
        </w:tc>
        <w:tc>
          <w:tcPr>
            <w:tcW w:w="1240" w:type="dxa"/>
            <w:vAlign w:val="bottom"/>
            <w:tcBorders>
              <w:bottom w:val="single" w:sz="8" w:color="CCEEFF"/>
            </w:tcBorders>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(7,875)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(6,125)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28.6 %</w:t>
            </w:r>
          </w:p>
        </w:tc>
        <w:tc>
          <w:tcPr>
            <w:tcW w:w="0" w:type="dxa"/>
            <w:vAlign w:val="bottom"/>
          </w:tcPr>
          <w:p>
            <w:pPr>
              <w:spacing w:after="0"/>
              <w:rPr>
                <w:sz w:val="1"/>
                <w:szCs w:val="1"/>
                <w:color w:val="auto"/>
              </w:rPr>
            </w:pPr>
          </w:p>
        </w:tc>
      </w:tr>
      <w:tr>
        <w:trPr>
          <w:trHeight w:val="154"/>
        </w:trPr>
        <w:tc>
          <w:tcPr>
            <w:tcW w:w="314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Net income (loss) available to common</w:t>
            </w:r>
          </w:p>
        </w:tc>
        <w:tc>
          <w:tcPr>
            <w:tcW w:w="28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16,926</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(7,246)</w:t>
            </w:r>
          </w:p>
        </w:tc>
        <w:tc>
          <w:tcPr>
            <w:tcW w:w="124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34,596</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7,123</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385.7 %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40" w:type="dxa"/>
            <w:vAlign w:val="bottom"/>
          </w:tcPr>
          <w:p>
            <w:pPr>
              <w:ind w:left="20"/>
              <w:spacing w:after="0" w:line="198" w:lineRule="exact"/>
              <w:rPr>
                <w:sz w:val="20"/>
                <w:szCs w:val="20"/>
                <w:color w:val="auto"/>
              </w:rPr>
            </w:pPr>
            <w:r>
              <w:rPr>
                <w:rFonts w:ascii="Arial" w:cs="Arial" w:eastAsia="Arial" w:hAnsi="Arial"/>
                <w:sz w:val="18"/>
                <w:szCs w:val="18"/>
                <w:color w:val="auto"/>
              </w:rPr>
              <w:t xml:space="preserve">Adjusted net operating income </w:t>
            </w:r>
            <w:r>
              <w:rPr>
                <w:rFonts w:ascii="Arial" w:cs="Arial" w:eastAsia="Arial" w:hAnsi="Arial"/>
                <w:sz w:val="14"/>
                <w:szCs w:val="14"/>
                <w:color w:val="auto"/>
              </w:rPr>
              <w:t>(1)</w:t>
            </w: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rPr>
              <w:t>18,306</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rPr>
              <w:t>15,499</w:t>
            </w:r>
          </w:p>
        </w:tc>
        <w:tc>
          <w:tcPr>
            <w:tcW w:w="1240" w:type="dxa"/>
            <w:vAlign w:val="bottom"/>
          </w:tcPr>
          <w:p>
            <w:pPr>
              <w:jc w:val="right"/>
              <w:ind w:right="34"/>
              <w:spacing w:after="0" w:line="198" w:lineRule="exact"/>
              <w:rPr>
                <w:sz w:val="20"/>
                <w:szCs w:val="20"/>
                <w:color w:val="auto"/>
              </w:rPr>
            </w:pPr>
            <w:r>
              <w:rPr>
                <w:rFonts w:ascii="Arial" w:cs="Arial" w:eastAsia="Arial" w:hAnsi="Arial"/>
                <w:sz w:val="18"/>
                <w:szCs w:val="18"/>
                <w:i w:val="1"/>
                <w:iCs w:val="1"/>
                <w:color w:val="auto"/>
              </w:rPr>
              <w:t>18.1 %</w:t>
            </w:r>
          </w:p>
        </w:tc>
        <w:tc>
          <w:tcPr>
            <w:tcW w:w="30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rPr>
              <w:t>50,067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rPr>
              <w:t>49,391</w:t>
            </w:r>
          </w:p>
        </w:tc>
        <w:tc>
          <w:tcPr>
            <w:tcW w:w="1160" w:type="dxa"/>
            <w:vAlign w:val="bottom"/>
            <w:gridSpan w:val="2"/>
          </w:tcPr>
          <w:p>
            <w:pPr>
              <w:jc w:val="right"/>
              <w:spacing w:after="0" w:line="198" w:lineRule="exact"/>
              <w:rPr>
                <w:sz w:val="20"/>
                <w:szCs w:val="20"/>
                <w:color w:val="auto"/>
              </w:rPr>
            </w:pPr>
            <w:r>
              <w:rPr>
                <w:rFonts w:ascii="Arial" w:cs="Arial" w:eastAsia="Arial" w:hAnsi="Arial"/>
                <w:sz w:val="18"/>
                <w:szCs w:val="18"/>
                <w:i w:val="1"/>
                <w:iCs w:val="1"/>
                <w:color w:val="auto"/>
              </w:rPr>
              <w:t>1.4 %</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68.6 %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69.5 %</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68.8 %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96.2 %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94.1 %</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94.2 %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70.1 %</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140" w:type="dxa"/>
            <w:vAlign w:val="bottom"/>
          </w:tcPr>
          <w:p>
            <w:pPr>
              <w:ind w:left="140"/>
              <w:spacing w:after="0"/>
              <w:rPr>
                <w:sz w:val="20"/>
                <w:szCs w:val="20"/>
                <w:color w:val="auto"/>
              </w:rPr>
            </w:pPr>
            <w:r>
              <w:rPr>
                <w:rFonts w:ascii="Arial" w:cs="Arial" w:eastAsia="Arial" w:hAnsi="Arial"/>
                <w:sz w:val="18"/>
                <w:szCs w:val="18"/>
                <w:color w:val="auto"/>
              </w:rPr>
              <w:t xml:space="preserve">Accident year loss ratio ex-cat </w:t>
            </w:r>
            <w:r>
              <w:rPr>
                <w:rFonts w:ascii="Arial" w:cs="Arial" w:eastAsia="Arial" w:hAnsi="Arial"/>
                <w:sz w:val="14"/>
                <w:szCs w:val="14"/>
                <w:color w:val="auto"/>
              </w:rPr>
              <w:t>(3)</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67.5 %</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66.1 %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and adjusted net operating income are non-GAAP measures. See “Reconciliation of Non-GAAP Measures.”</w:t>
      </w:r>
    </w:p>
    <w:p>
      <w:pPr>
        <w:spacing w:after="0" w:line="58" w:lineRule="exact"/>
        <w:rPr>
          <w:rFonts w:ascii="Arial" w:cs="Arial" w:eastAsia="Arial" w:hAnsi="Arial"/>
          <w:sz w:val="18"/>
          <w:szCs w:val="18"/>
          <w:i w:val="1"/>
          <w:iCs w:val="1"/>
          <w:color w:val="auto"/>
        </w:rPr>
      </w:pPr>
    </w:p>
    <w:p>
      <w:pPr>
        <w:ind w:left="640" w:right="480" w:hanging="316"/>
        <w:spacing w:after="0" w:line="264" w:lineRule="auto"/>
        <w:tabs>
          <w:tab w:leader="none" w:pos="634"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nine months ended September 30, 2023 is gross fee income of $6.8 million and $18.3 million, respectively ($5.9 million and $17.4 million in the respective prior year periods).</w:t>
      </w:r>
    </w:p>
    <w:p>
      <w:pPr>
        <w:spacing w:after="0" w:line="21" w:lineRule="exact"/>
        <w:rPr>
          <w:rFonts w:ascii="Arial" w:cs="Arial" w:eastAsia="Arial" w:hAnsi="Arial"/>
          <w:sz w:val="18"/>
          <w:szCs w:val="18"/>
          <w:i w:val="1"/>
          <w:iCs w:val="1"/>
          <w:color w:val="auto"/>
        </w:rPr>
      </w:pPr>
    </w:p>
    <w:p>
      <w:pPr>
        <w:ind w:left="640" w:right="160" w:hanging="316"/>
        <w:spacing w:after="0" w:line="264" w:lineRule="auto"/>
        <w:tabs>
          <w:tab w:leader="none" w:pos="634"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Accident year loss ratio excluding $5.0 million of net catastrophe losses related to Hurricane Ian in the three and nine months ended September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and 2022</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produced net income available to common shareholders of $16.9 million for the three months ended September 30, 2023 compared to a loss of $7.2 million for the three months ended September 30, 2022. Adjusted net operating income was $18.3 million and $15.5 million for the three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Underwriting profits were $7.6 million and $11.3 million (combined ratios of 96.2% and 94.1%) for the three months ended September 30, 2023 and 2022, respectively. Net earned premiums grew by 6.5% reflecting growth in our U.S. segments partially offset by the suspension of underwriting in the Casualty Reinsurance segment in the current year. Net earned premiums for the Excess and Surplus Lines segment grew by $18.5 million or 13.3% driven primarily by growth in our larger underwriting divisions, in particular General Casualty and Excess Casualty. Segment renewal rate increases continue to be strong and broad based across underwriting divisions (+12.4% over the prior year). Net earned premiums for the Specialty Admitted Insurance segment increased by $8.2 million or 46.3% due to higher retentions of individual risk workers compensation business following the termination of a quota share treaty effective January 1, 2023 and the growth in fronting with the mix of business and changes in reinsurance coverages contributing to higher retentions and higher earned premium. The runoff of the Casualty Reinsurance business resulted in a net earned premium decrease of $14.3 million for the segment compared to the prior year.</w:t>
      </w:r>
    </w:p>
    <w:p>
      <w:pPr>
        <w:spacing w:after="0" w:line="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loss ratio decreased from 69.5% in the prior year to 68.6% in the current year. Net development on prior accident years was $12.5 million or 6.2 percentage points adverse in the current quarter and included $7.8 million of net adverse development in our Excess and Surplus Lines segment due to adverse emergence in older accident years for our General Casualty line of business and $4.7 million of net adverse development in our Casualty Reinsurance segment related to prior year treaties not subject to the Casualty Re LPT. The prior year quarter includes $1.1 million or 0.6 percentage points of net favorable development with $1.3 million experienced in the Specialty Admitted Insurance segment. The three months ended September 30, 2022 also included $5.0 million or 2.6 percentage points of net catastrophe losses for Hurricane Ian in our Excess Property book within the Excess and Surplus Lines segment. The current accident year loss ratio excluding catastrophe losses decreased from 67.5% in the prior year to 62.5% in the current year due to strong rate increases and other underwriting improvements. Our expense ratio increased from 24.6% to 27.6% driven by lower reinsurance cessions that resulted in lower ceding commissions in the aggregate and higher net commissions and higher general and administrative expenses due to higher compensation costs, bad debts, and taxes, licenses and fees.</w:t>
      </w:r>
    </w:p>
    <w:p>
      <w:pPr>
        <w:spacing w:after="0" w:line="7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Investment yields have increased due to the rise in interest rates, and our investment income exceeded the prior year by $9.0 million or 52.0% driven primarily by higher yields on fixed maturities, bank loans, and cash equivalents. Net realized and unrealized gains and losses on investments include the impact of market volatility in the respective periods on the fair values of equity securities and bank loan participations. Equities and bank loans are carried at fair value with changes in fair value recognized as unrealized gains and losses in our Condensed Consolidated Statements of Income (Loss) and Comprehensive (Loss) Income (see </w:t>
      </w:r>
      <w:r>
        <w:rPr>
          <w:rFonts w:ascii="Arial" w:cs="Arial" w:eastAsia="Arial" w:hAnsi="Arial"/>
          <w:sz w:val="15"/>
          <w:szCs w:val="15"/>
          <w:i w:val="1"/>
          <w:iCs w:val="1"/>
          <w:color w:val="auto"/>
        </w:rPr>
        <w:t>Investing Results</w:t>
      </w:r>
      <w:r>
        <w:rPr>
          <w:rFonts w:ascii="Arial" w:cs="Arial" w:eastAsia="Arial" w:hAnsi="Arial"/>
          <w:sz w:val="15"/>
          <w:szCs w:val="15"/>
          <w:color w:val="auto"/>
        </w:rPr>
        <w:t xml:space="preserve"> below). Interest expense was $2.4 million higher in the current year largely driven by higher interest rates on our variable rate senior and trust preferred debt. Our outstanding principal was constant in the two periods, but our average rate of interest increased from 4.5% in the prior year to 7.9% in the current year. The applicable rates on our debt reset periodically and are structured as SOFR plus a margin or spread.</w:t>
      </w:r>
    </w:p>
    <w:p>
      <w:pPr>
        <w:spacing w:after="0" w:line="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disclosed above, on September 29, 2023, the Company closed on an agreement to sell the renewal rights to the IRWC business in the Specialty Admitted Insurance segment. Upon closing of the transaction, the Company recognized a $2.2 million gain on sale included in other income in the current period representing the minimum guaranteed consideration to be received in the transaction. The Company also recognized an impairment charge of $2.5 million related to the trademark intangible asset associated with the IRWC business.</w:t>
      </w:r>
    </w:p>
    <w:p>
      <w:pPr>
        <w:spacing w:after="0" w:line="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Adjusted net operating income increased 18.1% over the prior year due to the higher investment income, partially offset by lower underwriting profits and higher interest expense. Tangible equity and tangible equity per share each decreased 3.7% in the current quarter as the positive operating results were more than offset by $40.2 million of unrealized losses on fixed maturities in other comprehensive loss. The fair values of fixed maturities generally move inversely with interest rates, and for the current period, the fair values of our fixed maturity securities were negatively impacted by rising interest rates. Our 13.5% adjusted net operating return on tangible equity for the three months ended September 30, 2023 compares to a 12.4% return for the three months ended September 30,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and 2022</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produced net income available to common shareholders of $34.6 million for the nine months ended September 30, 2023 compared to $7.1 million for the nine months ended September 30, 2022. Adjusted net operating income was $50.1 million for the nine months ended September 30, 2023 compared to $49.4 million for the nine months ended September 30, 2022.</w:t>
      </w:r>
    </w:p>
    <w:p>
      <w:pPr>
        <w:spacing w:after="0" w:line="8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Underwriting profits were $17.2 million and $33.0 million (combined ratios of 97.2% and 94.2%) for the nine months ended September 30, 2023 and 2022, respectively. Underwriting results for the current year include $12.3 million of reinstatement premium in the Excess and Surplus Lines segment. The reinstatement premium, triggered by claims on the 2020 and 2021 years of an excess of loss treaty, reduced net written and net earned premiums, and underwriting profit. The impact of the reinstatement premium was a 2.0 percentage point increase in our combined ratio.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Net earned premium growth of 7.4% reflects growth in both U.S. segments partially offset by the $12.3 million of reinstatement premium in the Excess and Surplus Lines segment and the suspension of underwriting in the Casualty Reinsurance segment. Excluding the reinstatement premium, net earned premiums for the Excess and Surplus Lines segment grew by $59.7 million or 14.6% due to growth in our larger underwriting divisions and broad based renewal rate increases (+10.7% over the prior year). Net earned premiums for the Specialty Admitted Insurance segment increased by $15.1 million or 27.4% due to higher retentions of individual risk workers compensation business following the termination of a quota share treaty effective January 1, 2023 and the growth in fronting with the mix of business and changes in reinsurance coverages contributing to higher retentions and higher earned premium. The runoff of the Casualty Reinsurance business resulted in a decrease of $20.7 million in net earned premiums for the segment compared to the prior year.</w:t>
      </w:r>
    </w:p>
    <w:p>
      <w:pPr>
        <w:spacing w:after="0" w:line="5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loss ratio was 68.8% in the current year compared to 68.7% in the prior year. The impact of the reinstatement premium was a 1.4 percentage point increase in our loss ratio for the current year. Net reserve development on prior accident years was $16.1 million or 2.7 percentage points adverse for the nine months ended September 30, 2023 and included $7.6 million of net adverse development in our Excess and Surplus Lines segment driven by adverse emergence in older accident years for our General Casualty line of business and $9.5 million of net adverse development in our Casualty Reinsurance segment related to prior year treaties not subject to the Casualty Re LPT. For the nine months ended September 30, 2022, net reserve development on prior accident years was $4.1 million or 0.7 percentage points adverse including $2.8 million of net favorable development in our Specialty Admitted Insurance segment and $6.8 million of net adverse development in our Casualty Reinsurance segment related to prior year treaties not subject to the Casualty Re LPT. Current accident year losses for the nine months ended September 30, 2022 include $5.0 million or 0.9 percentage points of net catastrophe losses related to Hurricane Ian in our Excess Property book within the Excess and Surplus Lines segment. Improvement in the current accident year loss ratio excluding catastrophe losses was due to strong rate increases and other underwriting improvements. Our expense ratio increased from 25.5% to 28.4% with the reinstatement premium impact on net earned premium in the current year contributing 0.6 percentage points of the increase. Other contributors include lower reinsurance cessions that resulted in lower ceding commissions in the aggregate and higher net commissions and higher general and administrative expenses due to higher compensation, bad debts, and taxes, licenses and fees.</w:t>
      </w:r>
    </w:p>
    <w:p>
      <w:pPr>
        <w:spacing w:after="0" w:line="26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Investment income grew by $29.0 million or 60.0% over the prior year primarily driven by higher yields on fixed maturities, bank loans, and cash equivalents. The higher yields reflect the rise in interest rates in the current year. Net realized and unrealized gains and losses on investments include the impact of market volatility in the respective periods on the fair values of equity securities and bank loan participations (see </w:t>
      </w:r>
      <w:r>
        <w:rPr>
          <w:rFonts w:ascii="Arial" w:cs="Arial" w:eastAsia="Arial" w:hAnsi="Arial"/>
          <w:sz w:val="18"/>
          <w:szCs w:val="18"/>
          <w:i w:val="1"/>
          <w:iCs w:val="1"/>
          <w:color w:val="auto"/>
        </w:rPr>
        <w:t>Investing Results</w:t>
      </w:r>
      <w:r>
        <w:rPr>
          <w:rFonts w:ascii="Arial" w:cs="Arial" w:eastAsia="Arial" w:hAnsi="Arial"/>
          <w:sz w:val="18"/>
          <w:szCs w:val="18"/>
          <w:color w:val="auto"/>
        </w:rPr>
        <w:t xml:space="preserve"> below). Interest expense was $9.6 million higher in the current year largely driven by higher interest rates on our variable rate senior and trust preferred debt. The applicable rates on our debt reset periodically and are structured as SOFR plus a margin or spread. Our average rate of interest increased from 3.6% in the prior year to 7.4% in the current year.</w:t>
      </w:r>
    </w:p>
    <w:p>
      <w:pPr>
        <w:spacing w:after="0" w:line="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disclosed above, on September 29, 2023, the Company closed on an agreement to sell the renewal rights to the IRWC business in the Specialty Admitted Insurance segment. Upon closing of the transaction, the Company recognized a $2.2 million gain on sale included in other income in the current year representing the minimum guaranteed consideration to be received in the transaction. The Company also recognized an impairment charge of $2.5 million related to the trademark intangible asset associated with the IRWC business.</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Adjusted net operating income increased 1.4% over the prior year due to higher investment income, partially offset by lower underwriting profits and higher interest expense. Tangible equity and tangible equity per share increased by 5.8% and 5.4%, respectively, in the current year mainly due to the positive operating results which were partially offset by unrealized losses on fixed maturities in other comprehensive loss. Our 12.5% adjusted net operating return on tangible equity for the nine months ended September 30, 2023 compares to a 12.7% return for the nine months ended September 30, 2022.</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Portfolio Transfers and Impact of Retroactive Reinsurance</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entered into two loss portfolio transfers, which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on the subject risks as long as any additional losses are within the limit of the loss portfolio transfer and the counterparty performs under the contract.</w:t>
      </w:r>
    </w:p>
    <w:p>
      <w:pPr>
        <w:spacing w:after="0" w:line="71"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On February 23, 2022, JRG Re entered into a loss portfolio transfer retrocession agreement (the “Casualty Re LPT”)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was adjusted for claims paid from October 1, 2021 to the Retrocession Closing Date. The Casualty Reinsurance segment incurred $6.8 million of net adverse reserve development in the three months ended March 31, 2022 associated with the Casualty Re LPT. The Funds Withheld Account balance was $160.3 million and $213.6 million at September 30, 2023 and December 31, 2022, respectively. Funds Withheld Account crediting fees of $846,000 and $2.8 million are included in interest expense in our Condensed Consolidated Statements of Income (Loss) and Comprehensive (Loss) Income for the three and nine months ended September 30, 2023, respectively ($1.2 million and $2.6 million in the respective prior year periods).</w:t>
      </w:r>
    </w:p>
    <w:p>
      <w:pPr>
        <w:spacing w:after="0" w:line="26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periodically reevaluates the remaining reserves subject to the Commercial Auto LPT and the Casualty Re LPT. For the three and nine months ended September 30, 2023, due to adverse paid and reported loss trends on the business subject to the loss portfolio transfers, the Company recognized adverse prior year development of $14.0 million and $81.3 million, respectively, on the reserves subject to the Commercial Auto LPT ($7.1 million and $60.6 million, respectively) and Casualty Re LPT ($7.0 million and $20.6 million, respectively), resulting in corresponding additional amounts ceded under the respective loss portfolio transfers. In the three and nine months ended September 30, 2022, the Company recognized adverse prior year development of $46.7 million on the reserves subject to the Commercial Auto LPT. Both loss portfolio transfers are in gain positions as the cumulative amounts ceded under the loss portfolio transfers exceed the consideration paid, requiring the application of retroactive reinsurance accounting.</w:t>
      </w:r>
    </w:p>
    <w:p>
      <w:pPr>
        <w:spacing w:after="0" w:line="5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Under retroactive reinsurance accounting, gains are deferred and recognized in earnings in proportion to actual paid recoveries under the loss portfolio transfers using the recovery method. Over the life of the contracts, we would expect no economic impact to the Company as long as any additional losses are within the limit of the loss portfolio transfer and the counterparty performs under the contract. In periods where the Company recognizes a change in the estimate of the reserves subject to the loss portfolio transfers that increases or decreases the amounts ceded under the loss portfolio transfers, the proportion of actual paid recoveries to total ceded losses is affected and the change in deferred gain is recognized in earnings as if the revised estimate of ceded losses was available at the effective date of the loss portfolio transfer. The effect of the deferred retroactive reinsurance benefit is recorded in losses and loss adjustment expenses on the Condensed Consolidated Statements of Income (Loss) and Comprehensive (Loss) Income.</w:t>
      </w:r>
    </w:p>
    <w:p>
      <w:pPr>
        <w:spacing w:after="0" w:line="5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Retroactive reinsurance benefits totaling $14.0 million and $63.7 million, respectively ($10.2 million and $54.4 million for the Commercial Auto LPT, respectively, and $3.7 million and $9.3 million for the Casualty Re LPT, respectively) were recorded in losses and loss adjustment expenses for the three and nine months ended September 30, 2023 using the recovery method, resulting in net impacts of $81,000 and $17.6 million within our net losses and loss adjustment expenses for the three and nine months ended September 30, 2023, respectively. In the three and nine months ended September 30, 2022, retroactive reinsurance benefits of $25.9 million were recorded in losses and loss adjustment expenses for the Commercial Auto LPT resulting in a net impact of $20.8 million within our net losses and loss adjustment expenses. As of September 30, 2023, the cumulative amounts ceded under the loss portfolio transfers was $814.2 million ($452.5 million under the Commercial Auto LPT and $361.7 million under the Casualty Re LPT). The total unrecognized deferred retroactive reinsurance gain of $37.7 million at September 30, 2023 under the loss portfolio transfers ($22.0 million related to the Commercial Auto LPT and $15.7 million related to the Casualty Re LPT) is separately presented on the Company's Condensed Consolidated Balance Sheets. At September 30, 2023, the Company has $38.3 million of aggregate limit remaining under the Casualty Re LPT.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or more in proportion to the level of underlying exposure.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vMerge w:val="restart"/>
          </w:tcPr>
          <w:p>
            <w:pPr>
              <w:jc w:val="center"/>
              <w:ind w:left="3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236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gridSpan w:val="2"/>
            <w:vMerge w:val="restart"/>
          </w:tcPr>
          <w:p>
            <w:pPr>
              <w:jc w:val="right"/>
              <w:ind w:right="40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18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jc w:val="center"/>
              <w:ind w:left="55"/>
              <w:spacing w:after="0"/>
              <w:rPr>
                <w:sz w:val="20"/>
                <w:szCs w:val="20"/>
                <w:color w:val="auto"/>
              </w:rPr>
            </w:pPr>
            <w:r>
              <w:rPr>
                <w:rFonts w:ascii="Arial" w:cs="Arial" w:eastAsia="Arial" w:hAnsi="Arial"/>
                <w:sz w:val="14"/>
                <w:szCs w:val="14"/>
                <w:b w:val="1"/>
                <w:bCs w:val="1"/>
                <w:i w:val="1"/>
                <w:iCs w:val="1"/>
                <w:color w:val="auto"/>
                <w:w w:val="88"/>
              </w:rPr>
              <w:t>($ in thousands)</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217,151</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204,785</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732,180</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675,702</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8.4 %</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374,066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3.5 %</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30,331</w:t>
            </w:r>
          </w:p>
        </w:tc>
        <w:tc>
          <w:tcPr>
            <w:tcW w:w="1180" w:type="dxa"/>
            <w:vAlign w:val="bottom"/>
            <w:tcBorders>
              <w:bottom w:val="single" w:sz="8" w:color="CCEEFF"/>
            </w:tcBorders>
          </w:tcPr>
          <w:p>
            <w:pPr>
              <w:jc w:val="right"/>
              <w:ind w:right="115"/>
              <w:spacing w:after="0"/>
              <w:rPr>
                <w:sz w:val="20"/>
                <w:szCs w:val="20"/>
                <w:color w:val="auto"/>
              </w:rPr>
            </w:pPr>
            <w:r>
              <w:rPr>
                <w:rFonts w:ascii="Arial" w:cs="Arial" w:eastAsia="Arial" w:hAnsi="Arial"/>
                <w:sz w:val="18"/>
                <w:szCs w:val="18"/>
                <w:i w:val="1"/>
                <w:iCs w:val="1"/>
                <w:color w:val="auto"/>
              </w:rPr>
              <w:t>—</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68,387</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(78.4)%</w:t>
            </w: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342,503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358,505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w:t>
            </w: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1,134,137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1,118,155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1.4 %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written premiums: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140,984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(12.7)%</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432,698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18,929</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21.2 %</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57,524</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36.9 %</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(88.5)%</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70,579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(76.1)%</w:t>
            </w:r>
          </w:p>
        </w:tc>
        <w:tc>
          <w:tcPr>
            <w:tcW w:w="0" w:type="dxa"/>
            <w:vAlign w:val="bottom"/>
          </w:tcPr>
          <w:p>
            <w:pPr>
              <w:spacing w:after="0"/>
              <w:rPr>
                <w:sz w:val="1"/>
                <w:szCs w:val="1"/>
                <w:color w:val="auto"/>
              </w:rPr>
            </w:pPr>
          </w:p>
        </w:tc>
      </w:tr>
      <w:tr>
        <w:trPr>
          <w:trHeight w:val="219"/>
        </w:trPr>
        <w:tc>
          <w:tcPr>
            <w:tcW w:w="34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149,473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190,251</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(21.4)%</w:t>
            </w: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538,551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560,801</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(4.0)%</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157,600</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139,095</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13.3 %</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455,640</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408,280</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11.6 %</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46.3 %</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27.4 %</w:t>
            </w:r>
          </w:p>
        </w:tc>
        <w:tc>
          <w:tcPr>
            <w:tcW w:w="0" w:type="dxa"/>
            <w:vAlign w:val="bottom"/>
          </w:tcPr>
          <w:p>
            <w:pPr>
              <w:spacing w:after="0"/>
              <w:rPr>
                <w:sz w:val="1"/>
                <w:szCs w:val="1"/>
                <w:color w:val="auto"/>
              </w:rPr>
            </w:pPr>
          </w:p>
        </w:tc>
      </w:tr>
      <w:tr>
        <w:trPr>
          <w:trHeight w:val="225"/>
        </w:trPr>
        <w:tc>
          <w:tcPr>
            <w:tcW w:w="3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33,270</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(43.0)%</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102,712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(20.1)%</w:t>
            </w: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190,189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6.5 %</w:t>
            </w:r>
          </w:p>
        </w:tc>
        <w:tc>
          <w:tcPr>
            <w:tcW w:w="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608,075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566,275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7.4 %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Gross written premiums for the Excess and Surplus Lines segment (which represents 64.6% of our consolidated gross written premiums in the nine months ended September 30, 2023) increased 6.0% and 8.4% over the corresponding three and nine month periods in the prior year. The growth is driven by our Core E&amp;S lines, as we continue to de-emphasize commercial auto. Total policy submissions for Core E&amp;S lines (excluding commercial auto) increased 4.8% from the prior year and our ratio of bound policies to quoted policies was also higher, generating 2.4% more bound policies in the nine months ended September 30, 2023 than in the nine months ended September 30, 2022. The total number of policies in force for the segment increased 9.0% over the prior year as the segment is focused on growing new business with smaller account sizes. Renewal rates for the Excess and Surplus Lines segment were up 12.4% and 10.7% compared to the three and nine months ended September 30, 2022, respectively. The change in gross written premiums was notable in several divisions as shown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gridSpan w:val="2"/>
            <w:vMerge w:val="restart"/>
          </w:tcPr>
          <w:p>
            <w:pPr>
              <w:jc w:val="right"/>
              <w:ind w:right="40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jc w:val="center"/>
              <w:ind w:left="37"/>
              <w:spacing w:after="0"/>
              <w:rPr>
                <w:sz w:val="20"/>
                <w:szCs w:val="20"/>
                <w:color w:val="auto"/>
              </w:rPr>
            </w:pPr>
            <w:r>
              <w:rPr>
                <w:rFonts w:ascii="Arial" w:cs="Arial" w:eastAsia="Arial" w:hAnsi="Arial"/>
                <w:sz w:val="14"/>
                <w:szCs w:val="14"/>
                <w:b w:val="1"/>
                <w:bCs w:val="1"/>
                <w:i w:val="1"/>
                <w:iCs w:val="1"/>
                <w:color w:val="auto"/>
                <w:w w:val="88"/>
              </w:rPr>
              <w:t>($ in thousands)</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240,955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9.4 %</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General Casualty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33,321</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42.1 %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145,625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122,835</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18.6 %</w:t>
            </w: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Manufacturers &amp; Contractors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12.4 %</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Excess Property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9,376</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12.6 %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52,646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38,924</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35.3 %</w:t>
            </w: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Core E&amp;S divisions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142,159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w:t>
            </w:r>
          </w:p>
        </w:tc>
        <w:tc>
          <w:tcPr>
            <w:tcW w:w="0" w:type="dxa"/>
            <w:vAlign w:val="bottom"/>
          </w:tcPr>
          <w:p>
            <w:pPr>
              <w:spacing w:after="0"/>
              <w:rPr>
                <w:sz w:val="1"/>
                <w:szCs w:val="1"/>
                <w:color w:val="auto"/>
              </w:rPr>
            </w:pPr>
          </w:p>
        </w:tc>
      </w:tr>
      <w:tr>
        <w:trPr>
          <w:trHeight w:val="218"/>
        </w:trPr>
        <w:tc>
          <w:tcPr>
            <w:tcW w:w="3440" w:type="dxa"/>
            <w:vAlign w:val="bottom"/>
          </w:tcPr>
          <w:p>
            <w:pPr>
              <w:ind w:left="20"/>
              <w:spacing w:after="0"/>
              <w:rPr>
                <w:sz w:val="20"/>
                <w:szCs w:val="20"/>
                <w:color w:val="auto"/>
              </w:rPr>
            </w:pPr>
            <w:r>
              <w:rPr>
                <w:rFonts w:ascii="Arial" w:cs="Arial" w:eastAsia="Arial" w:hAnsi="Arial"/>
                <w:sz w:val="18"/>
                <w:szCs w:val="18"/>
                <w:color w:val="auto"/>
              </w:rPr>
              <w:t>Total Core E&amp;S divisions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208,046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188,620</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10.3 %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709,483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640,496</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10.8 %</w:t>
            </w: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Auto</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(35.5)%</w:t>
            </w:r>
          </w:p>
        </w:tc>
        <w:tc>
          <w:tcPr>
            <w:tcW w:w="0" w:type="dxa"/>
            <w:vAlign w:val="bottom"/>
          </w:tcPr>
          <w:p>
            <w:pPr>
              <w:spacing w:after="0"/>
              <w:rPr>
                <w:sz w:val="1"/>
                <w:szCs w:val="1"/>
                <w:color w:val="auto"/>
              </w:rPr>
            </w:pPr>
          </w:p>
        </w:tc>
      </w:tr>
      <w:tr>
        <w:trPr>
          <w:trHeight w:val="153"/>
        </w:trPr>
        <w:tc>
          <w:tcPr>
            <w:tcW w:w="3440" w:type="dxa"/>
            <w:vAlign w:val="bottom"/>
          </w:tcPr>
          <w:p>
            <w:pPr>
              <w:ind w:left="20"/>
              <w:spacing w:after="0" w:line="154" w:lineRule="exact"/>
              <w:rPr>
                <w:sz w:val="20"/>
                <w:szCs w:val="20"/>
                <w:color w:val="auto"/>
              </w:rPr>
            </w:pPr>
            <w:r>
              <w:rPr>
                <w:rFonts w:ascii="Arial" w:cs="Arial" w:eastAsia="Arial" w:hAnsi="Arial"/>
                <w:sz w:val="17"/>
                <w:szCs w:val="17"/>
                <w:color w:val="auto"/>
              </w:rPr>
              <w:t>Excess and Surplus Lines gross written</w:t>
            </w:r>
          </w:p>
        </w:tc>
        <w:tc>
          <w:tcPr>
            <w:tcW w:w="300" w:type="dxa"/>
            <w:vAlign w:val="bottom"/>
            <w:vMerge w:val="restart"/>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217,151</w:t>
            </w:r>
          </w:p>
        </w:tc>
        <w:tc>
          <w:tcPr>
            <w:tcW w:w="120" w:type="dxa"/>
            <w:vAlign w:val="bottom"/>
          </w:tcPr>
          <w:p>
            <w:pPr>
              <w:spacing w:after="0"/>
              <w:rPr>
                <w:sz w:val="13"/>
                <w:szCs w:val="13"/>
                <w:color w:val="auto"/>
              </w:rPr>
            </w:pPr>
          </w:p>
        </w:tc>
        <w:tc>
          <w:tcPr>
            <w:tcW w:w="440" w:type="dxa"/>
            <w:vAlign w:val="bottom"/>
            <w:vMerge w:val="restart"/>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204,785</w:t>
            </w:r>
          </w:p>
        </w:tc>
        <w:tc>
          <w:tcPr>
            <w:tcW w:w="1200" w:type="dxa"/>
            <w:vAlign w:val="bottom"/>
          </w:tcPr>
          <w:p>
            <w:pPr>
              <w:spacing w:after="0"/>
              <w:rPr>
                <w:sz w:val="13"/>
                <w:szCs w:val="13"/>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732,180</w:t>
            </w:r>
          </w:p>
        </w:tc>
        <w:tc>
          <w:tcPr>
            <w:tcW w:w="100" w:type="dxa"/>
            <w:vAlign w:val="bottom"/>
          </w:tcPr>
          <w:p>
            <w:pPr>
              <w:spacing w:after="0"/>
              <w:rPr>
                <w:sz w:val="13"/>
                <w:szCs w:val="13"/>
                <w:color w:val="auto"/>
              </w:rPr>
            </w:pPr>
          </w:p>
        </w:tc>
        <w:tc>
          <w:tcPr>
            <w:tcW w:w="440" w:type="dxa"/>
            <w:vAlign w:val="bottom"/>
            <w:vMerge w:val="restart"/>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675,702</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premium</w:t>
            </w: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400" w:type="dxa"/>
            <w:vAlign w:val="bottom"/>
            <w:tcBorders>
              <w:bottom w:val="single" w:sz="8" w:color="auto"/>
            </w:tcBorders>
            <w:gridSpan w:val="2"/>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8.4 %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273"/>
              <w:spacing w:after="0"/>
              <w:rPr>
                <w:sz w:val="20"/>
                <w:szCs w:val="20"/>
                <w:color w:val="auto"/>
              </w:rPr>
            </w:pPr>
            <w:r>
              <w:rPr>
                <w:rFonts w:ascii="Arial" w:cs="Arial" w:eastAsia="Arial" w:hAnsi="Arial"/>
                <w:sz w:val="18"/>
                <w:szCs w:val="18"/>
                <w:color w:val="auto"/>
              </w:rPr>
              <w:t>42</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34.1% of our consolidated gross written premiums for the nine months ended September 30, 2023)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vMerge w:val="restart"/>
          </w:tcPr>
          <w:p>
            <w:pPr>
              <w:jc w:val="center"/>
              <w:ind w:left="4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gridSpan w:val="2"/>
            <w:vMerge w:val="restart"/>
          </w:tcPr>
          <w:p>
            <w:pPr>
              <w:jc w:val="right"/>
              <w:ind w:right="40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80" w:type="dxa"/>
            <w:vAlign w:val="bottom"/>
          </w:tcPr>
          <w:p>
            <w:pPr>
              <w:jc w:val="center"/>
              <w:ind w:left="61"/>
              <w:spacing w:after="0"/>
              <w:rPr>
                <w:sz w:val="20"/>
                <w:szCs w:val="20"/>
                <w:color w:val="auto"/>
              </w:rPr>
            </w:pPr>
            <w:r>
              <w:rPr>
                <w:rFonts w:ascii="Arial" w:cs="Arial" w:eastAsia="Arial" w:hAnsi="Arial"/>
                <w:sz w:val="14"/>
                <w:szCs w:val="14"/>
                <w:b w:val="1"/>
                <w:bCs w:val="1"/>
                <w:i w:val="1"/>
                <w:iCs w:val="1"/>
                <w:color w:val="auto"/>
                <w:w w:val="88"/>
              </w:rPr>
              <w:t>($ in thousands)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Fronting and program premium</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114,726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3.3 %</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351,833</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334,233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5.3 %</w:t>
            </w:r>
          </w:p>
        </w:tc>
        <w:tc>
          <w:tcPr>
            <w:tcW w:w="0" w:type="dxa"/>
            <w:vAlign w:val="bottom"/>
          </w:tcPr>
          <w:p>
            <w:pPr>
              <w:spacing w:after="0"/>
              <w:rPr>
                <w:sz w:val="1"/>
                <w:szCs w:val="1"/>
                <w:color w:val="auto"/>
              </w:rPr>
            </w:pPr>
          </w:p>
        </w:tc>
      </w:tr>
      <w:tr>
        <w:trPr>
          <w:trHeight w:val="173"/>
        </w:trPr>
        <w:tc>
          <w:tcPr>
            <w:tcW w:w="3420" w:type="dxa"/>
            <w:vAlign w:val="bottom"/>
          </w:tcPr>
          <w:p>
            <w:pPr>
              <w:ind w:left="20"/>
              <w:spacing w:after="0" w:line="173" w:lineRule="exact"/>
              <w:rPr>
                <w:sz w:val="20"/>
                <w:szCs w:val="20"/>
                <w:color w:val="auto"/>
              </w:rPr>
            </w:pPr>
            <w:r>
              <w:rPr>
                <w:rFonts w:ascii="Arial" w:cs="Arial" w:eastAsia="Arial" w:hAnsi="Arial"/>
                <w:sz w:val="18"/>
                <w:szCs w:val="18"/>
                <w:color w:val="auto"/>
              </w:rPr>
              <w:t>Individual risk workers’ compensation</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premium</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10,974</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(11.1)%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35,342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39,833</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(11.3)%</w:t>
            </w: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Specialty Admitted gross written premium</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125,700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123,389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4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387,175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374,066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3.5 %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fronting written premium increased over the prior year driven primarily by the continued expansion of existing fronting relationships. Our two largest fronting relationships represented $66.9 million and $200.8 million (53.2% and 51.9%) of segment gross written premium for the three and nine months ended September 30, 2023, respectively, compared to $61.7 million and $174.5 million (50.0% and 46.7%) for the three and nine months ended September 30, 2022, respectively. Individual risk workers' compensation premium declined for the comparable three and nine month periods as we maintained underwriting discipline against continued soft market conditions for workers' compensation.</w:t>
      </w:r>
    </w:p>
    <w:p>
      <w:pPr>
        <w:spacing w:after="0" w:line="8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June 2023, the Company non-renewed its large California workers' compensation program in the Specialty Admitted Insurance segment. This action was taken due to persistent rate pressure and tighter reinsurance capacity. On September 29, 2023, the Company closed on an agreement to sell the renewal rights to the IRWC business in the Specialty Admitted Insurance segment. The transaction is aligned with our strategy to focus our resources on core businesses where we have meaningful scale. Together, the large California program and IRWC business represent 29.5% of the Specialty Admitted Insurance segment's gross written premiums and 10.1% of consolidated gross written premiums for the nine months ended September 30, 2023.</w:t>
      </w:r>
    </w:p>
    <w:p>
      <w:pPr>
        <w:spacing w:after="0" w:line="45"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The Company suspended writing business in the Casualty Reinsurance segment earlier this year, and we are now focused on growing our higher returning U.S. insurance businesses. The gross written premiums of $(348,000) and $14.8 million for the Casualty Reinsurance segment in the three and nine months ended September 30, 2023 represent adjustments to written premium estimates for prior year treaties.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net premium retention is summarized by segment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819"/>
              <w:spacing w:after="0"/>
              <w:rPr>
                <w:sz w:val="20"/>
                <w:szCs w:val="20"/>
                <w:color w:val="auto"/>
              </w:rPr>
            </w:pPr>
            <w:r>
              <w:rPr>
                <w:rFonts w:ascii="Arial" w:cs="Arial" w:eastAsia="Arial" w:hAnsi="Arial"/>
                <w:sz w:val="14"/>
                <w:szCs w:val="14"/>
                <w:b w:val="1"/>
                <w:bCs w:val="1"/>
                <w:color w:val="auto"/>
                <w:w w:val="91"/>
              </w:rPr>
              <w:t>Nine Months Ended</w:t>
            </w:r>
          </w:p>
        </w:tc>
        <w:tc>
          <w:tcPr>
            <w:tcW w:w="900" w:type="dxa"/>
            <w:vAlign w:val="bottom"/>
          </w:tcPr>
          <w:p>
            <w:pPr>
              <w:spacing w:after="0"/>
              <w:rPr>
                <w:sz w:val="14"/>
                <w:szCs w:val="14"/>
                <w:color w:val="auto"/>
              </w:rPr>
            </w:pPr>
          </w:p>
        </w:tc>
      </w:tr>
      <w:tr>
        <w:trPr>
          <w:trHeight w:val="192"/>
        </w:trPr>
        <w:tc>
          <w:tcPr>
            <w:tcW w:w="5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Borders>
              <w:bottom w:val="single" w:sz="8" w:color="auto"/>
            </w:tcBorders>
          </w:tcPr>
          <w:p>
            <w:pPr>
              <w:spacing w:after="0"/>
              <w:rPr>
                <w:sz w:val="16"/>
                <w:szCs w:val="16"/>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9"/>
              </w:rPr>
              <w:t>2022</w:t>
            </w:r>
          </w:p>
        </w:tc>
      </w:tr>
      <w:tr>
        <w:trPr>
          <w:trHeight w:val="225"/>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56.7 %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r>
      <w:tr>
        <w:trPr>
          <w:trHeight w:val="225"/>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Specialty Admitted Insurance</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18.2 %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26"/>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103.2 %</w:t>
            </w:r>
          </w:p>
        </w:tc>
      </w:tr>
      <w:tr>
        <w:trPr>
          <w:trHeight w:val="224"/>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43.6 %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50.2 %</w:t>
            </w:r>
          </w:p>
        </w:tc>
      </w:tr>
    </w:tbl>
    <w:p>
      <w:pPr>
        <w:spacing w:after="0" w:line="17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Lower net premium retention for the Excess and Surplus Lines segment was primarily driven by the renewal of a quota share treaty, effective July 1, 2023, that increased premium cessions across all underwriting divisions other than Excess Casualty and resulted in lower retentions for the segment. Net premium retention for the nine months ended September 30, 2023 was also impacted by $12.3 million of reinstatement premium, resulting in a 1.7% decrease in the Excess and Surplus Lines net premium retention.</w:t>
      </w:r>
    </w:p>
    <w:p>
      <w:pPr>
        <w:spacing w:after="0" w:line="8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net premium retention for the Specialty Admitted Insurance segment increased for the three and nine months ended September 30, 2023 as compared to the prior year primarily due to the termination of an individual risk workers' compensation quota share treaty effective January 1, 2023. The net retention on the individual risk workers’ compensation business was 78.0% and 75.0% for the three and nine months ended September 30, 2023, respectively, compared to 29.6% and 29.9% for the three and nine months ended September 30, 2022, respectively. Net retention on the fronting business, which reflects the mix of business and changes in reinsurance coverage as treaties renew, was 12.5% and 14.9% for the three and nine months ended September 30, 2023, respectively, compared to 13.8% and 13.6% for the three and nine months ended September 30, 2022,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Casualty Reinsurance segment previously wrote a retrocessional treaty/fronting arrangement under which 100% of the premiums were ceded. The treaty was nonrenewed for 2022 and net retentions above or below 100% in the respective periods reflect adjustments to prior year assumed and ceded written premiums on the treaty.</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runoff of the Casualty Reinsurance business, for which the premiums were largely retained, also contributed to the lower net retention for the Company in the three and nine months ended September 30, 2023.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combined ratios by segment: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1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88.2 %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85.3 %</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92.5 %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98.4 %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97.3 %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96.8 %</w:t>
            </w: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122.2 %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90.9 %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103.6 %</w:t>
            </w:r>
          </w:p>
        </w:tc>
        <w:tc>
          <w:tcPr>
            <w:tcW w:w="0" w:type="dxa"/>
            <w:vAlign w:val="bottom"/>
          </w:tcPr>
          <w:p>
            <w:pPr>
              <w:spacing w:after="0"/>
              <w:rPr>
                <w:sz w:val="1"/>
                <w:szCs w:val="1"/>
                <w:color w:val="auto"/>
              </w:rPr>
            </w:pPr>
          </w:p>
        </w:tc>
      </w:tr>
      <w:tr>
        <w:trPr>
          <w:trHeight w:val="224"/>
        </w:trPr>
        <w:tc>
          <w:tcPr>
            <w:tcW w:w="31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96.2 %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94.1 %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9"/>
              </w:rPr>
              <w:t>97.2 %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94.2 %</w:t>
            </w:r>
          </w:p>
        </w:tc>
        <w:tc>
          <w:tcPr>
            <w:tcW w:w="0" w:type="dxa"/>
            <w:vAlign w:val="bottom"/>
          </w:tcPr>
          <w:p>
            <w:pPr>
              <w:spacing w:after="0"/>
              <w:rPr>
                <w:sz w:val="1"/>
                <w:szCs w:val="1"/>
                <w:color w:val="auto"/>
              </w:rPr>
            </w:pPr>
          </w:p>
        </w:tc>
      </w:tr>
      <w:tr>
        <w:trPr>
          <w:trHeight w:val="464"/>
        </w:trPr>
        <w:tc>
          <w:tcPr>
            <w:tcW w:w="3160" w:type="dxa"/>
            <w:vAlign w:val="bottom"/>
          </w:tcPr>
          <w:p>
            <w:pPr>
              <w:spacing w:after="0"/>
              <w:rPr>
                <w:sz w:val="20"/>
                <w:szCs w:val="20"/>
                <w:color w:val="auto"/>
              </w:rPr>
            </w:pPr>
            <w:r>
              <w:rPr>
                <w:rFonts w:ascii="Arial" w:cs="Arial" w:eastAsia="Arial" w:hAnsi="Arial"/>
                <w:sz w:val="18"/>
                <w:szCs w:val="18"/>
                <w:i w:val="1"/>
                <w:iCs w:val="1"/>
                <w:color w:val="auto"/>
              </w:rPr>
              <w:t>Excess and Surplus Lines Segment</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80" w:type="dxa"/>
            <w:vAlign w:val="bottom"/>
            <w:gridSpan w:val="5"/>
          </w:tcPr>
          <w:p>
            <w:pPr>
              <w:ind w:left="320"/>
              <w:spacing w:after="0"/>
              <w:rPr>
                <w:sz w:val="20"/>
                <w:szCs w:val="20"/>
                <w:color w:val="auto"/>
              </w:rPr>
            </w:pPr>
            <w:r>
              <w:rPr>
                <w:rFonts w:ascii="Arial" w:cs="Arial" w:eastAsia="Arial" w:hAnsi="Arial"/>
                <w:sz w:val="18"/>
                <w:szCs w:val="18"/>
                <w:color w:val="auto"/>
                <w:w w:val="90"/>
              </w:rPr>
              <w:t>Results for the Excess and Surplus Lines segment are as follows: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2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4"/>
            <w:vMerge w:val="restart"/>
          </w:tcPr>
          <w:p>
            <w:pPr>
              <w:jc w:val="center"/>
              <w:ind w:left="5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0" w:type="dxa"/>
            <w:vAlign w:val="bottom"/>
            <w:gridSpan w:val="10"/>
          </w:tcPr>
          <w:p>
            <w:pPr>
              <w:ind w:left="520"/>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8"/>
              </w:rPr>
              <w:t>($ 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217,151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204,785</w:t>
            </w: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6.0 %</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732,180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675,702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8.4 %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0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8"/>
              <w:spacing w:after="0" w:line="198" w:lineRule="exact"/>
              <w:rPr>
                <w:sz w:val="20"/>
                <w:szCs w:val="20"/>
                <w:color w:val="auto"/>
              </w:rPr>
            </w:pPr>
            <w:r>
              <w:rPr>
                <w:rFonts w:ascii="Arial" w:cs="Arial" w:eastAsia="Arial" w:hAnsi="Arial"/>
                <w:sz w:val="18"/>
                <w:szCs w:val="18"/>
                <w:color w:val="auto"/>
              </w:rPr>
              <w:t>123,046</w:t>
            </w:r>
          </w:p>
        </w:tc>
        <w:tc>
          <w:tcPr>
            <w:tcW w:w="120" w:type="dxa"/>
            <w:vAlign w:val="bottom"/>
          </w:tcPr>
          <w:p>
            <w:pPr>
              <w:spacing w:after="0"/>
              <w:rPr>
                <w:sz w:val="17"/>
                <w:szCs w:val="17"/>
                <w:color w:val="auto"/>
              </w:rPr>
            </w:pPr>
          </w:p>
        </w:tc>
        <w:tc>
          <w:tcPr>
            <w:tcW w:w="440" w:type="dxa"/>
            <w:vAlign w:val="bottom"/>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16"/>
              <w:spacing w:after="0" w:line="198" w:lineRule="exact"/>
              <w:rPr>
                <w:sz w:val="20"/>
                <w:szCs w:val="20"/>
                <w:color w:val="auto"/>
              </w:rPr>
            </w:pPr>
            <w:r>
              <w:rPr>
                <w:rFonts w:ascii="Arial" w:cs="Arial" w:eastAsia="Arial" w:hAnsi="Arial"/>
                <w:sz w:val="18"/>
                <w:szCs w:val="18"/>
                <w:color w:val="auto"/>
              </w:rPr>
              <w:t>140,984</w:t>
            </w:r>
          </w:p>
        </w:tc>
        <w:tc>
          <w:tcPr>
            <w:tcW w:w="1360" w:type="dxa"/>
            <w:vAlign w:val="bottom"/>
            <w:gridSpan w:val="4"/>
          </w:tcPr>
          <w:p>
            <w:pPr>
              <w:jc w:val="right"/>
              <w:ind w:right="100"/>
              <w:spacing w:after="0" w:line="198" w:lineRule="exact"/>
              <w:rPr>
                <w:sz w:val="20"/>
                <w:szCs w:val="20"/>
                <w:color w:val="auto"/>
              </w:rPr>
            </w:pPr>
            <w:r>
              <w:rPr>
                <w:rFonts w:ascii="Arial" w:cs="Arial" w:eastAsia="Arial" w:hAnsi="Arial"/>
                <w:sz w:val="18"/>
                <w:szCs w:val="18"/>
                <w:i w:val="1"/>
                <w:iCs w:val="1"/>
                <w:color w:val="auto"/>
              </w:rPr>
              <w:t>(12.7)%</w:t>
            </w:r>
          </w:p>
        </w:tc>
        <w:tc>
          <w:tcPr>
            <w:tcW w:w="300" w:type="dxa"/>
            <w:vAlign w:val="bottom"/>
            <w:gridSpan w:val="2"/>
          </w:tcPr>
          <w:p>
            <w:pPr>
              <w:jc w:val="right"/>
              <w:ind w:right="92"/>
              <w:spacing w:after="0" w:line="198" w:lineRule="exact"/>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149"/>
              <w:spacing w:after="0" w:line="198" w:lineRule="exact"/>
              <w:rPr>
                <w:sz w:val="20"/>
                <w:szCs w:val="20"/>
                <w:color w:val="auto"/>
              </w:rPr>
            </w:pPr>
            <w:r>
              <w:rPr>
                <w:rFonts w:ascii="Arial" w:cs="Arial" w:eastAsia="Arial" w:hAnsi="Arial"/>
                <w:sz w:val="18"/>
                <w:szCs w:val="18"/>
                <w:color w:val="auto"/>
              </w:rPr>
              <w:t>442,923</w:t>
            </w:r>
          </w:p>
        </w:tc>
        <w:tc>
          <w:tcPr>
            <w:tcW w:w="100" w:type="dxa"/>
            <w:vAlign w:val="bottom"/>
          </w:tcPr>
          <w:p>
            <w:pPr>
              <w:spacing w:after="0"/>
              <w:rPr>
                <w:sz w:val="17"/>
                <w:szCs w:val="17"/>
                <w:color w:val="auto"/>
              </w:rPr>
            </w:pPr>
          </w:p>
        </w:tc>
        <w:tc>
          <w:tcPr>
            <w:tcW w:w="400" w:type="dxa"/>
            <w:vAlign w:val="bottom"/>
          </w:tcPr>
          <w:p>
            <w:pPr>
              <w:jc w:val="right"/>
              <w:ind w:right="195"/>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200"/>
              <w:spacing w:after="0" w:line="198" w:lineRule="exact"/>
              <w:rPr>
                <w:sz w:val="20"/>
                <w:szCs w:val="20"/>
                <w:color w:val="auto"/>
              </w:rPr>
            </w:pPr>
            <w:r>
              <w:rPr>
                <w:rFonts w:ascii="Arial" w:cs="Arial" w:eastAsia="Arial" w:hAnsi="Arial"/>
                <w:sz w:val="18"/>
                <w:szCs w:val="18"/>
                <w:color w:val="auto"/>
              </w:rPr>
              <w:t>432,698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Arial" w:cs="Arial" w:eastAsia="Arial" w:hAnsi="Arial"/>
                <w:sz w:val="18"/>
                <w:szCs w:val="18"/>
                <w:i w:val="1"/>
                <w:iCs w:val="1"/>
                <w:color w:val="auto"/>
              </w:rPr>
              <w:t>2.4 %</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157,600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139,095</w:t>
            </w:r>
          </w:p>
        </w:tc>
        <w:tc>
          <w:tcPr>
            <w:tcW w:w="13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13.3 %</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149"/>
              <w:spacing w:after="0"/>
              <w:rPr>
                <w:sz w:val="20"/>
                <w:szCs w:val="20"/>
                <w:color w:val="auto"/>
              </w:rPr>
            </w:pPr>
            <w:r>
              <w:rPr>
                <w:rFonts w:ascii="Arial" w:cs="Arial" w:eastAsia="Arial" w:hAnsi="Arial"/>
                <w:sz w:val="18"/>
                <w:szCs w:val="18"/>
                <w:color w:val="auto"/>
              </w:rPr>
              <w:t>455,640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408,280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11.6 %</w:t>
            </w:r>
          </w:p>
        </w:tc>
        <w:tc>
          <w:tcPr>
            <w:tcW w:w="0" w:type="dxa"/>
            <w:vAlign w:val="bottom"/>
          </w:tcPr>
          <w:p>
            <w:pPr>
              <w:spacing w:after="0"/>
              <w:rPr>
                <w:sz w:val="1"/>
                <w:szCs w:val="1"/>
                <w:color w:val="auto"/>
              </w:rPr>
            </w:pPr>
          </w:p>
        </w:tc>
      </w:tr>
      <w:tr>
        <w:trPr>
          <w:trHeight w:val="173"/>
        </w:trPr>
        <w:tc>
          <w:tcPr>
            <w:tcW w:w="3160" w:type="dxa"/>
            <w:vAlign w:val="bottom"/>
          </w:tcPr>
          <w:p>
            <w:pPr>
              <w:ind w:left="20"/>
              <w:spacing w:after="0" w:line="173" w:lineRule="exact"/>
              <w:rPr>
                <w:sz w:val="20"/>
                <w:szCs w:val="20"/>
                <w:color w:val="auto"/>
              </w:rPr>
            </w:pPr>
            <w:r>
              <w:rPr>
                <w:rFonts w:ascii="Arial" w:cs="Arial" w:eastAsia="Arial" w:hAnsi="Arial"/>
                <w:sz w:val="18"/>
                <w:szCs w:val="18"/>
                <w:color w:val="auto"/>
              </w:rPr>
              <w:t>Losses and loss adjustment expenses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excluding retroactive reinsurance</w:t>
            </w:r>
          </w:p>
        </w:tc>
        <w:tc>
          <w:tcPr>
            <w:tcW w:w="300" w:type="dxa"/>
            <w:vAlign w:val="bottom"/>
          </w:tcPr>
          <w:p>
            <w:pPr>
              <w:spacing w:after="0"/>
              <w:rPr>
                <w:sz w:val="20"/>
                <w:szCs w:val="20"/>
                <w:color w:val="auto"/>
              </w:rPr>
            </w:pPr>
          </w:p>
        </w:tc>
        <w:tc>
          <w:tcPr>
            <w:tcW w:w="1060" w:type="dxa"/>
            <w:vAlign w:val="bottom"/>
          </w:tcPr>
          <w:p>
            <w:pPr>
              <w:jc w:val="right"/>
              <w:ind w:right="78"/>
              <w:spacing w:after="0"/>
              <w:rPr>
                <w:sz w:val="20"/>
                <w:szCs w:val="20"/>
                <w:color w:val="auto"/>
              </w:rPr>
            </w:pPr>
            <w:r>
              <w:rPr>
                <w:rFonts w:ascii="Arial" w:cs="Arial" w:eastAsia="Arial" w:hAnsi="Arial"/>
                <w:sz w:val="18"/>
                <w:szCs w:val="18"/>
                <w:color w:val="auto"/>
              </w:rPr>
              <w:t>(103,077)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(96,355)</w:t>
            </w:r>
          </w:p>
        </w:tc>
        <w:tc>
          <w:tcPr>
            <w:tcW w:w="13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7.0 %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3"/>
          </w:tcPr>
          <w:p>
            <w:pPr>
              <w:jc w:val="right"/>
              <w:ind w:right="109"/>
              <w:spacing w:after="0"/>
              <w:rPr>
                <w:sz w:val="20"/>
                <w:szCs w:val="20"/>
                <w:color w:val="auto"/>
              </w:rPr>
            </w:pPr>
            <w:r>
              <w:rPr>
                <w:rFonts w:ascii="Arial" w:cs="Arial" w:eastAsia="Arial" w:hAnsi="Arial"/>
                <w:sz w:val="18"/>
                <w:szCs w:val="18"/>
                <w:color w:val="auto"/>
              </w:rPr>
              <w:t>(307,364)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(270,464)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13.6 %</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(36,181)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(26,338)</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37.4 %</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ind w:right="109"/>
              <w:spacing w:after="0"/>
              <w:rPr>
                <w:sz w:val="20"/>
                <w:szCs w:val="20"/>
                <w:color w:val="auto"/>
              </w:rPr>
            </w:pPr>
            <w:r>
              <w:rPr>
                <w:rFonts w:ascii="Arial" w:cs="Arial" w:eastAsia="Arial" w:hAnsi="Arial"/>
                <w:sz w:val="18"/>
                <w:szCs w:val="18"/>
                <w:color w:val="auto"/>
              </w:rPr>
              <w:t>(102,827)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(77,623)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32.5 %</w:t>
            </w:r>
          </w:p>
        </w:tc>
        <w:tc>
          <w:tcPr>
            <w:tcW w:w="0" w:type="dxa"/>
            <w:vAlign w:val="bottom"/>
          </w:tcPr>
          <w:p>
            <w:pPr>
              <w:spacing w:after="0"/>
              <w:rPr>
                <w:sz w:val="1"/>
                <w:szCs w:val="1"/>
                <w:color w:val="auto"/>
              </w:rPr>
            </w:pPr>
          </w:p>
        </w:tc>
      </w:tr>
      <w:tr>
        <w:trPr>
          <w:trHeight w:val="219"/>
        </w:trPr>
        <w:tc>
          <w:tcPr>
            <w:tcW w:w="3160" w:type="dxa"/>
            <w:vAlign w:val="bottom"/>
          </w:tcPr>
          <w:p>
            <w:pPr>
              <w:ind w:left="2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8"/>
              <w:spacing w:after="0"/>
              <w:rPr>
                <w:sz w:val="20"/>
                <w:szCs w:val="20"/>
                <w:color w:val="auto"/>
              </w:rPr>
            </w:pPr>
            <w:r>
              <w:rPr>
                <w:rFonts w:ascii="Arial" w:cs="Arial" w:eastAsia="Arial" w:hAnsi="Arial"/>
                <w:sz w:val="18"/>
                <w:szCs w:val="18"/>
                <w:color w:val="auto"/>
              </w:rPr>
              <w:t>18,342</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16,402</w:t>
            </w:r>
          </w:p>
        </w:tc>
        <w:tc>
          <w:tcPr>
            <w:tcW w:w="136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11.8 %</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149"/>
              <w:spacing w:after="0"/>
              <w:rPr>
                <w:sz w:val="20"/>
                <w:szCs w:val="20"/>
                <w:color w:val="auto"/>
              </w:rPr>
            </w:pPr>
            <w:r>
              <w:rPr>
                <w:rFonts w:ascii="Arial" w:cs="Arial" w:eastAsia="Arial" w:hAnsi="Arial"/>
                <w:sz w:val="18"/>
                <w:szCs w:val="18"/>
                <w:color w:val="auto"/>
              </w:rPr>
              <w:t>45,449</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60,193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(24.5)%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60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4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65.4 %</w:t>
            </w:r>
          </w:p>
        </w:tc>
        <w:tc>
          <w:tcPr>
            <w:tcW w:w="2060" w:type="dxa"/>
            <w:vAlign w:val="bottom"/>
          </w:tcPr>
          <w:p>
            <w:pPr>
              <w:jc w:val="right"/>
              <w:ind w:right="972"/>
              <w:spacing w:after="0"/>
              <w:rPr>
                <w:sz w:val="20"/>
                <w:szCs w:val="20"/>
                <w:color w:val="auto"/>
              </w:rPr>
            </w:pPr>
            <w:r>
              <w:rPr>
                <w:rFonts w:ascii="Arial" w:cs="Arial" w:eastAsia="Arial" w:hAnsi="Arial"/>
                <w:sz w:val="18"/>
                <w:szCs w:val="18"/>
                <w:color w:val="auto"/>
              </w:rPr>
              <w:t>69.3 %</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67.5 %</w:t>
            </w:r>
          </w:p>
        </w:tc>
        <w:tc>
          <w:tcPr>
            <w:tcW w:w="2160" w:type="dxa"/>
            <w:vAlign w:val="bottom"/>
          </w:tcPr>
          <w:p>
            <w:pPr>
              <w:jc w:val="right"/>
              <w:ind w:right="1072"/>
              <w:spacing w:after="0"/>
              <w:rPr>
                <w:sz w:val="20"/>
                <w:szCs w:val="20"/>
                <w:color w:val="auto"/>
              </w:rPr>
            </w:pPr>
            <w:r>
              <w:rPr>
                <w:rFonts w:ascii="Arial" w:cs="Arial" w:eastAsia="Arial" w:hAnsi="Arial"/>
                <w:sz w:val="18"/>
                <w:szCs w:val="18"/>
                <w:color w:val="auto"/>
              </w:rPr>
              <w:t>66.2 %</w:t>
            </w:r>
          </w:p>
        </w:tc>
      </w:tr>
      <w:tr>
        <w:trPr>
          <w:trHeight w:val="22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17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23.0 %</w:t>
            </w:r>
          </w:p>
        </w:tc>
        <w:tc>
          <w:tcPr>
            <w:tcW w:w="20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18.9 %</w:t>
            </w:r>
          </w:p>
        </w:tc>
        <w:tc>
          <w:tcPr>
            <w:tcW w:w="2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22.5 %</w:t>
            </w:r>
          </w:p>
        </w:tc>
        <w:tc>
          <w:tcPr>
            <w:tcW w:w="21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19.1 %</w:t>
            </w:r>
          </w:p>
        </w:tc>
      </w:tr>
      <w:tr>
        <w:trPr>
          <w:trHeight w:val="225"/>
        </w:trPr>
        <w:tc>
          <w:tcPr>
            <w:tcW w:w="324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88.4 %</w:t>
            </w:r>
          </w:p>
        </w:tc>
        <w:tc>
          <w:tcPr>
            <w:tcW w:w="2060" w:type="dxa"/>
            <w:vAlign w:val="bottom"/>
          </w:tcPr>
          <w:p>
            <w:pPr>
              <w:jc w:val="right"/>
              <w:ind w:right="972"/>
              <w:spacing w:after="0"/>
              <w:rPr>
                <w:sz w:val="20"/>
                <w:szCs w:val="20"/>
                <w:color w:val="auto"/>
              </w:rPr>
            </w:pPr>
            <w:r>
              <w:rPr>
                <w:rFonts w:ascii="Arial" w:cs="Arial" w:eastAsia="Arial" w:hAnsi="Arial"/>
                <w:sz w:val="18"/>
                <w:szCs w:val="18"/>
                <w:color w:val="auto"/>
              </w:rPr>
              <w:t>88.2 %</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90.0 %</w:t>
            </w:r>
          </w:p>
        </w:tc>
        <w:tc>
          <w:tcPr>
            <w:tcW w:w="2160" w:type="dxa"/>
            <w:vAlign w:val="bottom"/>
          </w:tcPr>
          <w:p>
            <w:pPr>
              <w:jc w:val="right"/>
              <w:ind w:right="1072"/>
              <w:spacing w:after="0"/>
              <w:rPr>
                <w:sz w:val="20"/>
                <w:szCs w:val="20"/>
                <w:color w:val="auto"/>
              </w:rPr>
            </w:pPr>
            <w:r>
              <w:rPr>
                <w:rFonts w:ascii="Arial" w:cs="Arial" w:eastAsia="Arial" w:hAnsi="Arial"/>
                <w:sz w:val="18"/>
                <w:szCs w:val="18"/>
                <w:color w:val="auto"/>
              </w:rPr>
              <w:t>85.3 %</w:t>
            </w:r>
          </w:p>
        </w:tc>
      </w:tr>
      <w:tr>
        <w:trPr>
          <w:trHeight w:val="226"/>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17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60.4 %</w:t>
            </w:r>
          </w:p>
        </w:tc>
        <w:tc>
          <w:tcPr>
            <w:tcW w:w="20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69.2 %</w:t>
            </w:r>
          </w:p>
        </w:tc>
        <w:tc>
          <w:tcPr>
            <w:tcW w:w="2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65.8 %</w:t>
            </w:r>
          </w:p>
        </w:tc>
        <w:tc>
          <w:tcPr>
            <w:tcW w:w="21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66.2 %</w:t>
            </w:r>
          </w:p>
        </w:tc>
      </w:tr>
      <w:tr>
        <w:trPr>
          <w:trHeight w:val="238"/>
        </w:trPr>
        <w:tc>
          <w:tcPr>
            <w:tcW w:w="3240" w:type="dxa"/>
            <w:vAlign w:val="bottom"/>
          </w:tcPr>
          <w:p>
            <w:pPr>
              <w:ind w:left="140"/>
              <w:spacing w:after="0"/>
              <w:rPr>
                <w:sz w:val="20"/>
                <w:szCs w:val="20"/>
                <w:color w:val="auto"/>
              </w:rPr>
            </w:pPr>
            <w:r>
              <w:rPr>
                <w:rFonts w:ascii="Arial" w:cs="Arial" w:eastAsia="Arial" w:hAnsi="Arial"/>
                <w:sz w:val="18"/>
                <w:szCs w:val="18"/>
                <w:color w:val="auto"/>
              </w:rPr>
              <w:t xml:space="preserve">Accident year loss ratio ex-cat </w:t>
            </w:r>
            <w:r>
              <w:rPr>
                <w:rFonts w:ascii="Arial" w:cs="Arial" w:eastAsia="Arial" w:hAnsi="Arial"/>
                <w:sz w:val="14"/>
                <w:szCs w:val="14"/>
                <w:i w:val="1"/>
                <w:iCs w:val="1"/>
                <w:color w:val="auto"/>
              </w:rPr>
              <w:t>(2)</w:t>
            </w:r>
          </w:p>
        </w:tc>
        <w:tc>
          <w:tcPr>
            <w:tcW w:w="1740" w:type="dxa"/>
            <w:vAlign w:val="bottom"/>
          </w:tcPr>
          <w:p>
            <w:pPr>
              <w:jc w:val="right"/>
              <w:ind w:right="392"/>
              <w:spacing w:after="0"/>
              <w:rPr>
                <w:sz w:val="20"/>
                <w:szCs w:val="20"/>
                <w:color w:val="auto"/>
              </w:rPr>
            </w:pPr>
            <w:r>
              <w:rPr>
                <w:rFonts w:ascii="Arial" w:cs="Arial" w:eastAsia="Arial" w:hAnsi="Arial"/>
                <w:sz w:val="18"/>
                <w:szCs w:val="18"/>
                <w:color w:val="auto"/>
              </w:rPr>
              <w:t>60.4 %</w:t>
            </w:r>
          </w:p>
        </w:tc>
        <w:tc>
          <w:tcPr>
            <w:tcW w:w="2060" w:type="dxa"/>
            <w:vAlign w:val="bottom"/>
          </w:tcPr>
          <w:p>
            <w:pPr>
              <w:jc w:val="right"/>
              <w:ind w:right="972"/>
              <w:spacing w:after="0"/>
              <w:rPr>
                <w:sz w:val="20"/>
                <w:szCs w:val="20"/>
                <w:color w:val="auto"/>
              </w:rPr>
            </w:pPr>
            <w:r>
              <w:rPr>
                <w:rFonts w:ascii="Arial" w:cs="Arial" w:eastAsia="Arial" w:hAnsi="Arial"/>
                <w:sz w:val="18"/>
                <w:szCs w:val="18"/>
                <w:color w:val="auto"/>
              </w:rPr>
              <w:t>65.6 %</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65.8 %</w:t>
            </w:r>
          </w:p>
        </w:tc>
        <w:tc>
          <w:tcPr>
            <w:tcW w:w="2160" w:type="dxa"/>
            <w:vAlign w:val="bottom"/>
          </w:tcPr>
          <w:p>
            <w:pPr>
              <w:jc w:val="right"/>
              <w:ind w:right="1072"/>
              <w:spacing w:after="0"/>
              <w:rPr>
                <w:sz w:val="20"/>
                <w:szCs w:val="20"/>
                <w:color w:val="auto"/>
              </w:rPr>
            </w:pPr>
            <w:r>
              <w:rPr>
                <w:rFonts w:ascii="Arial" w:cs="Arial" w:eastAsia="Arial" w:hAnsi="Arial"/>
                <w:sz w:val="18"/>
                <w:szCs w:val="18"/>
                <w:color w:val="auto"/>
              </w:rPr>
              <w:t>65.0 %</w:t>
            </w:r>
          </w:p>
        </w:tc>
      </w:tr>
    </w:tbl>
    <w:p>
      <w:pPr>
        <w:spacing w:after="0" w:line="174"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w:t>
      </w:r>
    </w:p>
    <w:p>
      <w:pPr>
        <w:spacing w:after="0" w:line="111" w:lineRule="exact"/>
        <w:rPr>
          <w:rFonts w:ascii="Arial" w:cs="Arial" w:eastAsia="Arial" w:hAnsi="Arial"/>
          <w:sz w:val="18"/>
          <w:szCs w:val="18"/>
          <w:i w:val="1"/>
          <w:iCs w:val="1"/>
          <w:color w:val="auto"/>
        </w:rPr>
      </w:pPr>
    </w:p>
    <w:p>
      <w:pPr>
        <w:ind w:left="640" w:right="160" w:hanging="316"/>
        <w:spacing w:after="0" w:line="264" w:lineRule="auto"/>
        <w:tabs>
          <w:tab w:leader="none" w:pos="634"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Accident year loss ratio excluding $5.0 million of net catastrophe losses related to Hurricane Ian in the three and nine months ended September 30, 2022.</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Excess and Surplus Lines segment produced underwriting profits of $18.3 million and $16.4 million (combined ratios of 88.4% and 88.2%) in the three months ended September 30, 2023 and 2022, respectively. Market conditions remain attractive for the segment, and net earned premiums increased by $18.5 million or 13.3% for the three months ended September 30, 2023 due to growth in our larger underwriting divisions and broad based renewal rate increases (up 12.4% compared to prior year). The higher loss ratio in the prior year primarily reflects $5.0 million or 3.6 percentage points of net catastrophe losses related to Hurricane Ian in our Excess Property book for the three months ended September 30, 2022. The accident year loss ratio ex-cat is consistent between the two periods. Net reserve development on prior accident years (excluding adverse prior year development on the legacy Rasier business and the impact of retroactive reinsurance - see discussion above) was $7.8 million or 5.0 percentage points adverse in the three months ended September 30, 2023 due to adverse emergence in older accident years for our General Casualty line of business compared to $139,000 adverse in the three months ended September 30, 2022. The higher prior year adverse development was largely offset by improvement in our current accident year loss ratio excluding catastrophe losses due to strong rate increases and other underwriting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expense ratio was higher in the current year due to the mix of business and reinsurance changes which resulted in higher net commissions expense, as well as higher compensation costs and bad debt expenses.</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For the nine months ended September 30, 2023 and 2022, segment underwriting profit was $45.4 million and $60.2 million (combined ratios of 90.0% and 85.3%), respectively. Underwriting results for the nine months ended September 30, 2023 include $12.3 million of reinstatement premium. The reinstatement premium, triggered by claims on the 2020 and 2021 years of an excess of loss treaty, reduced net written and net earned premiums, and underwriting profit for the current year by $12.3 million. Segment underwriting ratios were also impacted by the reinstatement premium, attributing to a 2.3 percentage point increase in the segment combined ratio for the nine months ended September 30, 2023.</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Excluding the reinstatement premium, net earned premiums increased by $59.7 million or 14.6% for the nine months ended September 30, 2023 due to growth in our larger underwriting divisions and broad based renewal rate increases of 10.7% compared to the prior year. The reinstatement premium, which reduced net earned premiums, resulted in a 1.8 percentage point increase in our loss ratio for the nine months ended September 30, 2023. The prior year loss ratio includes 1.2 percentage points related to the $5.0 million of catastrophe losses for Hurricane Ian in the prior year. Net reserve development on prior accident years (excluding adverse prior year development on the legacy Rasier business and the impact of retroactive reinsurance - see discussion above) was $7.6 million or 1.7 percentage points adverse in the nine months ended September 30, 2023 due to adverse emergence in older accident years for our General Casualty line of business compared to $48,000 adverse in the nine months ended September 30, 2022. The higher current year expense ratio was partially due to the reinstatement premium, which reduced net earned premiums and contributed 0.5 percentage points of the expense ratio increase relative to the prior year. The expense ratios also increased over the prior year due to the mix of business and reinsurance changes which resulted in higher net commissions expense, as well as higher compensation costs and bad debt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252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gridSpan w:val="2"/>
            <w:vMerge w:val="restart"/>
          </w:tcPr>
          <w:p>
            <w:pPr>
              <w:jc w:val="right"/>
              <w:ind w:right="36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 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125,700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123,389</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1.9 %</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387,175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374,066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3.5 %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22,936</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rPr>
              <w:t>18,929</w:t>
            </w:r>
          </w:p>
        </w:tc>
        <w:tc>
          <w:tcPr>
            <w:tcW w:w="1260" w:type="dxa"/>
            <w:vAlign w:val="bottom"/>
          </w:tcPr>
          <w:p>
            <w:pPr>
              <w:jc w:val="right"/>
              <w:ind w:right="38"/>
              <w:spacing w:after="0" w:line="198" w:lineRule="exact"/>
              <w:rPr>
                <w:sz w:val="20"/>
                <w:szCs w:val="20"/>
                <w:color w:val="auto"/>
              </w:rPr>
            </w:pPr>
            <w:r>
              <w:rPr>
                <w:rFonts w:ascii="Arial" w:cs="Arial" w:eastAsia="Arial" w:hAnsi="Arial"/>
                <w:sz w:val="18"/>
                <w:szCs w:val="18"/>
                <w:i w:val="1"/>
                <w:iCs w:val="1"/>
                <w:color w:val="auto"/>
              </w:rPr>
              <w:t>21.2 %</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78,777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2"/>
              <w:spacing w:after="0" w:line="198"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rPr>
              <w:t>57,524</w:t>
            </w: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i w:val="1"/>
                <w:iCs w:val="1"/>
                <w:color w:val="auto"/>
              </w:rPr>
              <w:t>36.9 %</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26,073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17,824</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46.3 %</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70,412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55,283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27.4 %</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19"/>
                <w:szCs w:val="19"/>
                <w:color w:val="auto"/>
              </w:rPr>
            </w:pP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(20,284)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(15,377)</w:t>
            </w:r>
          </w:p>
        </w:tc>
        <w:tc>
          <w:tcPr>
            <w:tcW w:w="1260" w:type="dxa"/>
            <w:vAlign w:val="bottom"/>
          </w:tcPr>
          <w:p>
            <w:pPr>
              <w:jc w:val="right"/>
              <w:ind w:right="38"/>
              <w:spacing w:after="0"/>
              <w:rPr>
                <w:sz w:val="20"/>
                <w:szCs w:val="20"/>
                <w:color w:val="auto"/>
              </w:rPr>
            </w:pPr>
            <w:r>
              <w:rPr>
                <w:rFonts w:ascii="Arial" w:cs="Arial" w:eastAsia="Arial" w:hAnsi="Arial"/>
                <w:sz w:val="18"/>
                <w:szCs w:val="18"/>
                <w:i w:val="1"/>
                <w:iCs w:val="1"/>
                <w:color w:val="auto"/>
              </w:rPr>
              <w:t>31.9 %</w:t>
            </w:r>
          </w:p>
        </w:tc>
        <w:tc>
          <w:tcPr>
            <w:tcW w:w="32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(53,370)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(44,029)</w:t>
            </w: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21.2 %</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(3,822)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(2,162)</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8"/>
                <w:szCs w:val="18"/>
                <w:i w:val="1"/>
                <w:iCs w:val="1"/>
                <w:color w:val="auto"/>
              </w:rPr>
              <w:t>76.8 %</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(15,160)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(9,508)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59.4 %</w:t>
            </w:r>
          </w:p>
        </w:tc>
        <w:tc>
          <w:tcPr>
            <w:tcW w:w="0" w:type="dxa"/>
            <w:vAlign w:val="bottom"/>
          </w:tcPr>
          <w:p>
            <w:pPr>
              <w:spacing w:after="0"/>
              <w:rPr>
                <w:sz w:val="1"/>
                <w:szCs w:val="1"/>
                <w:color w:val="auto"/>
              </w:rPr>
            </w:pPr>
          </w:p>
        </w:tc>
      </w:tr>
      <w:tr>
        <w:trPr>
          <w:trHeight w:val="219"/>
        </w:trPr>
        <w:tc>
          <w:tcPr>
            <w:tcW w:w="3160" w:type="dxa"/>
            <w:vAlign w:val="bottom"/>
          </w:tcPr>
          <w:p>
            <w:pPr>
              <w:ind w:left="20"/>
              <w:spacing w:after="0"/>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i w:val="1"/>
                <w:iCs w:val="1"/>
                <w:color w:val="auto"/>
              </w:rPr>
              <w:t>(1), (2)</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285</w:t>
            </w:r>
          </w:p>
        </w:tc>
        <w:tc>
          <w:tcPr>
            <w:tcW w:w="1260" w:type="dxa"/>
            <w:vAlign w:val="bottom"/>
          </w:tcPr>
          <w:p>
            <w:pPr>
              <w:jc w:val="right"/>
              <w:ind w:right="38"/>
              <w:spacing w:after="0"/>
              <w:rPr>
                <w:sz w:val="20"/>
                <w:szCs w:val="20"/>
                <w:color w:val="auto"/>
              </w:rPr>
            </w:pPr>
            <w:r>
              <w:rPr>
                <w:rFonts w:ascii="Arial" w:cs="Arial" w:eastAsia="Arial" w:hAnsi="Arial"/>
                <w:sz w:val="18"/>
                <w:szCs w:val="18"/>
                <w:i w:val="1"/>
                <w:iCs w:val="1"/>
                <w:color w:val="auto"/>
              </w:rPr>
              <w:t>590.2 %</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1,746</w:t>
            </w:r>
          </w:p>
        </w:tc>
        <w:tc>
          <w:tcPr>
            <w:tcW w:w="1140" w:type="dxa"/>
            <w:vAlign w:val="bottom"/>
            <w:gridSpan w:val="2"/>
          </w:tcPr>
          <w:p>
            <w:pPr>
              <w:jc w:val="right"/>
              <w:spacing w:after="0"/>
              <w:rPr>
                <w:sz w:val="20"/>
                <w:szCs w:val="20"/>
                <w:color w:val="auto"/>
              </w:rPr>
            </w:pPr>
            <w:r>
              <w:rPr>
                <w:rFonts w:ascii="Arial" w:cs="Arial" w:eastAsia="Arial" w:hAnsi="Arial"/>
                <w:sz w:val="18"/>
                <w:szCs w:val="18"/>
                <w:i w:val="1"/>
                <w:iCs w:val="1"/>
                <w:color w:val="auto"/>
              </w:rPr>
              <w:t>7.8 %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860" cy="160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0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2080" w:type="dxa"/>
            <w:vAlign w:val="bottom"/>
          </w:tcPr>
          <w:p>
            <w:pPr>
              <w:jc w:val="right"/>
              <w:ind w:right="392"/>
              <w:spacing w:after="0"/>
              <w:rPr>
                <w:sz w:val="20"/>
                <w:szCs w:val="20"/>
                <w:color w:val="auto"/>
              </w:rPr>
            </w:pPr>
            <w:r>
              <w:rPr>
                <w:rFonts w:ascii="Arial" w:cs="Arial" w:eastAsia="Arial" w:hAnsi="Arial"/>
                <w:sz w:val="18"/>
                <w:szCs w:val="18"/>
                <w:color w:val="auto"/>
              </w:rPr>
              <w:t>77.8 %</w:t>
            </w:r>
          </w:p>
        </w:tc>
        <w:tc>
          <w:tcPr>
            <w:tcW w:w="2060" w:type="dxa"/>
            <w:vAlign w:val="bottom"/>
          </w:tcPr>
          <w:p>
            <w:pPr>
              <w:jc w:val="right"/>
              <w:ind w:right="972"/>
              <w:spacing w:after="0"/>
              <w:rPr>
                <w:sz w:val="20"/>
                <w:szCs w:val="20"/>
                <w:color w:val="auto"/>
              </w:rPr>
            </w:pPr>
            <w:r>
              <w:rPr>
                <w:rFonts w:ascii="Arial" w:cs="Arial" w:eastAsia="Arial" w:hAnsi="Arial"/>
                <w:sz w:val="18"/>
                <w:szCs w:val="18"/>
                <w:color w:val="auto"/>
              </w:rPr>
              <w:t>86.3 %</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75.8 %</w:t>
            </w:r>
          </w:p>
        </w:tc>
        <w:tc>
          <w:tcPr>
            <w:tcW w:w="2160" w:type="dxa"/>
            <w:vAlign w:val="bottom"/>
          </w:tcPr>
          <w:p>
            <w:pPr>
              <w:jc w:val="right"/>
              <w:ind w:right="1072"/>
              <w:spacing w:after="0"/>
              <w:rPr>
                <w:sz w:val="20"/>
                <w:szCs w:val="20"/>
                <w:color w:val="auto"/>
              </w:rPr>
            </w:pPr>
            <w:r>
              <w:rPr>
                <w:rFonts w:ascii="Arial" w:cs="Arial" w:eastAsia="Arial" w:hAnsi="Arial"/>
                <w:sz w:val="18"/>
                <w:szCs w:val="18"/>
                <w:color w:val="auto"/>
              </w:rPr>
              <w:t>79.6 %</w:t>
            </w:r>
          </w:p>
        </w:tc>
      </w:tr>
      <w:tr>
        <w:trPr>
          <w:trHeight w:val="226"/>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20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14.7 %</w:t>
            </w:r>
          </w:p>
        </w:tc>
        <w:tc>
          <w:tcPr>
            <w:tcW w:w="20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12.1 %</w:t>
            </w:r>
          </w:p>
        </w:tc>
        <w:tc>
          <w:tcPr>
            <w:tcW w:w="2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21.5 %</w:t>
            </w:r>
          </w:p>
        </w:tc>
        <w:tc>
          <w:tcPr>
            <w:tcW w:w="21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17.2 %</w:t>
            </w:r>
          </w:p>
        </w:tc>
      </w:tr>
      <w:tr>
        <w:trPr>
          <w:trHeight w:val="225"/>
        </w:trPr>
        <w:tc>
          <w:tcPr>
            <w:tcW w:w="290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2080" w:type="dxa"/>
            <w:vAlign w:val="bottom"/>
          </w:tcPr>
          <w:p>
            <w:pPr>
              <w:jc w:val="right"/>
              <w:ind w:right="392"/>
              <w:spacing w:after="0"/>
              <w:rPr>
                <w:sz w:val="20"/>
                <w:szCs w:val="20"/>
                <w:color w:val="auto"/>
              </w:rPr>
            </w:pPr>
            <w:r>
              <w:rPr>
                <w:rFonts w:ascii="Arial" w:cs="Arial" w:eastAsia="Arial" w:hAnsi="Arial"/>
                <w:sz w:val="18"/>
                <w:szCs w:val="18"/>
                <w:color w:val="auto"/>
              </w:rPr>
              <w:t>92.5 %</w:t>
            </w:r>
          </w:p>
        </w:tc>
        <w:tc>
          <w:tcPr>
            <w:tcW w:w="2060" w:type="dxa"/>
            <w:vAlign w:val="bottom"/>
          </w:tcPr>
          <w:p>
            <w:pPr>
              <w:jc w:val="right"/>
              <w:ind w:right="972"/>
              <w:spacing w:after="0"/>
              <w:rPr>
                <w:sz w:val="20"/>
                <w:szCs w:val="20"/>
                <w:color w:val="auto"/>
              </w:rPr>
            </w:pPr>
            <w:r>
              <w:rPr>
                <w:rFonts w:ascii="Arial" w:cs="Arial" w:eastAsia="Arial" w:hAnsi="Arial"/>
                <w:sz w:val="18"/>
                <w:szCs w:val="18"/>
                <w:color w:val="auto"/>
              </w:rPr>
              <w:t>98.4 %</w:t>
            </w:r>
          </w:p>
        </w:tc>
        <w:tc>
          <w:tcPr>
            <w:tcW w:w="2040" w:type="dxa"/>
            <w:vAlign w:val="bottom"/>
          </w:tcPr>
          <w:p>
            <w:pPr>
              <w:jc w:val="right"/>
              <w:ind w:right="392"/>
              <w:spacing w:after="0"/>
              <w:rPr>
                <w:sz w:val="20"/>
                <w:szCs w:val="20"/>
                <w:color w:val="auto"/>
              </w:rPr>
            </w:pPr>
            <w:r>
              <w:rPr>
                <w:rFonts w:ascii="Arial" w:cs="Arial" w:eastAsia="Arial" w:hAnsi="Arial"/>
                <w:sz w:val="18"/>
                <w:szCs w:val="18"/>
                <w:color w:val="auto"/>
              </w:rPr>
              <w:t>97.3 %</w:t>
            </w:r>
          </w:p>
        </w:tc>
        <w:tc>
          <w:tcPr>
            <w:tcW w:w="2160" w:type="dxa"/>
            <w:vAlign w:val="bottom"/>
          </w:tcPr>
          <w:p>
            <w:pPr>
              <w:jc w:val="right"/>
              <w:ind w:right="1072"/>
              <w:spacing w:after="0"/>
              <w:rPr>
                <w:sz w:val="20"/>
                <w:szCs w:val="20"/>
                <w:color w:val="auto"/>
              </w:rPr>
            </w:pPr>
            <w:r>
              <w:rPr>
                <w:rFonts w:ascii="Arial" w:cs="Arial" w:eastAsia="Arial" w:hAnsi="Arial"/>
                <w:sz w:val="18"/>
                <w:szCs w:val="18"/>
                <w:color w:val="auto"/>
              </w:rPr>
              <w:t>96.8 %</w:t>
            </w:r>
          </w:p>
        </w:tc>
      </w:tr>
      <w:tr>
        <w:trPr>
          <w:trHeight w:val="226"/>
        </w:trPr>
        <w:tc>
          <w:tcPr>
            <w:tcW w:w="2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20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77.8 %</w:t>
            </w:r>
          </w:p>
        </w:tc>
        <w:tc>
          <w:tcPr>
            <w:tcW w:w="20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rPr>
              <w:t>93.4 %</w:t>
            </w:r>
          </w:p>
        </w:tc>
        <w:tc>
          <w:tcPr>
            <w:tcW w:w="2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77.2 %</w:t>
            </w:r>
          </w:p>
        </w:tc>
        <w:tc>
          <w:tcPr>
            <w:tcW w:w="21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84.6 %</w:t>
            </w:r>
          </w:p>
        </w:tc>
      </w:tr>
    </w:tbl>
    <w:p>
      <w:pPr>
        <w:spacing w:after="0" w:line="186"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(Loss) is a non-GAAP Measure. See “Reconciliation of Non-GAAP Measures.”</w:t>
      </w:r>
    </w:p>
    <w:p>
      <w:pPr>
        <w:spacing w:after="0" w:line="58" w:lineRule="exact"/>
        <w:rPr>
          <w:rFonts w:ascii="Arial" w:cs="Arial" w:eastAsia="Arial" w:hAnsi="Arial"/>
          <w:sz w:val="18"/>
          <w:szCs w:val="18"/>
          <w:i w:val="1"/>
          <w:iCs w:val="1"/>
          <w:color w:val="auto"/>
        </w:rPr>
      </w:pPr>
    </w:p>
    <w:p>
      <w:pPr>
        <w:ind w:left="640" w:hanging="316"/>
        <w:spacing w:after="0" w:line="264" w:lineRule="auto"/>
        <w:tabs>
          <w:tab w:leader="none" w:pos="634"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$6.8 million and $18.3 million for the three and nine months ended September 30, 2023, respectively ($5.9 million and $17.4 million in the respective prior year periods).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Specialty Admitted Insurance segment produced underwriting profits of $2.0 million and $285,000 (combined ratios of 92.5% and 98.4%) in the three months ended September 30, 2023 and 2022, respectively. For the nine months ended September 30, 2023 and 2022, segment underwriting profit was $1.9 million and $1.7 million (combined ratios of 97.3% and 96.8%), respectively. The loss ratio improvement in the current year periods primarily reflects changes in the mix of business and improved loss trends which helped to produce lower current accident year loss ratios, partially offset by lower net favorable development in our loss estimates for prior accident years. There was no development recorded in the three months ended September 30, 2023 compared to $1.3 million or 7.1 points of favorable development in the three months ended September 30, 2022. Net favorable development in our loss estimates for prior accident years was $1.0 million or 1.4 points in the nine months ended September 30, 2023 compared to $2.8 million or 5.0 points in the nine months ended September 30, 2022. Segment expense ratios increased for the current year periods driven by higher net commission expense due to the January 1, 2023 termination of the individual risk workers' compensation quota share treaty as well as higher taxes, licenses, and fees in the current year due to adjustments to tax and assessment accruals in the prior year quarter.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252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gridSpan w:val="2"/>
            <w:vMerge w:val="restart"/>
          </w:tcPr>
          <w:p>
            <w:pPr>
              <w:jc w:val="right"/>
              <w:ind w:right="38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3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ind w:left="180"/>
              <w:spacing w:after="0"/>
              <w:rPr>
                <w:sz w:val="20"/>
                <w:szCs w:val="20"/>
                <w:color w:val="auto"/>
              </w:rPr>
            </w:pPr>
            <w:r>
              <w:rPr>
                <w:rFonts w:ascii="Arial" w:cs="Arial" w:eastAsia="Arial" w:hAnsi="Arial"/>
                <w:sz w:val="14"/>
                <w:szCs w:val="14"/>
                <w:b w:val="1"/>
                <w:bCs w:val="1"/>
                <w:i w:val="1"/>
                <w:iCs w:val="1"/>
                <w:color w:val="auto"/>
                <w:w w:val="97"/>
              </w:rPr>
              <w:t>($ 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30,331</w:t>
            </w:r>
          </w:p>
        </w:tc>
        <w:tc>
          <w:tcPr>
            <w:tcW w:w="12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14,782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68,387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(78.4)%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80" w:type="dxa"/>
            <w:vAlign w:val="bottom"/>
          </w:tcPr>
          <w:p>
            <w:pPr>
              <w:ind w:left="20"/>
              <w:spacing w:after="0" w:line="198" w:lineRule="exact"/>
              <w:rPr>
                <w:sz w:val="20"/>
                <w:szCs w:val="20"/>
                <w:color w:val="auto"/>
              </w:rPr>
            </w:pPr>
            <w:r>
              <w:rPr>
                <w:rFonts w:ascii="Arial" w:cs="Arial" w:eastAsia="Arial" w:hAnsi="Arial"/>
                <w:sz w:val="18"/>
                <w:szCs w:val="18"/>
                <w:color w:val="auto"/>
              </w:rPr>
              <w:t>Net written premiums</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3,491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4"/>
              <w:spacing w:after="0" w:line="198" w:lineRule="exact"/>
              <w:rPr>
                <w:sz w:val="20"/>
                <w:szCs w:val="20"/>
                <w:color w:val="auto"/>
              </w:rPr>
            </w:pPr>
            <w:r>
              <w:rPr>
                <w:rFonts w:ascii="Arial" w:cs="Arial" w:eastAsia="Arial" w:hAnsi="Arial"/>
                <w:sz w:val="18"/>
                <w:szCs w:val="18"/>
                <w:color w:val="auto"/>
              </w:rPr>
              <w:t>30,338</w:t>
            </w:r>
          </w:p>
        </w:tc>
        <w:tc>
          <w:tcPr>
            <w:tcW w:w="1260" w:type="dxa"/>
            <w:vAlign w:val="bottom"/>
          </w:tcPr>
          <w:p>
            <w:pPr>
              <w:ind w:left="560"/>
              <w:spacing w:after="0" w:line="198" w:lineRule="exact"/>
              <w:rPr>
                <w:sz w:val="20"/>
                <w:szCs w:val="20"/>
                <w:color w:val="auto"/>
              </w:rPr>
            </w:pPr>
            <w:r>
              <w:rPr>
                <w:rFonts w:ascii="Arial" w:cs="Arial" w:eastAsia="Arial" w:hAnsi="Arial"/>
                <w:sz w:val="18"/>
                <w:szCs w:val="18"/>
                <w:i w:val="1"/>
                <w:iCs w:val="1"/>
                <w:color w:val="auto"/>
              </w:rPr>
              <w:t>(88.5)%</w:t>
            </w: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8"/>
              <w:spacing w:after="0" w:line="198" w:lineRule="exact"/>
              <w:rPr>
                <w:sz w:val="20"/>
                <w:szCs w:val="20"/>
                <w:color w:val="auto"/>
              </w:rPr>
            </w:pPr>
            <w:r>
              <w:rPr>
                <w:rFonts w:ascii="Arial" w:cs="Arial" w:eastAsia="Arial" w:hAnsi="Arial"/>
                <w:sz w:val="18"/>
                <w:szCs w:val="18"/>
                <w:color w:val="auto"/>
              </w:rPr>
              <w:t>16,851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14"/>
              <w:spacing w:after="0" w:line="198" w:lineRule="exact"/>
              <w:rPr>
                <w:sz w:val="20"/>
                <w:szCs w:val="20"/>
                <w:color w:val="auto"/>
              </w:rPr>
            </w:pPr>
            <w:r>
              <w:rPr>
                <w:rFonts w:ascii="Arial" w:cs="Arial" w:eastAsia="Arial" w:hAnsi="Arial"/>
                <w:sz w:val="18"/>
                <w:szCs w:val="18"/>
                <w:color w:val="auto"/>
              </w:rPr>
              <w:t>70,579</w:t>
            </w:r>
          </w:p>
        </w:tc>
        <w:tc>
          <w:tcPr>
            <w:tcW w:w="1160" w:type="dxa"/>
            <w:vAlign w:val="bottom"/>
            <w:gridSpan w:val="2"/>
          </w:tcPr>
          <w:p>
            <w:pPr>
              <w:jc w:val="right"/>
              <w:spacing w:after="0" w:line="198" w:lineRule="exact"/>
              <w:rPr>
                <w:sz w:val="20"/>
                <w:szCs w:val="20"/>
                <w:color w:val="auto"/>
              </w:rPr>
            </w:pPr>
            <w:r>
              <w:rPr>
                <w:rFonts w:ascii="Arial" w:cs="Arial" w:eastAsia="Arial" w:hAnsi="Arial"/>
                <w:sz w:val="18"/>
                <w:szCs w:val="18"/>
                <w:i w:val="1"/>
                <w:iCs w:val="1"/>
                <w:color w:val="auto"/>
              </w:rPr>
              <w:t>(76.1)%</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18,952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33,270</w:t>
            </w:r>
          </w:p>
        </w:tc>
        <w:tc>
          <w:tcPr>
            <w:tcW w:w="12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(43.0)%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82,023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102,712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(20.1)%</w:t>
            </w:r>
          </w:p>
        </w:tc>
        <w:tc>
          <w:tcPr>
            <w:tcW w:w="0" w:type="dxa"/>
            <w:vAlign w:val="bottom"/>
          </w:tcPr>
          <w:p>
            <w:pPr>
              <w:spacing w:after="0"/>
              <w:rPr>
                <w:sz w:val="1"/>
                <w:szCs w:val="1"/>
                <w:color w:val="auto"/>
              </w:rPr>
            </w:pPr>
          </w:p>
        </w:tc>
      </w:tr>
      <w:tr>
        <w:trPr>
          <w:trHeight w:val="173"/>
        </w:trPr>
        <w:tc>
          <w:tcPr>
            <w:tcW w:w="3180" w:type="dxa"/>
            <w:vAlign w:val="bottom"/>
          </w:tcPr>
          <w:p>
            <w:pPr>
              <w:ind w:left="20"/>
              <w:spacing w:after="0" w:line="173" w:lineRule="exact"/>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20"/>
              <w:spacing w:after="0"/>
              <w:rPr>
                <w:sz w:val="20"/>
                <w:szCs w:val="20"/>
                <w:color w:val="auto"/>
              </w:rPr>
            </w:pPr>
            <w:r>
              <w:rPr>
                <w:rFonts w:ascii="Arial" w:cs="Arial" w:eastAsia="Arial" w:hAnsi="Arial"/>
                <w:sz w:val="18"/>
                <w:szCs w:val="18"/>
                <w:color w:val="auto"/>
              </w:rPr>
              <w:t>excluding retroactive reinsurance</w:t>
            </w:r>
          </w:p>
        </w:tc>
        <w:tc>
          <w:tcPr>
            <w:tcW w:w="320" w:type="dxa"/>
            <w:vAlign w:val="bottom"/>
          </w:tcPr>
          <w:p>
            <w:pPr>
              <w:spacing w:after="0"/>
              <w:rPr>
                <w:sz w:val="20"/>
                <w:szCs w:val="20"/>
                <w:color w:val="auto"/>
              </w:rPr>
            </w:pPr>
          </w:p>
        </w:tc>
        <w:tc>
          <w:tcPr>
            <w:tcW w:w="1020" w:type="dxa"/>
            <w:vAlign w:val="bottom"/>
          </w:tcPr>
          <w:p>
            <w:pPr>
              <w:jc w:val="right"/>
              <w:ind w:right="78"/>
              <w:spacing w:after="0"/>
              <w:rPr>
                <w:sz w:val="20"/>
                <w:szCs w:val="20"/>
                <w:color w:val="auto"/>
              </w:rPr>
            </w:pPr>
            <w:r>
              <w:rPr>
                <w:rFonts w:ascii="Arial" w:cs="Arial" w:eastAsia="Arial" w:hAnsi="Arial"/>
                <w:sz w:val="18"/>
                <w:szCs w:val="18"/>
                <w:color w:val="auto"/>
              </w:rPr>
              <w:t>(15,729)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(20,503)</w:t>
            </w:r>
          </w:p>
        </w:tc>
        <w:tc>
          <w:tcPr>
            <w:tcW w:w="1260" w:type="dxa"/>
            <w:vAlign w:val="bottom"/>
          </w:tcPr>
          <w:p>
            <w:pPr>
              <w:ind w:left="560"/>
              <w:spacing w:after="0"/>
              <w:rPr>
                <w:sz w:val="20"/>
                <w:szCs w:val="20"/>
                <w:color w:val="auto"/>
              </w:rPr>
            </w:pPr>
            <w:r>
              <w:rPr>
                <w:rFonts w:ascii="Arial" w:cs="Arial" w:eastAsia="Arial" w:hAnsi="Arial"/>
                <w:sz w:val="18"/>
                <w:szCs w:val="18"/>
                <w:i w:val="1"/>
                <w:iCs w:val="1"/>
                <w:color w:val="auto"/>
              </w:rPr>
              <w:t>(23.3)%</w:t>
            </w:r>
          </w:p>
        </w:tc>
        <w:tc>
          <w:tcPr>
            <w:tcW w:w="320" w:type="dxa"/>
            <w:vAlign w:val="bottom"/>
          </w:tcPr>
          <w:p>
            <w:pPr>
              <w:spacing w:after="0"/>
              <w:rPr>
                <w:sz w:val="20"/>
                <w:szCs w:val="20"/>
                <w:color w:val="auto"/>
              </w:rPr>
            </w:pPr>
          </w:p>
        </w:tc>
        <w:tc>
          <w:tcPr>
            <w:tcW w:w="1040" w:type="dxa"/>
            <w:vAlign w:val="bottom"/>
          </w:tcPr>
          <w:p>
            <w:pPr>
              <w:jc w:val="right"/>
              <w:ind w:right="78"/>
              <w:spacing w:after="0"/>
              <w:rPr>
                <w:sz w:val="20"/>
                <w:szCs w:val="20"/>
                <w:color w:val="auto"/>
              </w:rPr>
            </w:pPr>
            <w:r>
              <w:rPr>
                <w:rFonts w:ascii="Arial" w:cs="Arial" w:eastAsia="Arial" w:hAnsi="Arial"/>
                <w:sz w:val="18"/>
                <w:szCs w:val="18"/>
                <w:color w:val="auto"/>
              </w:rPr>
              <w:t>(57,471)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(74,719)</w:t>
            </w:r>
          </w:p>
        </w:tc>
        <w:tc>
          <w:tcPr>
            <w:tcW w:w="1160" w:type="dxa"/>
            <w:vAlign w:val="bottom"/>
            <w:gridSpan w:val="2"/>
          </w:tcPr>
          <w:p>
            <w:pPr>
              <w:jc w:val="right"/>
              <w:spacing w:after="0"/>
              <w:rPr>
                <w:sz w:val="20"/>
                <w:szCs w:val="20"/>
                <w:color w:val="auto"/>
              </w:rPr>
            </w:pPr>
            <w:r>
              <w:rPr>
                <w:rFonts w:ascii="Arial" w:cs="Arial" w:eastAsia="Arial" w:hAnsi="Arial"/>
                <w:sz w:val="18"/>
                <w:szCs w:val="18"/>
                <w:i w:val="1"/>
                <w:iCs w:val="1"/>
                <w:color w:val="auto"/>
              </w:rPr>
              <w:t>(23.1)%</w:t>
            </w:r>
          </w:p>
        </w:tc>
        <w:tc>
          <w:tcPr>
            <w:tcW w:w="0" w:type="dxa"/>
            <w:vAlign w:val="bottom"/>
          </w:tcPr>
          <w:p>
            <w:pPr>
              <w:spacing w:after="0"/>
              <w:rPr>
                <w:sz w:val="1"/>
                <w:szCs w:val="1"/>
                <w:color w:val="auto"/>
              </w:rPr>
            </w:pPr>
          </w:p>
        </w:tc>
      </w:tr>
      <w:tr>
        <w:trPr>
          <w:trHeight w:val="225"/>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(7,436)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(9,723)</w:t>
            </w:r>
          </w:p>
        </w:tc>
        <w:tc>
          <w:tcPr>
            <w:tcW w:w="12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(23.5)%</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(28,331)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(31,727)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(10.7)%</w:t>
            </w:r>
          </w:p>
        </w:tc>
        <w:tc>
          <w:tcPr>
            <w:tcW w:w="0" w:type="dxa"/>
            <w:vAlign w:val="bottom"/>
          </w:tcPr>
          <w:p>
            <w:pPr>
              <w:spacing w:after="0"/>
              <w:rPr>
                <w:sz w:val="1"/>
                <w:szCs w:val="1"/>
                <w:color w:val="auto"/>
              </w:rPr>
            </w:pPr>
          </w:p>
        </w:tc>
      </w:tr>
      <w:tr>
        <w:trPr>
          <w:trHeight w:val="219"/>
        </w:trPr>
        <w:tc>
          <w:tcPr>
            <w:tcW w:w="3180" w:type="dxa"/>
            <w:vAlign w:val="bottom"/>
          </w:tcPr>
          <w:p>
            <w:pPr>
              <w:ind w:left="2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i w:val="1"/>
                <w:iCs w:val="1"/>
                <w:color w:val="auto"/>
              </w:rPr>
              <w:t>(1)</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(4,213)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3,044</w:t>
            </w:r>
          </w:p>
        </w:tc>
        <w:tc>
          <w:tcPr>
            <w:tcW w:w="1260" w:type="dxa"/>
            <w:vAlign w:val="bottom"/>
          </w:tcPr>
          <w:p>
            <w:pPr>
              <w:ind w:left="780"/>
              <w:spacing w:after="0"/>
              <w:rPr>
                <w:sz w:val="20"/>
                <w:szCs w:val="20"/>
                <w:color w:val="auto"/>
              </w:rPr>
            </w:pPr>
            <w:r>
              <w:rPr>
                <w:rFonts w:ascii="Arial" w:cs="Arial" w:eastAsia="Arial" w:hAnsi="Arial"/>
                <w:sz w:val="18"/>
                <w:szCs w:val="18"/>
                <w:i w:val="1"/>
                <w:iCs w:val="1"/>
                <w:color w:val="auto"/>
              </w:rPr>
              <w:t>—</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(3,734)</w:t>
            </w:r>
          </w:p>
        </w:tc>
        <w:tc>
          <w:tcPr>
            <w:tcW w:w="1160" w:type="dxa"/>
            <w:vAlign w:val="bottom"/>
            <w:gridSpan w:val="2"/>
          </w:tcPr>
          <w:p>
            <w:pPr>
              <w:jc w:val="right"/>
              <w:spacing w:after="0"/>
              <w:rPr>
                <w:sz w:val="20"/>
                <w:szCs w:val="20"/>
                <w:color w:val="auto"/>
              </w:rPr>
            </w:pPr>
            <w:r>
              <w:rPr>
                <w:rFonts w:ascii="Arial" w:cs="Arial" w:eastAsia="Arial" w:hAnsi="Arial"/>
                <w:sz w:val="18"/>
                <w:szCs w:val="18"/>
                <w:i w:val="1"/>
                <w:iCs w:val="1"/>
                <w:color w:val="auto"/>
              </w:rPr>
              <w:t>1.2 %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60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80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2180" w:type="dxa"/>
            <w:vAlign w:val="bottom"/>
          </w:tcPr>
          <w:p>
            <w:pPr>
              <w:jc w:val="right"/>
              <w:ind w:right="392"/>
              <w:spacing w:after="0"/>
              <w:rPr>
                <w:sz w:val="20"/>
                <w:szCs w:val="20"/>
                <w:color w:val="auto"/>
              </w:rPr>
            </w:pPr>
            <w:r>
              <w:rPr>
                <w:rFonts w:ascii="Arial" w:cs="Arial" w:eastAsia="Arial" w:hAnsi="Arial"/>
                <w:sz w:val="18"/>
                <w:szCs w:val="18"/>
                <w:color w:val="auto"/>
              </w:rPr>
              <w:t>83.0 %</w:t>
            </w:r>
          </w:p>
        </w:tc>
        <w:tc>
          <w:tcPr>
            <w:tcW w:w="2000" w:type="dxa"/>
            <w:vAlign w:val="bottom"/>
          </w:tcPr>
          <w:p>
            <w:pPr>
              <w:jc w:val="right"/>
              <w:ind w:right="932"/>
              <w:spacing w:after="0"/>
              <w:rPr>
                <w:sz w:val="20"/>
                <w:szCs w:val="20"/>
                <w:color w:val="auto"/>
              </w:rPr>
            </w:pPr>
            <w:r>
              <w:rPr>
                <w:rFonts w:ascii="Arial" w:cs="Arial" w:eastAsia="Arial" w:hAnsi="Arial"/>
                <w:sz w:val="18"/>
                <w:szCs w:val="18"/>
                <w:color w:val="auto"/>
              </w:rPr>
              <w:t>61.6 %</w:t>
            </w:r>
          </w:p>
        </w:tc>
        <w:tc>
          <w:tcPr>
            <w:tcW w:w="2060" w:type="dxa"/>
            <w:vAlign w:val="bottom"/>
          </w:tcPr>
          <w:p>
            <w:pPr>
              <w:jc w:val="right"/>
              <w:ind w:right="372"/>
              <w:spacing w:after="0"/>
              <w:rPr>
                <w:sz w:val="20"/>
                <w:szCs w:val="20"/>
                <w:color w:val="auto"/>
              </w:rPr>
            </w:pPr>
            <w:r>
              <w:rPr>
                <w:rFonts w:ascii="Arial" w:cs="Arial" w:eastAsia="Arial" w:hAnsi="Arial"/>
                <w:sz w:val="18"/>
                <w:szCs w:val="18"/>
                <w:color w:val="auto"/>
              </w:rPr>
              <w:t>70.1 %</w:t>
            </w:r>
          </w:p>
        </w:tc>
        <w:tc>
          <w:tcPr>
            <w:tcW w:w="2200" w:type="dxa"/>
            <w:vAlign w:val="bottom"/>
          </w:tcPr>
          <w:p>
            <w:pPr>
              <w:jc w:val="right"/>
              <w:ind w:right="1072"/>
              <w:spacing w:after="0"/>
              <w:rPr>
                <w:sz w:val="20"/>
                <w:szCs w:val="20"/>
                <w:color w:val="auto"/>
              </w:rPr>
            </w:pPr>
            <w:r>
              <w:rPr>
                <w:rFonts w:ascii="Arial" w:cs="Arial" w:eastAsia="Arial" w:hAnsi="Arial"/>
                <w:sz w:val="18"/>
                <w:szCs w:val="18"/>
                <w:color w:val="auto"/>
              </w:rPr>
              <w:t>72.7 %</w:t>
            </w: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21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39.2 %</w:t>
            </w:r>
          </w:p>
        </w:tc>
        <w:tc>
          <w:tcPr>
            <w:tcW w:w="200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rPr>
              <w:t>29.3 %</w:t>
            </w:r>
          </w:p>
        </w:tc>
        <w:tc>
          <w:tcPr>
            <w:tcW w:w="2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34.5 %</w:t>
            </w:r>
          </w:p>
        </w:tc>
        <w:tc>
          <w:tcPr>
            <w:tcW w:w="220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30.9 %</w:t>
            </w: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2180" w:type="dxa"/>
            <w:vAlign w:val="bottom"/>
          </w:tcPr>
          <w:p>
            <w:pPr>
              <w:jc w:val="right"/>
              <w:ind w:right="392"/>
              <w:spacing w:after="0"/>
              <w:rPr>
                <w:sz w:val="20"/>
                <w:szCs w:val="20"/>
                <w:color w:val="auto"/>
              </w:rPr>
            </w:pPr>
            <w:r>
              <w:rPr>
                <w:rFonts w:ascii="Arial" w:cs="Arial" w:eastAsia="Arial" w:hAnsi="Arial"/>
                <w:sz w:val="18"/>
                <w:szCs w:val="18"/>
                <w:color w:val="auto"/>
              </w:rPr>
              <w:t>122.2 %</w:t>
            </w:r>
          </w:p>
        </w:tc>
        <w:tc>
          <w:tcPr>
            <w:tcW w:w="2000" w:type="dxa"/>
            <w:vAlign w:val="bottom"/>
          </w:tcPr>
          <w:p>
            <w:pPr>
              <w:jc w:val="right"/>
              <w:ind w:right="932"/>
              <w:spacing w:after="0"/>
              <w:rPr>
                <w:sz w:val="20"/>
                <w:szCs w:val="20"/>
                <w:color w:val="auto"/>
              </w:rPr>
            </w:pPr>
            <w:r>
              <w:rPr>
                <w:rFonts w:ascii="Arial" w:cs="Arial" w:eastAsia="Arial" w:hAnsi="Arial"/>
                <w:sz w:val="18"/>
                <w:szCs w:val="18"/>
                <w:color w:val="auto"/>
              </w:rPr>
              <w:t>90.9 %</w:t>
            </w:r>
          </w:p>
        </w:tc>
        <w:tc>
          <w:tcPr>
            <w:tcW w:w="2060" w:type="dxa"/>
            <w:vAlign w:val="bottom"/>
          </w:tcPr>
          <w:p>
            <w:pPr>
              <w:jc w:val="right"/>
              <w:ind w:right="372"/>
              <w:spacing w:after="0"/>
              <w:rPr>
                <w:sz w:val="20"/>
                <w:szCs w:val="20"/>
                <w:color w:val="auto"/>
              </w:rPr>
            </w:pPr>
            <w:r>
              <w:rPr>
                <w:rFonts w:ascii="Arial" w:cs="Arial" w:eastAsia="Arial" w:hAnsi="Arial"/>
                <w:sz w:val="18"/>
                <w:szCs w:val="18"/>
                <w:color w:val="auto"/>
              </w:rPr>
              <w:t>104.6 %</w:t>
            </w:r>
          </w:p>
        </w:tc>
        <w:tc>
          <w:tcPr>
            <w:tcW w:w="2200" w:type="dxa"/>
            <w:vAlign w:val="bottom"/>
          </w:tcPr>
          <w:p>
            <w:pPr>
              <w:jc w:val="right"/>
              <w:ind w:right="1072"/>
              <w:spacing w:after="0"/>
              <w:rPr>
                <w:sz w:val="20"/>
                <w:szCs w:val="20"/>
                <w:color w:val="auto"/>
              </w:rPr>
            </w:pPr>
            <w:r>
              <w:rPr>
                <w:rFonts w:ascii="Arial" w:cs="Arial" w:eastAsia="Arial" w:hAnsi="Arial"/>
                <w:sz w:val="18"/>
                <w:szCs w:val="18"/>
                <w:color w:val="auto"/>
              </w:rPr>
              <w:t>103.6 %</w:t>
            </w:r>
          </w:p>
        </w:tc>
      </w:tr>
      <w:tr>
        <w:trPr>
          <w:trHeight w:val="226"/>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year loss ratio</w:t>
            </w:r>
          </w:p>
        </w:tc>
        <w:tc>
          <w:tcPr>
            <w:tcW w:w="21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58.3 %</w:t>
            </w:r>
          </w:p>
        </w:tc>
        <w:tc>
          <w:tcPr>
            <w:tcW w:w="200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rPr>
              <w:t>61.6 %</w:t>
            </w:r>
          </w:p>
        </w:tc>
        <w:tc>
          <w:tcPr>
            <w:tcW w:w="2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58.4 %</w:t>
            </w:r>
          </w:p>
        </w:tc>
        <w:tc>
          <w:tcPr>
            <w:tcW w:w="220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66.1 %</w:t>
            </w: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(1) Underwriting Profit (Loss) is a non-GAAP Measure. See “Reconciliation of Non-GAAP Measures.”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Casualty Reinsurance segment suspended underwriting activities earlier this year. Current year written premiums represent adjustments to written premium estimates for prior year treaties. The earning patterns of the business can extend over multiple years, and changes in net earned premium for this segment will lag the decline in gross and net written premium.</w:t>
      </w:r>
    </w:p>
    <w:p>
      <w:pPr>
        <w:spacing w:after="0" w:line="8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For the three months ended September 30, 2023, the segment produced an underwriting loss of $4.2 million and combined ratio of 122.2% compared to an underwriting profit of $3.0 million and combined ratio of 90.9% for the three months ended September 30, 2022. The loss ratio increase from 61.6% in the prior three month period to 83.0% in the current year was largely driven by net adverse reserve development of $4.7 million or 24.7 percentage points in the three months ended September 30, 2023 compared to none in the prior year (excluding adverse prior year development on the business subject to the Casualty Re LPT and the impact of retroactive reinsurance - see discussion above). This was partially offset by a lower current accident year loss ratio resulting from changes in the mix of business. The expense ratio increased from 29.3% for the three months ended September 30, 2022 to 39.2% for three months ended September 30, 2023 primarily reflecting higher commissions due to changes in the mix of business and commissions slides which reduced the ratio by 2.4 percentage points in the prior year compared to an increase of 3.4 points in the current year.</w:t>
      </w:r>
    </w:p>
    <w:p>
      <w:pPr>
        <w:spacing w:after="0" w:line="4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For the nine months ended September 30, 2023 and 2022, the segment had underwriting losses of $3.8 million and $3.7 million (combined ratios of 104.6% and 103.6%), respectively. The loss ratio improved from 72.7% in the prior nine month period to 70.1% in the current year, driven by a decline in the current accident year ratio, partially offset by higher net adverse reserve development on prior accident years. For the nine months ended September 30, 2023 and 2022, $9.5 million and $6.8 million (11.6 and 6.6 percentage points), respectively, of net adverse reserve development was recognized (excluding adverse prior year development on the business subject to the Casualty Re LPT and the impact of retroactive reinsurance - see discussion above). The expense ratio increased from 30.9% for the nine months ended September 30, 2022 to 34.5% for the nine months ended September 30, 2023 primarily reflecting higher commissions due to changes in the mix of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 Segment</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Other operating expenses for the Corporate and Other segment include personnel costs associated with the Bermuda and U.S. holding companies, professional fees, share based compensation for the full Company, and various other corporate expenses that were not reimbursed by our subsidiaries, including costs associated with our internal reinsurance, rating agencies and strategic initiatives. The expenses are included in our calculation of consolidated underwriting profit, and in our consolidated expense ratio and combined ratio. Total operating expenses of the Corporate and Other segment were $8.5 million and $26.3 million for the three and nine months ended September 30, 2023, respectively ($8.4 million and $25.2 million in the respective prior year periods). The higher year to date expense is largely attributable to share based compensation, which was $7.2 million and $6.2 million for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Net investment income was $26.3 million and $77.3 million for the three and nine months ended September 30, 2023, compared to $17.3 million and $48.3 million for the respective periods in the prior year. The Company's private investments generated income of $27,000 and $1.9 million for the three and nine months ended September 30, 2023 compared to losses of $424,000 and income of $2.0 million in the respective prior year periods. Excluding private investments, our net investment income for the three and nine months ended September 30, 2023 increased 48.2% and 62.9% over the prior year periods, respectively, principally due to higher yields on fixed maturities and bank loan participations. The average duration of our portfolio excluding restricted cash equivalents was 4.0 years at September 30, 2023.</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2"/>
              </w:rPr>
              <w:t>Three Months Ended</w:t>
            </w:r>
          </w:p>
        </w:tc>
        <w:tc>
          <w:tcPr>
            <w:tcW w:w="420" w:type="dxa"/>
            <w:vAlign w:val="bottom"/>
          </w:tcPr>
          <w:p>
            <w:pPr>
              <w:spacing w:after="0"/>
              <w:rPr>
                <w:sz w:val="14"/>
                <w:szCs w:val="14"/>
                <w:color w:val="auto"/>
              </w:rPr>
            </w:pPr>
          </w:p>
        </w:tc>
        <w:tc>
          <w:tcPr>
            <w:tcW w:w="2440" w:type="dxa"/>
            <w:vAlign w:val="bottom"/>
            <w:gridSpan w:val="6"/>
          </w:tcPr>
          <w:p>
            <w:pPr>
              <w:jc w:val="right"/>
              <w:ind w:right="735"/>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Pr>
          <w:p>
            <w:pPr>
              <w:spacing w:after="0"/>
              <w:rPr>
                <w:sz w:val="16"/>
                <w:szCs w:val="16"/>
                <w:color w:val="auto"/>
              </w:rPr>
            </w:pPr>
          </w:p>
        </w:tc>
        <w:tc>
          <w:tcPr>
            <w:tcW w:w="156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r>
      <w:tr>
        <w:trPr>
          <w:trHeight w:val="192"/>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189"/>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5"/>
          </w:tcPr>
          <w:p>
            <w:pPr>
              <w:ind w:left="620"/>
              <w:spacing w:after="0"/>
              <w:rPr>
                <w:sz w:val="20"/>
                <w:szCs w:val="20"/>
                <w:color w:val="auto"/>
              </w:rPr>
            </w:pPr>
            <w:r>
              <w:rPr>
                <w:rFonts w:ascii="Arial" w:cs="Arial" w:eastAsia="Arial" w:hAnsi="Arial"/>
                <w:sz w:val="14"/>
                <w:szCs w:val="14"/>
                <w:b w:val="1"/>
                <w:bCs w:val="1"/>
                <w:i w:val="1"/>
                <w:iCs w:val="1"/>
                <w:color w:val="auto"/>
                <w:w w:val="85"/>
              </w:rPr>
              <w:t>($ in thousands)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5"/>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17,166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12,267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50,526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34,878</w:t>
            </w:r>
          </w:p>
        </w:tc>
      </w:tr>
      <w:tr>
        <w:trPr>
          <w:trHeight w:val="225"/>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Bank loan participations</w:t>
            </w:r>
          </w:p>
        </w:tc>
        <w:tc>
          <w:tcPr>
            <w:tcW w:w="18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4,276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12,962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8,432</w:t>
            </w:r>
          </w:p>
        </w:tc>
      </w:tr>
      <w:tr>
        <w:trPr>
          <w:trHeight w:val="22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r>
      <w:tr>
        <w:trPr>
          <w:trHeight w:val="225"/>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Other invested assets</w:t>
            </w:r>
          </w:p>
        </w:tc>
        <w:tc>
          <w:tcPr>
            <w:tcW w:w="18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3"/>
          </w:tcPr>
          <w:p>
            <w:pPr>
              <w:ind w:left="620"/>
              <w:spacing w:after="0"/>
              <w:rPr>
                <w:sz w:val="20"/>
                <w:szCs w:val="20"/>
                <w:color w:val="auto"/>
              </w:rPr>
            </w:pPr>
            <w:r>
              <w:rPr>
                <w:rFonts w:ascii="Arial" w:cs="Arial" w:eastAsia="Arial" w:hAnsi="Arial"/>
                <w:sz w:val="18"/>
                <w:szCs w:val="18"/>
                <w:color w:val="auto"/>
                <w:w w:val="95"/>
              </w:rPr>
              <w:t>(424)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1,986</w:t>
            </w:r>
          </w:p>
        </w:tc>
      </w:tr>
      <w:tr>
        <w:trPr>
          <w:trHeight w:val="174"/>
        </w:trPr>
        <w:tc>
          <w:tcPr>
            <w:tcW w:w="54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Cash, cash equivalents, restricted cash equivalents and short-term</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8"/>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4,085</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18"/>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Gross investment income</w:t>
            </w:r>
          </w:p>
        </w:tc>
        <w:tc>
          <w:tcPr>
            <w:tcW w:w="18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27,335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18,290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80,441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51,302</w:t>
            </w:r>
          </w:p>
        </w:tc>
      </w:tr>
      <w:tr>
        <w:trPr>
          <w:trHeight w:val="225"/>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expense</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ind w:left="620"/>
              <w:spacing w:after="0"/>
              <w:rPr>
                <w:sz w:val="20"/>
                <w:szCs w:val="20"/>
                <w:color w:val="auto"/>
              </w:rPr>
            </w:pPr>
            <w:r>
              <w:rPr>
                <w:rFonts w:ascii="Arial" w:cs="Arial" w:eastAsia="Arial" w:hAnsi="Arial"/>
                <w:sz w:val="18"/>
                <w:szCs w:val="18"/>
                <w:color w:val="auto"/>
                <w:w w:val="95"/>
              </w:rPr>
              <w:t>(984)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1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26,305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17,306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77,252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48,278</w:t>
            </w:r>
          </w:p>
        </w:tc>
      </w:tr>
      <w:tr>
        <w:trPr>
          <w:trHeight w:val="20"/>
        </w:trPr>
        <w:tc>
          <w:tcPr>
            <w:tcW w:w="5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89"/>
        </w:trPr>
        <w:tc>
          <w:tcPr>
            <w:tcW w:w="5600" w:type="dxa"/>
            <w:vAlign w:val="bottom"/>
            <w:gridSpan w:val="3"/>
          </w:tcPr>
          <w:p>
            <w:pPr>
              <w:ind w:left="320"/>
              <w:spacing w:after="0"/>
              <w:rPr>
                <w:sz w:val="20"/>
                <w:szCs w:val="20"/>
                <w:color w:val="auto"/>
              </w:rPr>
            </w:pPr>
            <w:r>
              <w:rPr>
                <w:rFonts w:ascii="Arial" w:cs="Arial" w:eastAsia="Arial" w:hAnsi="Arial"/>
                <w:sz w:val="18"/>
                <w:szCs w:val="18"/>
                <w:color w:val="auto"/>
                <w:w w:val="91"/>
              </w:rPr>
              <w:t>The following table summarizes our annualized gross investment yields: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gridSpan w:val="5"/>
          </w:tcPr>
          <w:p>
            <w:pPr>
              <w:ind w:left="360"/>
              <w:spacing w:after="0"/>
              <w:rPr>
                <w:sz w:val="20"/>
                <w:szCs w:val="20"/>
                <w:color w:val="auto"/>
              </w:rPr>
            </w:pPr>
            <w:r>
              <w:rPr>
                <w:rFonts w:ascii="Arial" w:cs="Arial" w:eastAsia="Arial" w:hAnsi="Arial"/>
                <w:sz w:val="14"/>
                <w:szCs w:val="14"/>
                <w:b w:val="1"/>
                <w:bCs w:val="1"/>
                <w:color w:val="auto"/>
                <w:w w:val="90"/>
              </w:rPr>
              <w:t>Three Months Ended</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23"/>
                <w:szCs w:val="23"/>
                <w:color w:val="auto"/>
              </w:rPr>
            </w:pPr>
          </w:p>
        </w:tc>
      </w:tr>
      <w:tr>
        <w:trPr>
          <w:trHeight w:val="189"/>
        </w:trPr>
        <w:tc>
          <w:tcPr>
            <w:tcW w:w="5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5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9"/>
              </w:rPr>
              <w:t>2022</w:t>
            </w:r>
          </w:p>
        </w:tc>
      </w:tr>
      <w:tr>
        <w:trPr>
          <w:trHeight w:val="225"/>
        </w:trPr>
        <w:tc>
          <w:tcPr>
            <w:tcW w:w="5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Cash and invested assets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2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bl>
    <w:p>
      <w:pPr>
        <w:spacing w:after="0" w:line="18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Of our total cash and invested assets of $2,422.4 million at September 30, 2023 (excluding restricted cash equivalents), $232.9 million represents the cash and cash equivalents portion of the portfolio. The majority of the portfolio, or $1,836.3 million, is comprised of fixed maturity securities that are classified as available-for-sale and carried at fair value with unrealized gains and losses on these securities reported, net of applicable taxes, as a separate component of accumulated comprehensive income (loss). Also included in our investments are $152.1 million of bank loan participations, $115.8 million of equity securities, $54.1 million of short-term investments, and $31.2 million of other invested assets.</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Arial" w:cs="Arial" w:eastAsia="Arial" w:hAnsi="Arial"/>
          <w:sz w:val="18"/>
          <w:szCs w:val="18"/>
          <w:color w:val="231F20"/>
        </w:rPr>
        <w:t>Bank loan participations are measured at fair value pursuant to the Company's election of the fair</w:t>
      </w:r>
      <w:r>
        <w:rPr>
          <w:rFonts w:ascii="Arial" w:cs="Arial" w:eastAsia="Arial" w:hAnsi="Arial"/>
          <w:sz w:val="18"/>
          <w:szCs w:val="18"/>
          <w:color w:val="auto"/>
        </w:rPr>
        <w:t xml:space="preserve"> </w:t>
      </w:r>
      <w:r>
        <w:rPr>
          <w:rFonts w:ascii="Arial" w:cs="Arial" w:eastAsia="Arial" w:hAnsi="Arial"/>
          <w:sz w:val="18"/>
          <w:szCs w:val="18"/>
          <w:color w:val="231F20"/>
        </w:rPr>
        <w:t xml:space="preserve">value option, and changes in unrealized gains and losses in bank loan participations are reported in our income statement as net realized and unrealized gains (losses) on investments. </w:t>
      </w:r>
      <w:r>
        <w:rPr>
          <w:rFonts w:ascii="Arial" w:cs="Arial" w:eastAsia="Arial" w:hAnsi="Arial"/>
          <w:sz w:val="18"/>
          <w:szCs w:val="18"/>
          <w:color w:val="000000"/>
        </w:rPr>
        <w:t>At September 30, 2023 and December 31, 2022, the fair market value of these securities was $152.1 million and $155.0 million,</w:t>
      </w:r>
      <w:r>
        <w:rPr>
          <w:rFonts w:ascii="Arial" w:cs="Arial" w:eastAsia="Arial" w:hAnsi="Arial"/>
          <w:sz w:val="18"/>
          <w:szCs w:val="18"/>
          <w:color w:val="231F20"/>
        </w:rPr>
        <w:t xml:space="preserve"> </w:t>
      </w:r>
      <w:r>
        <w:rPr>
          <w:rFonts w:ascii="Arial" w:cs="Arial" w:eastAsia="Arial" w:hAnsi="Arial"/>
          <w:sz w:val="18"/>
          <w:szCs w:val="18"/>
          <w:color w:val="000000"/>
        </w:rPr>
        <w:t>respectively.</w:t>
      </w:r>
    </w:p>
    <w:p>
      <w:pPr>
        <w:spacing w:after="0" w:line="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nine months ended September 30, 2023, the Company recognized net realized and unrealized investment gains of $2.9 million ($362,000 of net realized and unrealized investment gains for the three months ended September 30, 2023), including $10.7 million of net unrealized gains on bank loan participations, $3.3 million of net unrealized losses for the change in the fair value of equity securities, $4.7 million of net realized investment losses on the sale of bank loan participations, $1.0 million of net realized investment gains on the sale of equity securities, and $847,000 of net realized investment losses on the sale of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nine months ended September 30, 2022, the Company recognized net realized and unrealized investment losses of $29.9 million ($7.8 million of net realized and unrealized investment losses for the three months ended September 30, 2022), including $13.8 million of net unrealized losses on bank loan participations, $16.0 million of net unrealized losses for the change in the fair value of equity securities, $284,000 of net realized investment gains on the sale of fixed maturity securities, $376,000 of net realized investment losses on the sale of bank loan participations, and $47,000 of net realized investment gains on the sale of equity securities.</w:t>
      </w:r>
    </w:p>
    <w:p>
      <w:pPr>
        <w:spacing w:after="0" w:line="8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In conjunction with its outside investment managers, the Company performs quarterly reviews of all securities within its investment portfolio to determine whether any impairment has occurred. In the nine months ended </w:t>
      </w:r>
      <w:r>
        <w:rPr>
          <w:rFonts w:ascii="Arial" w:cs="Arial" w:eastAsia="Arial" w:hAnsi="Arial"/>
          <w:sz w:val="18"/>
          <w:szCs w:val="18"/>
          <w:color w:val="231F20"/>
        </w:rPr>
        <w:t>September 30, 2023, m</w:t>
      </w:r>
      <w:r>
        <w:rPr>
          <w:rFonts w:ascii="Arial" w:cs="Arial" w:eastAsia="Arial" w:hAnsi="Arial"/>
          <w:sz w:val="18"/>
          <w:szCs w:val="18"/>
          <w:color w:val="auto"/>
        </w:rPr>
        <w:t xml:space="preserve">anagement recognized an impairment loss of $85,000 for one fixed maturity security due to an intent to sell the security. Management concluded that none of its fixed maturity securities were impaired at December 31, 2022. At September 30, 2023, 99.9% of the Company’s fixed maturity security portfolio was rated “BBB-” or better (“investment grade”) by Standard &amp; Poor’s or received an equivalent rating from another nationally recognized rating agency. </w:t>
      </w:r>
      <w:r>
        <w:rPr>
          <w:rFonts w:ascii="Arial" w:cs="Arial" w:eastAsia="Arial" w:hAnsi="Arial"/>
          <w:sz w:val="18"/>
          <w:szCs w:val="18"/>
          <w:color w:val="231F20"/>
        </w:rPr>
        <w:t>Management does not intend to sell available-for-sale securities in</w:t>
      </w:r>
      <w:r>
        <w:rPr>
          <w:rFonts w:ascii="Arial" w:cs="Arial" w:eastAsia="Arial" w:hAnsi="Arial"/>
          <w:sz w:val="18"/>
          <w:szCs w:val="18"/>
          <w:color w:val="auto"/>
        </w:rPr>
        <w:t xml:space="preserve"> </w:t>
      </w:r>
      <w:r>
        <w:rPr>
          <w:rFonts w:ascii="Arial" w:cs="Arial" w:eastAsia="Arial" w:hAnsi="Arial"/>
          <w:sz w:val="18"/>
          <w:szCs w:val="18"/>
          <w:color w:val="231F20"/>
        </w:rPr>
        <w:t>an unrealized loss position, and it is not “more likely than not” that the Company will be required to sell these securities before a recovery in their value to their amortized cost basis occurs.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September 30, 2023</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w w:val="95"/>
              </w:rPr>
              <w:t>December 31, 2022</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3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89"/>
              </w:rPr>
              <w:t>Cost or</w:t>
            </w: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Fair</w:t>
            </w:r>
          </w:p>
        </w:tc>
        <w:tc>
          <w:tcPr>
            <w:tcW w:w="13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93"/>
              </w:rPr>
              <w:t>Cost or</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2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ind w:left="88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Fixed maturity securities, available-for-sale:</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382,965</w:t>
            </w:r>
          </w:p>
        </w:tc>
        <w:tc>
          <w:tcPr>
            <w:tcW w:w="12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323,661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17.6 %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386,456</w:t>
            </w:r>
          </w:p>
        </w:tc>
        <w:tc>
          <w:tcPr>
            <w:tcW w:w="100" w:type="dxa"/>
            <w:vAlign w:val="bottom"/>
          </w:tcPr>
          <w:p>
            <w:pPr>
              <w:spacing w:after="0"/>
              <w:rPr>
                <w:sz w:val="19"/>
                <w:szCs w:val="19"/>
                <w:color w:val="auto"/>
              </w:rPr>
            </w:pPr>
          </w:p>
        </w:tc>
        <w:tc>
          <w:tcPr>
            <w:tcW w:w="260" w:type="dxa"/>
            <w:vAlign w:val="bottom"/>
          </w:tcPr>
          <w:p>
            <w:pPr>
              <w:jc w:val="right"/>
              <w:ind w:right="58"/>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330,852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18.6 %</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416,888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401,249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22.5 %</w:t>
            </w:r>
          </w:p>
        </w:tc>
        <w:tc>
          <w:tcPr>
            <w:tcW w:w="0" w:type="dxa"/>
            <w:vAlign w:val="bottom"/>
          </w:tcPr>
          <w:p>
            <w:pPr>
              <w:spacing w:after="0"/>
              <w:rPr>
                <w:sz w:val="1"/>
                <w:szCs w:val="1"/>
                <w:color w:val="auto"/>
              </w:rPr>
            </w:pPr>
          </w:p>
        </w:tc>
      </w:tr>
      <w:tr>
        <w:trPr>
          <w:trHeight w:val="225"/>
        </w:trPr>
        <w:tc>
          <w:tcPr>
            <w:tcW w:w="33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795,601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719,600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39.2 %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734,976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670,212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37.6 %</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Commercial mortgage and asset-backed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306,952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309,015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17.3 %</w:t>
            </w:r>
          </w:p>
        </w:tc>
        <w:tc>
          <w:tcPr>
            <w:tcW w:w="0" w:type="dxa"/>
            <w:vAlign w:val="bottom"/>
          </w:tcPr>
          <w:p>
            <w:pPr>
              <w:spacing w:after="0"/>
              <w:rPr>
                <w:sz w:val="1"/>
                <w:szCs w:val="1"/>
                <w:color w:val="auto"/>
              </w:rPr>
            </w:pPr>
          </w:p>
        </w:tc>
      </w:tr>
      <w:tr>
        <w:trPr>
          <w:trHeight w:val="173"/>
        </w:trPr>
        <w:tc>
          <w:tcPr>
            <w:tcW w:w="3300" w:type="dxa"/>
            <w:vAlign w:val="bottom"/>
          </w:tcPr>
          <w:p>
            <w:pPr>
              <w:ind w:left="180"/>
              <w:spacing w:after="0" w:line="173" w:lineRule="exact"/>
              <w:rPr>
                <w:sz w:val="20"/>
                <w:szCs w:val="20"/>
                <w:color w:val="auto"/>
              </w:rPr>
            </w:pPr>
            <w:r>
              <w:rPr>
                <w:rFonts w:ascii="Arial" w:cs="Arial" w:eastAsia="Arial" w:hAnsi="Arial"/>
                <w:sz w:val="18"/>
                <w:szCs w:val="18"/>
                <w:color w:val="auto"/>
                <w:w w:val="97"/>
              </w:rPr>
              <w:t>U.S. Treasury securities and obligations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guaranteed by the U.S. government</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72,430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69,223</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3.8 %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72,089</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4.0 %</w:t>
            </w:r>
          </w:p>
        </w:tc>
        <w:tc>
          <w:tcPr>
            <w:tcW w:w="0" w:type="dxa"/>
            <w:vAlign w:val="bottom"/>
          </w:tcPr>
          <w:p>
            <w:pPr>
              <w:spacing w:after="0"/>
              <w:rPr>
                <w:sz w:val="1"/>
                <w:szCs w:val="1"/>
                <w:color w:val="auto"/>
              </w:rPr>
            </w:pPr>
          </w:p>
        </w:tc>
      </w:tr>
      <w:tr>
        <w:trPr>
          <w:trHeight w:val="154"/>
        </w:trPr>
        <w:tc>
          <w:tcPr>
            <w:tcW w:w="33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Total fixed maturity securities, available-for-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2,054,727</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1,836,324</w:t>
            </w: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1,969,783</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1,783,417</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0" w:type="dxa"/>
            <w:vAlign w:val="bottom"/>
          </w:tcPr>
          <w:p>
            <w:pPr>
              <w:spacing w:after="0"/>
              <w:rPr>
                <w:sz w:val="1"/>
                <w:szCs w:val="1"/>
                <w:color w:val="auto"/>
              </w:rPr>
            </w:pPr>
          </w:p>
        </w:tc>
      </w:tr>
      <w:tr>
        <w:trPr>
          <w:trHeight w:val="231"/>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The following table sets forth the composition of the Company’s portfolio of available-for-sale fixed maturity securities by rating as of </w:t>
      </w:r>
      <w:r>
        <w:rPr>
          <w:rFonts w:ascii="Arial" w:cs="Arial" w:eastAsia="Arial" w:hAnsi="Arial"/>
          <w:sz w:val="15"/>
          <w:szCs w:val="15"/>
          <w:color w:val="231F20"/>
        </w:rPr>
        <w:t>September 30,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231F20"/>
        </w:rPr>
        <w:t>2023</w:t>
      </w:r>
      <w:r>
        <w:rPr>
          <w:rFonts w:ascii="Arial" w:cs="Arial" w:eastAsia="Arial" w:hAnsi="Arial"/>
          <w:sz w:val="18"/>
          <w:szCs w:val="18"/>
          <w:color w:val="000000"/>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 of Total</w:t>
            </w:r>
          </w:p>
        </w:tc>
      </w:tr>
      <w:tr>
        <w:trPr>
          <w:trHeight w:val="24"/>
        </w:trPr>
        <w:tc>
          <w:tcPr>
            <w:tcW w:w="8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183"/>
        </w:trPr>
        <w:tc>
          <w:tcPr>
            <w:tcW w:w="8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3"/>
          </w:tcPr>
          <w:p>
            <w:pPr>
              <w:jc w:val="right"/>
              <w:ind w:right="77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3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394,787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AA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751,329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40.9 %</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526,975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BBB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161,920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BBB and unrated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19"/>
        </w:trPr>
        <w:tc>
          <w:tcPr>
            <w:tcW w:w="85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1,836,324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amortized cost and fair value of our available-for-sale investments in fixed maturity securities summarized by contractual maturity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w w:val="93"/>
              </w:rPr>
              <w:t>September 30, 2023</w:t>
            </w:r>
          </w:p>
        </w:tc>
        <w:tc>
          <w:tcPr>
            <w:tcW w:w="1320" w:type="dxa"/>
            <w:vAlign w:val="bottom"/>
          </w:tcPr>
          <w:p>
            <w:pPr>
              <w:spacing w:after="0"/>
              <w:rPr>
                <w:sz w:val="15"/>
                <w:szCs w:val="15"/>
                <w:color w:val="auto"/>
              </w:rPr>
            </w:pPr>
          </w:p>
        </w:tc>
      </w:tr>
      <w:tr>
        <w:trPr>
          <w:trHeight w:val="24"/>
        </w:trPr>
        <w:tc>
          <w:tcPr>
            <w:tcW w:w="7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26"/>
        </w:trPr>
        <w:tc>
          <w:tcPr>
            <w:tcW w:w="7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0"/>
                <w:szCs w:val="10"/>
                <w:color w:val="auto"/>
              </w:rPr>
            </w:pPr>
          </w:p>
        </w:tc>
        <w:tc>
          <w:tcPr>
            <w:tcW w:w="1000" w:type="dxa"/>
            <w:vAlign w:val="bottom"/>
            <w:gridSpan w:val="2"/>
          </w:tcPr>
          <w:p>
            <w:pPr>
              <w:jc w:val="center"/>
              <w:ind w:right="420"/>
              <w:spacing w:after="0" w:line="126" w:lineRule="exact"/>
              <w:rPr>
                <w:sz w:val="20"/>
                <w:szCs w:val="20"/>
                <w:color w:val="auto"/>
              </w:rPr>
            </w:pPr>
            <w:r>
              <w:rPr>
                <w:rFonts w:ascii="Arial" w:cs="Arial" w:eastAsia="Arial" w:hAnsi="Arial"/>
                <w:sz w:val="14"/>
                <w:szCs w:val="14"/>
                <w:b w:val="1"/>
                <w:bCs w:val="1"/>
                <w:color w:val="auto"/>
              </w:rPr>
              <w:t>Fair</w:t>
            </w:r>
          </w:p>
        </w:tc>
        <w:tc>
          <w:tcPr>
            <w:tcW w:w="1320" w:type="dxa"/>
            <w:vAlign w:val="bottom"/>
          </w:tcPr>
          <w:p>
            <w:pPr>
              <w:jc w:val="right"/>
              <w:ind w:right="436"/>
              <w:spacing w:after="0" w:line="126" w:lineRule="exact"/>
              <w:rPr>
                <w:sz w:val="20"/>
                <w:szCs w:val="20"/>
                <w:color w:val="auto"/>
              </w:rPr>
            </w:pPr>
            <w:r>
              <w:rPr>
                <w:rFonts w:ascii="Arial" w:cs="Arial" w:eastAsia="Arial" w:hAnsi="Arial"/>
                <w:sz w:val="14"/>
                <w:szCs w:val="14"/>
                <w:b w:val="1"/>
                <w:bCs w:val="1"/>
                <w:color w:val="auto"/>
              </w:rPr>
              <w:t>% of</w:t>
            </w:r>
          </w:p>
        </w:tc>
      </w:tr>
      <w:tr>
        <w:trPr>
          <w:trHeight w:val="192"/>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Total Value</w:t>
            </w:r>
          </w:p>
        </w:tc>
      </w:tr>
      <w:tr>
        <w:trPr>
          <w:trHeight w:val="189"/>
        </w:trPr>
        <w:tc>
          <w:tcPr>
            <w:tcW w:w="7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spacing w:after="0"/>
              <w:rPr>
                <w:sz w:val="16"/>
                <w:szCs w:val="16"/>
                <w:color w:val="auto"/>
              </w:rPr>
            </w:pPr>
          </w:p>
        </w:tc>
      </w:tr>
      <w:tr>
        <w:trPr>
          <w:trHeight w:val="23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One year or less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95,503</w:t>
            </w:r>
          </w:p>
        </w:tc>
        <w:tc>
          <w:tcPr>
            <w:tcW w:w="10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93,936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5.1 %</w:t>
            </w:r>
          </w:p>
        </w:tc>
      </w:tr>
      <w:tr>
        <w:trPr>
          <w:trHeight w:val="22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one year through five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488,596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26.6 %</w:t>
            </w: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After five years through ten years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320,897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17.5 %</w:t>
            </w:r>
          </w:p>
        </w:tc>
      </w:tr>
      <w:tr>
        <w:trPr>
          <w:trHeight w:val="22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ten years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209,055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11.4 %</w:t>
            </w:r>
          </w:p>
        </w:tc>
      </w:tr>
      <w:tr>
        <w:trPr>
          <w:trHeight w:val="225"/>
        </w:trPr>
        <w:tc>
          <w:tcPr>
            <w:tcW w:w="7220" w:type="dxa"/>
            <w:vAlign w:val="bottom"/>
          </w:tcPr>
          <w:p>
            <w:pPr>
              <w:ind w:left="140"/>
              <w:spacing w:after="0"/>
              <w:rPr>
                <w:sz w:val="20"/>
                <w:szCs w:val="20"/>
                <w:color w:val="auto"/>
              </w:rPr>
            </w:pPr>
            <w:r>
              <w:rPr>
                <w:rFonts w:ascii="Arial" w:cs="Arial" w:eastAsia="Arial" w:hAnsi="Arial"/>
                <w:sz w:val="18"/>
                <w:szCs w:val="18"/>
                <w:color w:val="auto"/>
              </w:rPr>
              <w:t>Residential mortgage-backed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416,888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22.7 %</w:t>
            </w:r>
          </w:p>
        </w:tc>
      </w:tr>
      <w:tr>
        <w:trPr>
          <w:trHeight w:val="225"/>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306,952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16.7 %</w:t>
            </w:r>
          </w:p>
        </w:tc>
      </w:tr>
      <w:tr>
        <w:trPr>
          <w:trHeight w:val="219"/>
        </w:trPr>
        <w:tc>
          <w:tcPr>
            <w:tcW w:w="72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2,054,727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1,836,324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100.0 %</w:t>
            </w:r>
          </w:p>
        </w:tc>
      </w:tr>
      <w:tr>
        <w:trPr>
          <w:trHeight w:val="20"/>
        </w:trPr>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Other income and expense items netted to income of $2.3 million and $1.8 million for the three and nine </w:t>
      </w:r>
      <w:r>
        <w:rPr>
          <w:rFonts w:ascii="Arial" w:cs="Arial" w:eastAsia="Arial" w:hAnsi="Arial"/>
          <w:sz w:val="17"/>
          <w:szCs w:val="17"/>
          <w:color w:val="231F20"/>
        </w:rPr>
        <w:t>months ended September 30, 2023, respectively,</w:t>
      </w:r>
      <w:r>
        <w:rPr>
          <w:rFonts w:ascii="Arial" w:cs="Arial" w:eastAsia="Arial" w:hAnsi="Arial"/>
          <w:sz w:val="17"/>
          <w:szCs w:val="17"/>
          <w:color w:val="auto"/>
        </w:rPr>
        <w:t xml:space="preserve"> </w:t>
      </w:r>
      <w:r>
        <w:rPr>
          <w:rFonts w:ascii="Arial" w:cs="Arial" w:eastAsia="Arial" w:hAnsi="Arial"/>
          <w:sz w:val="17"/>
          <w:szCs w:val="17"/>
          <w:color w:val="231F20"/>
        </w:rPr>
        <w:t xml:space="preserve">and included </w:t>
      </w:r>
      <w:r>
        <w:rPr>
          <w:rFonts w:ascii="Arial" w:cs="Arial" w:eastAsia="Arial" w:hAnsi="Arial"/>
          <w:sz w:val="17"/>
          <w:szCs w:val="17"/>
          <w:color w:val="000000"/>
        </w:rPr>
        <w:t>a $2.2 million gain on the sale of the renewal rights to the IRWC business in the Specialty Admitted Insurance segment in the current quarter and</w:t>
      </w:r>
      <w:r>
        <w:rPr>
          <w:rFonts w:ascii="Arial" w:cs="Arial" w:eastAsia="Arial" w:hAnsi="Arial"/>
          <w:sz w:val="17"/>
          <w:szCs w:val="17"/>
          <w:color w:val="231F20"/>
        </w:rPr>
        <w:t xml:space="preserve"> </w:t>
      </w:r>
      <w:r>
        <w:rPr>
          <w:rFonts w:ascii="Arial" w:cs="Arial" w:eastAsia="Arial" w:hAnsi="Arial"/>
          <w:sz w:val="17"/>
          <w:szCs w:val="17"/>
          <w:color w:val="000000"/>
        </w:rPr>
        <w:t xml:space="preserve">$540,000 of broker incentive rebates in the Excess and Surplus Lines segment in the current quarter. These were partially offset by non-operating expenses of $641,000 and $1.5 million in the respective three and nine months of the current year primarily consisting of legal fees related to a purported class action lawsuit and legal and other professional fees and other expenses related to various strategic initiatives including the sale of renewal rights to the IRWC business in the Specialty Admitted Insurance segment and loss portfolio transfers accounted for as retroactive reinsurance. For the three and nine </w:t>
      </w:r>
      <w:r>
        <w:rPr>
          <w:rFonts w:ascii="Arial" w:cs="Arial" w:eastAsia="Arial" w:hAnsi="Arial"/>
          <w:sz w:val="17"/>
          <w:szCs w:val="17"/>
          <w:color w:val="231F20"/>
        </w:rPr>
        <w:t>months</w:t>
      </w:r>
      <w:r>
        <w:rPr>
          <w:rFonts w:ascii="Arial" w:cs="Arial" w:eastAsia="Arial" w:hAnsi="Arial"/>
          <w:sz w:val="17"/>
          <w:szCs w:val="17"/>
          <w:color w:val="000000"/>
        </w:rPr>
        <w:t xml:space="preserve"> </w:t>
      </w:r>
      <w:r>
        <w:rPr>
          <w:rFonts w:ascii="Arial" w:cs="Arial" w:eastAsia="Arial" w:hAnsi="Arial"/>
          <w:sz w:val="17"/>
          <w:szCs w:val="17"/>
          <w:color w:val="231F20"/>
        </w:rPr>
        <w:t>ended September 30, 2022, o</w:t>
      </w:r>
      <w:r>
        <w:rPr>
          <w:rFonts w:ascii="Arial" w:cs="Arial" w:eastAsia="Arial" w:hAnsi="Arial"/>
          <w:sz w:val="17"/>
          <w:szCs w:val="17"/>
          <w:color w:val="000000"/>
        </w:rPr>
        <w:t>ther income and expense netted to income of $364,000 and $112,000, respectively, and included non-operating expenses of</w:t>
      </w:r>
      <w:r>
        <w:rPr>
          <w:rFonts w:ascii="Arial" w:cs="Arial" w:eastAsia="Arial" w:hAnsi="Arial"/>
          <w:sz w:val="17"/>
          <w:szCs w:val="17"/>
          <w:color w:val="231F20"/>
        </w:rPr>
        <w:t xml:space="preserve"> </w:t>
      </w:r>
      <w:r>
        <w:rPr>
          <w:rFonts w:ascii="Arial" w:cs="Arial" w:eastAsia="Arial" w:hAnsi="Arial"/>
          <w:sz w:val="17"/>
          <w:szCs w:val="17"/>
          <w:color w:val="000000"/>
        </w:rPr>
        <w:t xml:space="preserve">$210,000 and $578,000, </w:t>
      </w:r>
      <w:r>
        <w:rPr>
          <w:rFonts w:ascii="Arial" w:cs="Arial" w:eastAsia="Arial" w:hAnsi="Arial"/>
          <w:sz w:val="17"/>
          <w:szCs w:val="17"/>
          <w:color w:val="231F20"/>
        </w:rPr>
        <w:t>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Interest expense was $7.3 million and $20.9 million for the three and nine </w:t>
      </w:r>
      <w:r>
        <w:rPr>
          <w:rFonts w:ascii="Arial" w:cs="Arial" w:eastAsia="Arial" w:hAnsi="Arial"/>
          <w:sz w:val="18"/>
          <w:szCs w:val="18"/>
          <w:color w:val="231F20"/>
        </w:rPr>
        <w:t>months ended September 30, 2023, respectively (</w:t>
      </w:r>
      <w:r>
        <w:rPr>
          <w:rFonts w:ascii="Arial" w:cs="Arial" w:eastAsia="Arial" w:hAnsi="Arial"/>
          <w:sz w:val="18"/>
          <w:szCs w:val="18"/>
          <w:color w:val="auto"/>
        </w:rPr>
        <w:t xml:space="preserve">$5.0 million </w:t>
      </w:r>
      <w:r>
        <w:rPr>
          <w:rFonts w:ascii="Arial" w:cs="Arial" w:eastAsia="Arial" w:hAnsi="Arial"/>
          <w:sz w:val="18"/>
          <w:szCs w:val="18"/>
          <w:color w:val="231F20"/>
        </w:rPr>
        <w:t>and</w:t>
      </w:r>
      <w:r>
        <w:rPr>
          <w:rFonts w:ascii="Arial" w:cs="Arial" w:eastAsia="Arial" w:hAnsi="Arial"/>
          <w:sz w:val="18"/>
          <w:szCs w:val="18"/>
          <w:color w:val="auto"/>
        </w:rPr>
        <w:t xml:space="preserve"> $11.3 million for the three and nine </w:t>
      </w:r>
      <w:r>
        <w:rPr>
          <w:rFonts w:ascii="Arial" w:cs="Arial" w:eastAsia="Arial" w:hAnsi="Arial"/>
          <w:sz w:val="18"/>
          <w:szCs w:val="18"/>
          <w:color w:val="231F20"/>
        </w:rPr>
        <w:t>months ended September 30, 2022, respectively</w:t>
      </w:r>
      <w:r>
        <w:rPr>
          <w:rFonts w:ascii="Arial" w:cs="Arial" w:eastAsia="Arial" w:hAnsi="Arial"/>
          <w:sz w:val="18"/>
          <w:szCs w:val="18"/>
          <w:color w:val="auto"/>
        </w:rPr>
        <w:t xml:space="preserve">). The increase over the prior year periods reflects the impact of rising interest rates on our variable rate senior and trust preferred debt and crediting fees on the Funds Withheld Account balance under the Casualty Re LPT ($846,000 and $2.8 million for the three and nine </w:t>
      </w:r>
      <w:r>
        <w:rPr>
          <w:rFonts w:ascii="Arial" w:cs="Arial" w:eastAsia="Arial" w:hAnsi="Arial"/>
          <w:sz w:val="18"/>
          <w:szCs w:val="18"/>
          <w:color w:val="231F20"/>
        </w:rPr>
        <w:t>months ended September 30, 2023, respectively,</w:t>
      </w:r>
      <w:r>
        <w:rPr>
          <w:rFonts w:ascii="Arial" w:cs="Arial" w:eastAsia="Arial" w:hAnsi="Arial"/>
          <w:sz w:val="18"/>
          <w:szCs w:val="18"/>
          <w:color w:val="auto"/>
        </w:rPr>
        <w:t xml:space="preserve"> and $1.2 million and $2.6 million for the three and nine </w:t>
      </w:r>
      <w:r>
        <w:rPr>
          <w:rFonts w:ascii="Arial" w:cs="Arial" w:eastAsia="Arial" w:hAnsi="Arial"/>
          <w:sz w:val="18"/>
          <w:szCs w:val="18"/>
          <w:color w:val="231F20"/>
        </w:rPr>
        <w:t>months ended</w:t>
      </w:r>
      <w:r>
        <w:rPr>
          <w:rFonts w:ascii="Arial" w:cs="Arial" w:eastAsia="Arial" w:hAnsi="Arial"/>
          <w:sz w:val="18"/>
          <w:szCs w:val="18"/>
          <w:color w:val="auto"/>
        </w:rPr>
        <w:t xml:space="preserve"> </w:t>
      </w:r>
      <w:r>
        <w:rPr>
          <w:rFonts w:ascii="Arial" w:cs="Arial" w:eastAsia="Arial" w:hAnsi="Arial"/>
          <w:sz w:val="18"/>
          <w:szCs w:val="18"/>
          <w:color w:val="231F20"/>
        </w:rPr>
        <w:t>September 30, 2022, respectively)</w:t>
      </w:r>
      <w:r>
        <w:rPr>
          <w:rFonts w:ascii="Arial" w:cs="Arial" w:eastAsia="Arial" w:hAnsi="Arial"/>
          <w:sz w:val="18"/>
          <w:szCs w:val="18"/>
          <w:color w:val="000000"/>
        </w:rPr>
        <w:t>. See “—Liquidity and Capital Resources—Sources and Uses of Funds” for more information regarding our senior bank</w:t>
      </w:r>
      <w:r>
        <w:rPr>
          <w:rFonts w:ascii="Arial" w:cs="Arial" w:eastAsia="Arial" w:hAnsi="Arial"/>
          <w:sz w:val="18"/>
          <w:szCs w:val="18"/>
          <w:color w:val="231F20"/>
        </w:rPr>
        <w:t xml:space="preserve"> </w:t>
      </w:r>
      <w:r>
        <w:rPr>
          <w:rFonts w:ascii="Arial" w:cs="Arial" w:eastAsia="Arial" w:hAnsi="Arial"/>
          <w:sz w:val="18"/>
          <w:szCs w:val="18"/>
          <w:color w:val="000000"/>
        </w:rPr>
        <w:t>debt facilities and trust preferred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 and Impairment of Intangible Assets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recorded $90,000 of amortization of intangible assets in each of the three months ended September 30, 2023 and 2022 ($272,000 in each of the nine months ended September 30, 2023 and 2022).</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September 29, 2023, the Company closed on an agreement to sell the renewal rights to the IRWC business in the Specialty Admitted Insurance segment. Upon closing of the transaction, the Company recognized an impairment charge of $2.5 million related to the trademark intangible asset associated with the IRWC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1"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or expenses on share based compensation. For the nine months ended September 30, 2023 and 2022, our U.S. federal income tax expense was 26.8% and 30.9%, respectively, of the income before taxes. The effective rate exceeded the 21.0% U.S. statutory rate in both periods due to projected annual losses in Bermuda that do not provide a tax benefit and due to discrete items in the respective periods primarily related to excess tax expenses associated with vested restricted share units (“RSUs”).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gross reserve for losses and loss adjustment expenses at September 30, 2023 was $2,887.4 million. Of this amount, 64.7% relates to amounts that are IBNR. This amount was 61.5% at December 31, 2022. The Company’s gross reserves for losses and loss adjustment expenses by segment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00" w:type="dxa"/>
            <w:vAlign w:val="bottom"/>
            <w:gridSpan w:val="6"/>
          </w:tcPr>
          <w:p>
            <w:pPr>
              <w:jc w:val="center"/>
              <w:ind w:left="538"/>
              <w:spacing w:after="0"/>
              <w:rPr>
                <w:sz w:val="20"/>
                <w:szCs w:val="20"/>
                <w:color w:val="auto"/>
              </w:rPr>
            </w:pPr>
            <w:r>
              <w:rPr>
                <w:rFonts w:ascii="Arial" w:cs="Arial" w:eastAsia="Arial" w:hAnsi="Arial"/>
                <w:sz w:val="14"/>
                <w:szCs w:val="14"/>
                <w:b w:val="1"/>
                <w:bCs w:val="1"/>
                <w:color w:val="auto"/>
                <w:w w:val="88"/>
              </w:rPr>
              <w:t>Gross Reserves at September 30, 2023</w:t>
            </w:r>
          </w:p>
        </w:tc>
        <w:tc>
          <w:tcPr>
            <w:tcW w:w="920" w:type="dxa"/>
            <w:vAlign w:val="bottom"/>
          </w:tcPr>
          <w:p>
            <w:pPr>
              <w:spacing w:after="0"/>
              <w:rPr>
                <w:sz w:val="15"/>
                <w:szCs w:val="15"/>
                <w:color w:val="auto"/>
              </w:rPr>
            </w:pPr>
          </w:p>
        </w:tc>
      </w:tr>
      <w:tr>
        <w:trPr>
          <w:trHeight w:val="24"/>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IBNR</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189"/>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474,675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1,176,618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1,651,293</w:t>
            </w: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425,935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825,323</w:t>
            </w:r>
          </w:p>
        </w:tc>
      </w:tr>
      <w:tr>
        <w:trPr>
          <w:trHeight w:val="225"/>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264,539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410,736</w:t>
            </w:r>
          </w:p>
        </w:tc>
      </w:tr>
      <w:tr>
        <w:trPr>
          <w:trHeight w:val="219"/>
        </w:trPr>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1,020,260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1,867,092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2,887,352</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At September 30, 2023, the amount of net reserves (prior to the $688,000 allowance for uncollectible reinsurance recoverables) of $1,377.2 million that related to IBNR was 70.9%. This amount was 66.6% at December 31, 2022. The Company’s net reserves for losses and loss adjustment expenses by segment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60" w:type="dxa"/>
            <w:vAlign w:val="bottom"/>
            <w:gridSpan w:val="6"/>
          </w:tcPr>
          <w:p>
            <w:pPr>
              <w:jc w:val="center"/>
              <w:ind w:left="558"/>
              <w:spacing w:after="0"/>
              <w:rPr>
                <w:sz w:val="20"/>
                <w:szCs w:val="20"/>
                <w:color w:val="auto"/>
              </w:rPr>
            </w:pPr>
            <w:r>
              <w:rPr>
                <w:rFonts w:ascii="Arial" w:cs="Arial" w:eastAsia="Arial" w:hAnsi="Arial"/>
                <w:sz w:val="14"/>
                <w:szCs w:val="14"/>
                <w:b w:val="1"/>
                <w:bCs w:val="1"/>
                <w:color w:val="auto"/>
                <w:w w:val="89"/>
              </w:rPr>
              <w:t>Net Reserves at September 30, 2023</w:t>
            </w:r>
          </w:p>
        </w:tc>
        <w:tc>
          <w:tcPr>
            <w:tcW w:w="960" w:type="dxa"/>
            <w:vAlign w:val="bottom"/>
          </w:tcPr>
          <w:p>
            <w:pPr>
              <w:spacing w:after="0"/>
              <w:rPr>
                <w:sz w:val="15"/>
                <w:szCs w:val="15"/>
                <w:color w:val="auto"/>
              </w:rPr>
            </w:pPr>
          </w:p>
        </w:tc>
      </w:tr>
      <w:tr>
        <w:trPr>
          <w:trHeight w:val="24"/>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9"/>
              </w:rPr>
              <w:t>IBNR</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Total</w:t>
            </w:r>
          </w:p>
        </w:tc>
      </w:tr>
      <w:tr>
        <w:trPr>
          <w:trHeight w:val="189"/>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5"/>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778,890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1,064,754</w:t>
            </w:r>
          </w:p>
        </w:tc>
      </w:tr>
      <w:tr>
        <w:trPr>
          <w:trHeight w:val="225"/>
        </w:trPr>
        <w:tc>
          <w:tcPr>
            <w:tcW w:w="686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127,085</w:t>
            </w:r>
          </w:p>
        </w:tc>
      </w:tr>
      <w:tr>
        <w:trPr>
          <w:trHeight w:val="225"/>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185,378</w:t>
            </w:r>
          </w:p>
        </w:tc>
      </w:tr>
      <w:tr>
        <w:trPr>
          <w:trHeight w:val="219"/>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976,242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1,377,217</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1" w:lineRule="exact"/>
        <w:rPr>
          <w:sz w:val="20"/>
          <w:szCs w:val="20"/>
          <w:color w:val="auto"/>
        </w:rPr>
      </w:pPr>
    </w:p>
    <w:p>
      <w:pPr>
        <w:jc w:val="both"/>
        <w:ind w:firstLine="358"/>
        <w:spacing w:after="0" w:line="250" w:lineRule="auto"/>
        <w:rPr>
          <w:sz w:val="20"/>
          <w:szCs w:val="20"/>
          <w:color w:val="auto"/>
        </w:rPr>
      </w:pPr>
      <w:r>
        <w:rPr>
          <w:rFonts w:ascii="Arial" w:cs="Arial" w:eastAsia="Arial" w:hAnsi="Arial"/>
          <w:sz w:val="18"/>
          <w:szCs w:val="18"/>
          <w:color w:val="auto"/>
        </w:rPr>
        <w:t>Our sources of funds consist primarily of premiums written, investment income, reinsurance recoveries, proceeds from sales and redemptions of investments, borrowings on our credit facilities, and the issuance of common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or reinsurance contract means that substantial and unpredictable payments may need to be made within relatively short periods of time.</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4"/>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2022</w:t>
            </w:r>
          </w:p>
        </w:tc>
      </w:tr>
      <w:tr>
        <w:trPr>
          <w:trHeight w:val="189"/>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60" w:type="dxa"/>
            <w:vAlign w:val="bottom"/>
          </w:tcPr>
          <w:p>
            <w:pPr>
              <w:spacing w:after="0"/>
              <w:rPr>
                <w:sz w:val="16"/>
                <w:szCs w:val="16"/>
                <w:color w:val="auto"/>
              </w:rPr>
            </w:pPr>
          </w:p>
        </w:tc>
      </w:tr>
      <w:tr>
        <w:trPr>
          <w:trHeight w:val="23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provided by (used in):</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Operating activities (excluding restricted cash equivalents)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94,108</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167,649</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(262,181)</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91,953</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 and cash equivalents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restricted cash equivalents (operating activities)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 equivalents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Cash provided by operating activities excluding restricted cash equivalents of $94.1 million and $167.6 million for the nine months ended September 30, 2023 and 2022, respectively, was driven by the growth in our U.S. segments and the collection of premiums receivable at a quicker rate than payments of loss and loss adjustment expenses. The cash provided by operating activities declined relative to the prior year due to the suspension of underwriting activities in the Casualty Reinsurance segment earlier this year.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Cash used in investing activities of $18.0 million and $262.2 million for the nine months ended September 30, 2023 and 2022, respectively, reflects our efforts to enhance the yield in our investment portfolio by investing available cash and cash equivalents into higher yielding investments. Cash and cash equivalents (excluding restricted cash equivalents) comprised 9.6% and 7.9% of total cash and invested assets at September 30, 2023 and 2022, respectively. The decrease in cash used in investing activities primarily reflects the suspension of underwriting activities in the Casualty Reinsurance segment earlier this year and the withdrawal of invested assets in that segment to fund claims and operating expenses.</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Cash used in financing activities of $16.3 million for the nine months ended September 30, 2023 includes $5.8 million of dividends paid to common shareholders, $7.9 million of dividends paid on the Series A Preferred Shares, $1.1 million of paid issuance costs related to the amendment of the 2013 Facility in July, 2023, and $1.5 million of payroll taxes withheld and remitted on net settlement of RSUs. Cash provided by financing activities of $92.0 million for the nine months ended September 30, 2022 includes $144.9 million of net proceeds (after expenses) from the issuance and sale of 150,000 Series A Preferred Shares on March 1, 2022. The proceeds were used for general corporate purposes and to repay $40.0 million of loans outstanding on the 2017 Facility (as defined below) on March 28, 2022. Financing activities for the nine months ended September 30, 2022 also include $5.9 million of dividends paid to common shareholders, $6.1 million of dividends paid on the Series A Preferred Shares, and $941,000 of payroll taxes withheld and remitted on net settlement of RSUs.</w:t>
      </w:r>
    </w:p>
    <w:p>
      <w:pPr>
        <w:spacing w:after="0" w:line="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The activity in restricted cash equivalents for the nine months ended September 30, 2023 and 2022 relates to a former insured, per the terms of a collateral trust. See </w:t>
      </w:r>
      <w:r>
        <w:rPr>
          <w:rFonts w:ascii="Arial" w:cs="Arial" w:eastAsia="Arial" w:hAnsi="Arial"/>
          <w:sz w:val="18"/>
          <w:szCs w:val="18"/>
          <w:i w:val="1"/>
          <w:iCs w:val="1"/>
          <w:color w:val="auto"/>
        </w:rPr>
        <w:t>Amounts Recoverable from an Indemnifying Party and Reinsurer on Legacy Commercial Auto Book</w:t>
      </w:r>
      <w:r>
        <w:rPr>
          <w:rFonts w:ascii="Arial" w:cs="Arial" w:eastAsia="Arial" w:hAnsi="Arial"/>
          <w:sz w:val="18"/>
          <w:szCs w:val="18"/>
          <w:color w:val="auto"/>
        </w:rPr>
        <w:t xml:space="preserve">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1"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85"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 – U.S. Insurance Regulation – State Regulation” in our Annual Report on Form 10-K for the year ended December 31, 2022 filed with the SEC on February 28, 2023 for additional information. The maximum amount of dividends available to the U.S. holding company from our U.S. insurance subsidiaries during 2023 without regulatory approval is $53.7 million.</w:t>
      </w:r>
    </w:p>
    <w:p>
      <w:pPr>
        <w:spacing w:after="0" w:line="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See “Item 1. Business – Regulation – Restrictions on Dividends and Distributions” in our Annual Report on Form 10-K for the year ended December 31, 2022 filed with the SEC on February 28, 2023 for additional information. Based on that calculation, the maximum combined amount of dividends and return of capital available to us from JRG Re without regulatory approval in 2023 is calculated to be approximately $93.9 million. However, any dividend payment is contingent upon continued compliance with Bermuda regulatory requirements, including but not limited to the enhanced solvency requirement calculations.</w:t>
      </w:r>
    </w:p>
    <w:p>
      <w:pPr>
        <w:spacing w:after="0" w:line="91" w:lineRule="exact"/>
        <w:rPr>
          <w:sz w:val="20"/>
          <w:szCs w:val="20"/>
          <w:color w:val="auto"/>
        </w:rPr>
      </w:pPr>
    </w:p>
    <w:p>
      <w:pPr>
        <w:jc w:val="both"/>
        <w:ind w:firstLine="358"/>
        <w:spacing w:after="0" w:line="249" w:lineRule="auto"/>
        <w:rPr>
          <w:sz w:val="20"/>
          <w:szCs w:val="20"/>
          <w:color w:val="auto"/>
        </w:rPr>
      </w:pPr>
      <w:r>
        <w:rPr>
          <w:rFonts w:ascii="Arial" w:cs="Arial" w:eastAsia="Arial" w:hAnsi="Arial"/>
          <w:sz w:val="18"/>
          <w:szCs w:val="18"/>
          <w:color w:val="auto"/>
        </w:rPr>
        <w:t>Holders of the Series A Preferred Shares are entitled to a dividend at the initial rate of 7% of the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accrue and are payable quarterly. Cash dividends of $7.9 million were paid in the nine months ended September 30, 2023 including cash dividends paid in January, March, and June for the three month periods ended December 31, 2022, March 31, 2023, and June 30, 2023. Dividends of $2.6 million for the three months ended September 30, 2023 will be paid on October 2, 2023.</w:t>
      </w:r>
    </w:p>
    <w:p>
      <w:pPr>
        <w:spacing w:after="0" w:line="9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At September 30, 2023, the Bermuda holding company had $1.1 million of cash and cash equivalents. The U.S. holding company had $17.8 million of cash and invested assets, comprised of cash and cash equivalents of $16.4 million and other invested assets of $1.4 million, which are not subject to regulatory restrictions. Additionally, our U.K. intermediate holding company had no invested assets and cash of less than ten thousand dollars at September 30, 2023.</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September 30, 2023:</w:t>
      </w:r>
    </w:p>
    <w:p>
      <w:pPr>
        <w:spacing w:after="0" w:line="75" w:lineRule="exact"/>
        <w:rPr>
          <w:sz w:val="20"/>
          <w:szCs w:val="20"/>
          <w:color w:val="auto"/>
        </w:rPr>
      </w:pPr>
    </w:p>
    <w:p>
      <w:pPr>
        <w:jc w:val="both"/>
        <w:ind w:left="64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September 30, 2023, the Company had $41.4 million of letters of credit issued under the secured facility.</w:t>
      </w:r>
    </w:p>
    <w:p>
      <w:pPr>
        <w:spacing w:after="0" w:line="82"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and is payable in arrears, currently at 1-month SOFR (the Company, per the terms of the credit agreement, can elect between one, two, three, or six month interest periods) plus a 0.1% SOFR index adjustment and a SOFR margin which is currently 1.75% and is subject to change according to terms in the credit agreement. At September 30, 2023, the Company had a drawn balance of $185.8 million outstanding on the unsecured revolver.</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8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On July 7, 2023, the Company entered into a Third Amended and Restated Credit Agreement for its $315.0 million senior revolving credit facility which, among other things, extended the maturity date of such facility until July 7, 2026 and increased the applicable interest rate and letter of credit fees.</w:t>
      </w:r>
    </w:p>
    <w:p>
      <w:pPr>
        <w:spacing w:after="0" w:line="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September 30, 2023.</w:t>
      </w:r>
    </w:p>
    <w:p>
      <w:pPr>
        <w:spacing w:after="0" w:line="7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September 30, 2023. The loans and letters of credit made or issued under the revolving line of credit of the 2017 Facility may be used to finance the borrowers' general corporate purposes. The 2017 Facility has been amended from time to time since its inception in 2017, including on November 8, 2019 when the Company entered into a First Amendment to Credit Agreement which, among other things, lowered the applicable interest rate and modified certain negative covenants to be less restrictive. Interest accrues and is payable in arrears at variable rates which are subject to change according to terms in the credit agreement. At September 30, 2023, unsecured loans of $21.5 million and secured letters of credit totaling $27.9 million were outstanding on the 2017 Facility. During the three months ended March 31, 2022, the Company repaid $40.0 million of loans that were outstanding under the 2017 Facility.</w:t>
      </w:r>
    </w:p>
    <w:p>
      <w:pPr>
        <w:spacing w:after="0" w:line="5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SOFR plus 4.11%. This senior debt is redeemable at par prior to its stated maturity at our option in whole or in part. The terms of the senior debt contain certain covenants, with which we are in compliance at September 30, 2023, and which, among other things, restrict our ability to assume senior indebtedness secured by our U.S. holding company’s common stock or its subsidiaries’ capital stock or to issue shares of its subsidiaries’ capital stock.</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September 30, 2023 (including the Company’s repurchases of a portion of these trust preferred securities):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Franklin</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James River</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James River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James River</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Holdings II</w:t>
            </w:r>
          </w:p>
        </w:tc>
        <w:tc>
          <w:tcPr>
            <w:tcW w:w="0" w:type="dxa"/>
            <w:vAlign w:val="bottom"/>
          </w:tcPr>
          <w:p>
            <w:pPr>
              <w:spacing w:after="0"/>
              <w:rPr>
                <w:sz w:val="1"/>
                <w:szCs w:val="1"/>
                <w:color w:val="auto"/>
              </w:rPr>
            </w:pPr>
          </w:p>
        </w:tc>
      </w:tr>
      <w:tr>
        <w:trPr>
          <w:trHeight w:val="136"/>
        </w:trPr>
        <w:tc>
          <w:tcPr>
            <w:tcW w:w="30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5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1"/>
              </w:rPr>
              <w:t>(Bermuda)</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Capital</w:t>
            </w:r>
          </w:p>
        </w:tc>
        <w:tc>
          <w:tcPr>
            <w:tcW w:w="1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Capital</w:t>
            </w:r>
          </w:p>
        </w:tc>
        <w:tc>
          <w:tcPr>
            <w:tcW w:w="1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Capital</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Trust II</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Trust III</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Trust IV</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Trust I</w:t>
            </w: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 in thousands)</w:t>
            </w:r>
          </w:p>
        </w:tc>
        <w:tc>
          <w:tcPr>
            <w:tcW w:w="1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Issue date</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May 26, 2004</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December 15, 2004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June 15, 2006</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December 11,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January 10, 2008</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Principal amount of trust preferred securities</w:t>
            </w:r>
          </w:p>
        </w:tc>
        <w:tc>
          <w:tcPr>
            <w:tcW w:w="1520" w:type="dxa"/>
            <w:vAlign w:val="bottom"/>
          </w:tcPr>
          <w:p>
            <w:pPr>
              <w:jc w:val="center"/>
              <w:spacing w:after="0"/>
              <w:rPr>
                <w:sz w:val="20"/>
                <w:szCs w:val="20"/>
                <w:color w:val="auto"/>
              </w:rPr>
            </w:pPr>
            <w:r>
              <w:rPr>
                <w:rFonts w:ascii="Arial" w:cs="Arial" w:eastAsia="Arial" w:hAnsi="Arial"/>
                <w:sz w:val="14"/>
                <w:szCs w:val="14"/>
                <w:color w:val="auto"/>
                <w:w w:val="88"/>
              </w:rPr>
              <w:t>$7,000</w:t>
            </w:r>
          </w:p>
        </w:tc>
        <w:tc>
          <w:tcPr>
            <w:tcW w:w="1780" w:type="dxa"/>
            <w:vAlign w:val="bottom"/>
          </w:tcPr>
          <w:p>
            <w:pPr>
              <w:jc w:val="center"/>
              <w:spacing w:after="0"/>
              <w:rPr>
                <w:sz w:val="20"/>
                <w:szCs w:val="20"/>
                <w:color w:val="auto"/>
              </w:rPr>
            </w:pPr>
            <w:r>
              <w:rPr>
                <w:rFonts w:ascii="Arial" w:cs="Arial" w:eastAsia="Arial" w:hAnsi="Arial"/>
                <w:sz w:val="14"/>
                <w:szCs w:val="14"/>
                <w:color w:val="auto"/>
                <w:w w:val="90"/>
              </w:rPr>
              <w:t>$15,000</w:t>
            </w:r>
          </w:p>
        </w:tc>
        <w:tc>
          <w:tcPr>
            <w:tcW w:w="1580" w:type="dxa"/>
            <w:vAlign w:val="bottom"/>
          </w:tcPr>
          <w:p>
            <w:pPr>
              <w:jc w:val="center"/>
              <w:spacing w:after="0"/>
              <w:rPr>
                <w:sz w:val="20"/>
                <w:szCs w:val="20"/>
                <w:color w:val="auto"/>
              </w:rPr>
            </w:pPr>
            <w:r>
              <w:rPr>
                <w:rFonts w:ascii="Arial" w:cs="Arial" w:eastAsia="Arial" w:hAnsi="Arial"/>
                <w:sz w:val="14"/>
                <w:szCs w:val="14"/>
                <w:color w:val="auto"/>
                <w:w w:val="90"/>
              </w:rPr>
              <w:t>$20,000</w:t>
            </w: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$54,000</w:t>
            </w:r>
          </w:p>
        </w:tc>
        <w:tc>
          <w:tcPr>
            <w:tcW w:w="1580" w:type="dxa"/>
            <w:vAlign w:val="bottom"/>
          </w:tcPr>
          <w:p>
            <w:pPr>
              <w:jc w:val="center"/>
              <w:spacing w:after="0"/>
              <w:rPr>
                <w:sz w:val="20"/>
                <w:szCs w:val="20"/>
                <w:color w:val="auto"/>
              </w:rPr>
            </w:pPr>
            <w:r>
              <w:rPr>
                <w:rFonts w:ascii="Arial" w:cs="Arial" w:eastAsia="Arial" w:hAnsi="Arial"/>
                <w:sz w:val="14"/>
                <w:szCs w:val="14"/>
                <w:color w:val="auto"/>
                <w:w w:val="86"/>
              </w:rPr>
              <w:t>$30,000</w:t>
            </w: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amount of junior subordinated debt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$7,217</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$15,464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$20,619</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$55,670</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$30,928</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line="141" w:lineRule="exact"/>
              <w:rPr>
                <w:sz w:val="20"/>
                <w:szCs w:val="20"/>
                <w:color w:val="auto"/>
              </w:rPr>
            </w:pPr>
            <w:r>
              <w:rPr>
                <w:rFonts w:ascii="Arial" w:cs="Arial" w:eastAsia="Arial" w:hAnsi="Arial"/>
                <w:sz w:val="14"/>
                <w:szCs w:val="14"/>
                <w:color w:val="auto"/>
                <w:w w:val="96"/>
              </w:rPr>
              <w:t>Carrying amount of junior subordinated debt net of</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88"/>
              </w:rPr>
              <w:t>$7,217</w:t>
            </w:r>
          </w:p>
        </w:tc>
        <w:tc>
          <w:tcPr>
            <w:tcW w:w="1780" w:type="dxa"/>
            <w:vAlign w:val="bottom"/>
            <w:vMerge w:val="restart"/>
          </w:tcPr>
          <w:p>
            <w:pPr>
              <w:jc w:val="center"/>
              <w:spacing w:after="0"/>
              <w:rPr>
                <w:sz w:val="20"/>
                <w:szCs w:val="20"/>
                <w:color w:val="auto"/>
              </w:rPr>
            </w:pPr>
            <w:r>
              <w:rPr>
                <w:rFonts w:ascii="Arial" w:cs="Arial" w:eastAsia="Arial" w:hAnsi="Arial"/>
                <w:sz w:val="14"/>
                <w:szCs w:val="14"/>
                <w:color w:val="auto"/>
                <w:w w:val="90"/>
              </w:rPr>
              <w:t>$15,464</w:t>
            </w: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90"/>
              </w:rPr>
              <w:t>$20,619</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0"/>
              </w:rPr>
              <w:t>$44,827</w:t>
            </w: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w w:val="86"/>
              </w:rPr>
              <w:t>$15,928</w:t>
            </w:r>
          </w:p>
        </w:tc>
        <w:tc>
          <w:tcPr>
            <w:tcW w:w="0" w:type="dxa"/>
            <w:vAlign w:val="bottom"/>
          </w:tcPr>
          <w:p>
            <w:pPr>
              <w:spacing w:after="0"/>
              <w:rPr>
                <w:sz w:val="1"/>
                <w:szCs w:val="1"/>
                <w:color w:val="auto"/>
              </w:rPr>
            </w:pPr>
          </w:p>
        </w:tc>
      </w:tr>
      <w:tr>
        <w:trPr>
          <w:trHeight w:val="185"/>
        </w:trPr>
        <w:tc>
          <w:tcPr>
            <w:tcW w:w="304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152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Maturity date of junior subordinated debt, unless</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May 24, 2034</w:t>
            </w:r>
          </w:p>
        </w:tc>
        <w:tc>
          <w:tcPr>
            <w:tcW w:w="1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December 15, 2034</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7"/>
              </w:rPr>
              <w:t>June 15, 2036</w:t>
            </w:r>
          </w:p>
        </w:tc>
        <w:tc>
          <w:tcPr>
            <w:tcW w:w="1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December 15, 2037</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March 15, 2038</w:t>
            </w:r>
          </w:p>
        </w:tc>
        <w:tc>
          <w:tcPr>
            <w:tcW w:w="0" w:type="dxa"/>
            <w:vAlign w:val="bottom"/>
          </w:tcPr>
          <w:p>
            <w:pPr>
              <w:spacing w:after="0"/>
              <w:rPr>
                <w:sz w:val="1"/>
                <w:szCs w:val="1"/>
                <w:color w:val="auto"/>
              </w:rPr>
            </w:pPr>
          </w:p>
        </w:tc>
      </w:tr>
      <w:tr>
        <w:trPr>
          <w:trHeight w:val="191"/>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accelerated earlier</w:t>
            </w:r>
          </w:p>
        </w:tc>
        <w:tc>
          <w:tcPr>
            <w:tcW w:w="1520" w:type="dxa"/>
            <w:vAlign w:val="bottom"/>
            <w:vMerge w:val="continue"/>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72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Arial" w:cs="Arial" w:eastAsia="Arial" w:hAnsi="Arial"/>
                <w:sz w:val="14"/>
                <w:szCs w:val="14"/>
                <w:color w:val="auto"/>
              </w:rPr>
              <w:t>Trust common stock</w:t>
            </w: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$217</w:t>
            </w:r>
          </w:p>
        </w:tc>
        <w:tc>
          <w:tcPr>
            <w:tcW w:w="1780" w:type="dxa"/>
            <w:vAlign w:val="bottom"/>
          </w:tcPr>
          <w:p>
            <w:pPr>
              <w:jc w:val="center"/>
              <w:spacing w:after="0"/>
              <w:rPr>
                <w:sz w:val="20"/>
                <w:szCs w:val="20"/>
                <w:color w:val="auto"/>
              </w:rPr>
            </w:pPr>
            <w:r>
              <w:rPr>
                <w:rFonts w:ascii="Arial" w:cs="Arial" w:eastAsia="Arial" w:hAnsi="Arial"/>
                <w:sz w:val="14"/>
                <w:szCs w:val="14"/>
                <w:color w:val="auto"/>
                <w:w w:val="89"/>
              </w:rPr>
              <w:t>$464</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$619</w:t>
            </w: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$1,670</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$928</w:t>
            </w:r>
          </w:p>
        </w:tc>
        <w:tc>
          <w:tcPr>
            <w:tcW w:w="0" w:type="dxa"/>
            <w:vAlign w:val="bottom"/>
          </w:tcPr>
          <w:p>
            <w:pPr>
              <w:spacing w:after="0"/>
              <w:rPr>
                <w:sz w:val="1"/>
                <w:szCs w:val="1"/>
                <w:color w:val="auto"/>
              </w:rPr>
            </w:pPr>
          </w:p>
        </w:tc>
      </w:tr>
      <w:tr>
        <w:trPr>
          <w:trHeight w:val="150"/>
        </w:trPr>
        <w:tc>
          <w:tcPr>
            <w:tcW w:w="304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Interest rate, per annum</w:t>
            </w:r>
          </w:p>
        </w:tc>
        <w:tc>
          <w:tcPr>
            <w:tcW w:w="152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94"/>
              </w:rPr>
              <w:t>Three-Month</w:t>
            </w:r>
          </w:p>
        </w:tc>
        <w:tc>
          <w:tcPr>
            <w:tcW w:w="178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92"/>
              </w:rPr>
              <w:t>Three-Month</w:t>
            </w:r>
          </w:p>
        </w:tc>
        <w:tc>
          <w:tcPr>
            <w:tcW w:w="158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92"/>
              </w:rPr>
              <w:t>Three-Month</w:t>
            </w:r>
          </w:p>
        </w:tc>
        <w:tc>
          <w:tcPr>
            <w:tcW w:w="172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94"/>
              </w:rPr>
              <w:t>Three-Month</w:t>
            </w:r>
          </w:p>
        </w:tc>
        <w:tc>
          <w:tcPr>
            <w:tcW w:w="1580" w:type="dxa"/>
            <w:vAlign w:val="bottom"/>
            <w:shd w:val="clear" w:color="auto" w:fill="CCEEFF"/>
          </w:tcPr>
          <w:p>
            <w:pPr>
              <w:jc w:val="center"/>
              <w:spacing w:after="0" w:line="150" w:lineRule="exact"/>
              <w:rPr>
                <w:sz w:val="20"/>
                <w:szCs w:val="20"/>
                <w:color w:val="auto"/>
              </w:rPr>
            </w:pPr>
            <w:r>
              <w:rPr>
                <w:rFonts w:ascii="Arial" w:cs="Arial" w:eastAsia="Arial" w:hAnsi="Arial"/>
                <w:sz w:val="14"/>
                <w:szCs w:val="14"/>
                <w:color w:val="auto"/>
                <w:w w:val="94"/>
              </w:rPr>
              <w:t>Three-Month</w:t>
            </w:r>
          </w:p>
        </w:tc>
        <w:tc>
          <w:tcPr>
            <w:tcW w:w="0" w:type="dxa"/>
            <w:vAlign w:val="bottom"/>
          </w:tcPr>
          <w:p>
            <w:pPr>
              <w:spacing w:after="0"/>
              <w:rPr>
                <w:sz w:val="1"/>
                <w:szCs w:val="1"/>
                <w:color w:val="auto"/>
              </w:rPr>
            </w:pPr>
          </w:p>
        </w:tc>
      </w:tr>
      <w:tr>
        <w:trPr>
          <w:trHeight w:val="138"/>
        </w:trPr>
        <w:tc>
          <w:tcPr>
            <w:tcW w:w="3040" w:type="dxa"/>
            <w:vAlign w:val="bottom"/>
            <w:shd w:val="clear" w:color="auto" w:fill="CCEEFF"/>
          </w:tcPr>
          <w:p>
            <w:pPr>
              <w:spacing w:after="0"/>
              <w:rPr>
                <w:sz w:val="11"/>
                <w:szCs w:val="11"/>
                <w:color w:val="auto"/>
              </w:rPr>
            </w:pPr>
          </w:p>
        </w:tc>
        <w:tc>
          <w:tcPr>
            <w:tcW w:w="15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SOFR plus</w:t>
            </w:r>
          </w:p>
        </w:tc>
        <w:tc>
          <w:tcPr>
            <w:tcW w:w="17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SOFR plus</w:t>
            </w: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SOFR plus</w:t>
            </w:r>
          </w:p>
        </w:tc>
        <w:tc>
          <w:tcPr>
            <w:tcW w:w="17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SOFR plus</w:t>
            </w:r>
          </w:p>
        </w:tc>
        <w:tc>
          <w:tcPr>
            <w:tcW w:w="1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3"/>
              </w:rPr>
              <w:t>SOFR plus</w:t>
            </w:r>
          </w:p>
        </w:tc>
        <w:tc>
          <w:tcPr>
            <w:tcW w:w="0" w:type="dxa"/>
            <w:vAlign w:val="bottom"/>
          </w:tcPr>
          <w:p>
            <w:pPr>
              <w:spacing w:after="0"/>
              <w:rPr>
                <w:sz w:val="1"/>
                <w:szCs w:val="1"/>
                <w:color w:val="auto"/>
              </w:rPr>
            </w:pPr>
          </w:p>
        </w:tc>
      </w:tr>
      <w:tr>
        <w:trPr>
          <w:trHeight w:val="199"/>
        </w:trPr>
        <w:tc>
          <w:tcPr>
            <w:tcW w:w="304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4.3%</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3.7%</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3.4%</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4.3%</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junior subordinated debt contains certain covenants with which we are in compliance as of September 30, 2023.</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At September 30, 2023 and December 31, 2022, the Company's leverage ratio was 22.1% and 22.9%, respectively. The leverage ratio is defined in our senior credit agreements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September 30, 2023 and 2022, our net premium retention was 43.6% and 53.1%, respectively. For the nine months ended September 30, 2023 and 2022, our net premium retention was 47.5% and 50.2%, respectively.</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Excess and Surplus Lines segment’s ceded reinsurance in place as of September 30,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Line of Business</w:t>
            </w:r>
          </w:p>
        </w:tc>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Company Retention</w:t>
            </w:r>
          </w:p>
        </w:tc>
      </w:tr>
      <w:tr>
        <w:trPr>
          <w:trHeight w:val="24"/>
        </w:trPr>
        <w:tc>
          <w:tcPr>
            <w:tcW w:w="37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218"/>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Casualty</w:t>
            </w:r>
          </w:p>
        </w:tc>
        <w:tc>
          <w:tcPr>
            <w:tcW w:w="7080" w:type="dxa"/>
            <w:vAlign w:val="bottom"/>
          </w:tcPr>
          <w:p>
            <w:pPr>
              <w:spacing w:after="0"/>
              <w:rPr>
                <w:sz w:val="18"/>
                <w:szCs w:val="18"/>
                <w:color w:val="auto"/>
              </w:rPr>
            </w:pPr>
          </w:p>
        </w:tc>
      </w:tr>
      <w:tr>
        <w:trPr>
          <w:trHeight w:val="226"/>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Specialty Casualty</w:t>
            </w:r>
          </w:p>
        </w:tc>
        <w:tc>
          <w:tcPr>
            <w:tcW w:w="70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Up to $2.98 million per occurrence.</w:t>
            </w:r>
            <w:r>
              <w:rPr>
                <w:rFonts w:ascii="Arial" w:cs="Arial" w:eastAsia="Arial" w:hAnsi="Arial"/>
                <w:sz w:val="22"/>
                <w:szCs w:val="22"/>
                <w:color w:val="auto"/>
                <w:vertAlign w:val="superscript"/>
              </w:rPr>
              <w:t>(1)</w:t>
            </w:r>
          </w:p>
        </w:tc>
      </w:tr>
      <w:tr>
        <w:trPr>
          <w:trHeight w:val="225"/>
        </w:trPr>
        <w:tc>
          <w:tcPr>
            <w:tcW w:w="4120" w:type="dxa"/>
            <w:vAlign w:val="bottom"/>
            <w:gridSpan w:val="2"/>
          </w:tcPr>
          <w:p>
            <w:pPr>
              <w:ind w:left="140"/>
              <w:spacing w:after="0"/>
              <w:rPr>
                <w:sz w:val="20"/>
                <w:szCs w:val="20"/>
                <w:color w:val="auto"/>
              </w:rPr>
            </w:pPr>
            <w:r>
              <w:rPr>
                <w:rFonts w:ascii="Arial" w:cs="Arial" w:eastAsia="Arial" w:hAnsi="Arial"/>
                <w:sz w:val="18"/>
                <w:szCs w:val="18"/>
                <w:color w:val="auto"/>
              </w:rPr>
              <w:t>Primary Casualty</w:t>
            </w:r>
          </w:p>
        </w:tc>
        <w:tc>
          <w:tcPr>
            <w:tcW w:w="7080" w:type="dxa"/>
            <w:vAlign w:val="bottom"/>
          </w:tcPr>
          <w:p>
            <w:pPr>
              <w:ind w:left="20"/>
              <w:spacing w:after="0" w:line="225" w:lineRule="exact"/>
              <w:rPr>
                <w:sz w:val="20"/>
                <w:szCs w:val="20"/>
                <w:color w:val="auto"/>
              </w:rPr>
            </w:pPr>
            <w:r>
              <w:rPr>
                <w:rFonts w:ascii="Arial" w:cs="Arial" w:eastAsia="Arial" w:hAnsi="Arial"/>
                <w:sz w:val="18"/>
                <w:szCs w:val="18"/>
                <w:color w:val="auto"/>
              </w:rPr>
              <w:t>Up to $1.38 million per occurrence.</w:t>
            </w:r>
            <w:r>
              <w:rPr>
                <w:rFonts w:ascii="Arial" w:cs="Arial" w:eastAsia="Arial" w:hAnsi="Arial"/>
                <w:sz w:val="22"/>
                <w:szCs w:val="22"/>
                <w:color w:val="auto"/>
                <w:vertAlign w:val="superscript"/>
              </w:rPr>
              <w:t>(2)</w:t>
            </w:r>
          </w:p>
        </w:tc>
      </w:tr>
      <w:tr>
        <w:trPr>
          <w:trHeight w:val="225"/>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Excess Casualty</w:t>
            </w:r>
          </w:p>
        </w:tc>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to $2.08 million per occurrence.</w:t>
            </w:r>
          </w:p>
        </w:tc>
      </w:tr>
      <w:tr>
        <w:trPr>
          <w:trHeight w:val="225"/>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Property</w:t>
            </w:r>
          </w:p>
        </w:tc>
        <w:tc>
          <w:tcPr>
            <w:tcW w:w="7080" w:type="dxa"/>
            <w:vAlign w:val="bottom"/>
          </w:tcPr>
          <w:p>
            <w:pPr>
              <w:spacing w:after="0"/>
              <w:rPr>
                <w:sz w:val="19"/>
                <w:szCs w:val="19"/>
                <w:color w:val="auto"/>
              </w:rPr>
            </w:pPr>
          </w:p>
        </w:tc>
      </w:tr>
      <w:tr>
        <w:trPr>
          <w:trHeight w:val="226"/>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Excess Property</w:t>
            </w:r>
          </w:p>
        </w:tc>
        <w:tc>
          <w:tcPr>
            <w:tcW w:w="70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Up to $5.0 million per risk.</w:t>
            </w:r>
            <w:r>
              <w:rPr>
                <w:rFonts w:ascii="Arial" w:cs="Arial" w:eastAsia="Arial" w:hAnsi="Arial"/>
                <w:sz w:val="22"/>
                <w:szCs w:val="22"/>
                <w:color w:val="auto"/>
                <w:vertAlign w:val="superscript"/>
              </w:rPr>
              <w:t>(3)</w:t>
            </w:r>
          </w:p>
        </w:tc>
      </w:tr>
    </w:tbl>
    <w:p>
      <w:pPr>
        <w:spacing w:after="0" w:line="173" w:lineRule="exact"/>
        <w:rPr>
          <w:sz w:val="20"/>
          <w:szCs w:val="20"/>
          <w:color w:val="auto"/>
        </w:rPr>
      </w:pPr>
    </w:p>
    <w:p>
      <w:pPr>
        <w:ind w:left="380" w:hanging="374"/>
        <w:spacing w:after="0"/>
        <w:tabs>
          <w:tab w:leader="none" w:pos="3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Excess Casualty.</w:t>
      </w:r>
    </w:p>
    <w:p>
      <w:pPr>
        <w:spacing w:after="0" w:line="16" w:lineRule="exact"/>
        <w:rPr>
          <w:rFonts w:ascii="Arial" w:cs="Arial" w:eastAsia="Arial" w:hAnsi="Arial"/>
          <w:sz w:val="18"/>
          <w:szCs w:val="18"/>
          <w:i w:val="1"/>
          <w:iCs w:val="1"/>
          <w:color w:val="auto"/>
        </w:rPr>
      </w:pPr>
    </w:p>
    <w:p>
      <w:pPr>
        <w:ind w:left="380" w:hanging="374"/>
        <w:spacing w:after="0"/>
        <w:tabs>
          <w:tab w:leader="none" w:pos="3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$690,000.</w:t>
      </w:r>
    </w:p>
    <w:p>
      <w:pPr>
        <w:spacing w:after="0" w:line="5" w:lineRule="exact"/>
        <w:rPr>
          <w:rFonts w:ascii="Arial" w:cs="Arial" w:eastAsia="Arial" w:hAnsi="Arial"/>
          <w:sz w:val="18"/>
          <w:szCs w:val="18"/>
          <w:i w:val="1"/>
          <w:iCs w:val="1"/>
          <w:color w:val="auto"/>
        </w:rPr>
      </w:pPr>
    </w:p>
    <w:p>
      <w:pPr>
        <w:ind w:left="380" w:hanging="374"/>
        <w:spacing w:after="0"/>
        <w:tabs>
          <w:tab w:leader="none" w:pos="3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$20.0 million per event with one reinstatement.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358"/>
        <w:spacing w:after="0" w:line="330" w:lineRule="auto"/>
        <w:rPr>
          <w:sz w:val="20"/>
          <w:szCs w:val="20"/>
          <w:color w:val="auto"/>
        </w:rPr>
      </w:pPr>
      <w:r>
        <w:rPr>
          <w:rFonts w:ascii="Arial" w:cs="Arial" w:eastAsia="Arial" w:hAnsi="Arial"/>
          <w:sz w:val="15"/>
          <w:szCs w:val="15"/>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31"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In our Excess and Surplus Lines segment, we write a small book of excess property insurance, but we do not write primary property insurance. The Excess and Surplus Lines segment has a specific quota share treaty in effect to cover property risks. The quota share treaty along with facultative reinsurance helps ensure that our net retained limit per risk will be $5.0 million or less.</w:t>
      </w:r>
    </w:p>
    <w:p>
      <w:pPr>
        <w:spacing w:after="0" w:line="82" w:lineRule="exact"/>
        <w:rPr>
          <w:sz w:val="20"/>
          <w:szCs w:val="20"/>
          <w:color w:val="auto"/>
        </w:rPr>
      </w:pPr>
    </w:p>
    <w:p>
      <w:pPr>
        <w:jc w:val="both"/>
        <w:ind w:firstLine="358"/>
        <w:spacing w:after="0" w:line="264" w:lineRule="auto"/>
        <w:rPr>
          <w:sz w:val="20"/>
          <w:szCs w:val="20"/>
          <w:color w:val="auto"/>
        </w:rPr>
      </w:pPr>
      <w:r>
        <w:rPr>
          <w:rFonts w:ascii="Arial" w:cs="Arial" w:eastAsia="Arial" w:hAnsi="Arial"/>
          <w:sz w:val="18"/>
          <w:szCs w:val="18"/>
          <w:color w:val="auto"/>
        </w:rPr>
        <w:t>Also in our Excess and Surplus Lines segment, a specialty casualty treaty providing $9.0 million in excess of $2.0 million coverage is subject to reinstatement premiums for treaty years spanning July 1, 2019 through July 1 2022.</w:t>
      </w:r>
    </w:p>
    <w:p>
      <w:pPr>
        <w:spacing w:after="0" w:line="75" w:lineRule="exact"/>
        <w:rPr>
          <w:sz w:val="20"/>
          <w:szCs w:val="20"/>
          <w:color w:val="auto"/>
        </w:rPr>
      </w:pPr>
    </w:p>
    <w:p>
      <w:pPr>
        <w:jc w:val="both"/>
        <w:ind w:firstLine="358"/>
        <w:spacing w:after="0" w:line="271" w:lineRule="auto"/>
        <w:rPr>
          <w:sz w:val="20"/>
          <w:szCs w:val="20"/>
          <w:color w:val="auto"/>
        </w:rPr>
      </w:pPr>
      <w:r>
        <w:rPr>
          <w:rFonts w:ascii="Arial" w:cs="Arial" w:eastAsia="Arial" w:hAnsi="Arial"/>
          <w:sz w:val="17"/>
          <w:szCs w:val="17"/>
          <w:color w:val="auto"/>
        </w:rPr>
        <w:t>Based upon the modeling of our Excess and Surplus Lines and Specialty Admitted segments, it would take an event greater than the 1 in 1,000 year PML to exhaust our $20.0 million property catastrophe reinsurance. In the event of a catastrophe loss exhausting our $20.0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spacing w:after="0" w:line="71"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The Commercial Auto LPT with Aleka reinsures substantially all of the Excess and Surplus Lines segment’s legacy portfolio of commercial auto policies previously issued to Rasier. See “</w:t>
      </w:r>
      <w:r>
        <w:rPr>
          <w:rFonts w:ascii="Arial" w:cs="Arial" w:eastAsia="Arial" w:hAnsi="Arial"/>
          <w:sz w:val="18"/>
          <w:szCs w:val="18"/>
          <w:i w:val="1"/>
          <w:iCs w:val="1"/>
          <w:color w:val="auto"/>
        </w:rPr>
        <w:t>Amounts Recoverable from an Indemnifying Party and Reinsurer on the Legacy Commercial Auto Book</w:t>
      </w:r>
      <w:r>
        <w:rPr>
          <w:rFonts w:ascii="Arial" w:cs="Arial" w:eastAsia="Arial" w:hAnsi="Arial"/>
          <w:sz w:val="18"/>
          <w:szCs w:val="18"/>
          <w:color w:val="auto"/>
        </w:rPr>
        <w:t>” below for further information on this reinsurance agreement.</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September 30,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gridSpan w:val="2"/>
          </w:tcPr>
          <w:p>
            <w:pPr>
              <w:ind w:left="1200"/>
              <w:spacing w:after="0"/>
              <w:rPr>
                <w:sz w:val="20"/>
                <w:szCs w:val="20"/>
                <w:color w:val="auto"/>
              </w:rPr>
            </w:pPr>
            <w:r>
              <w:rPr>
                <w:rFonts w:ascii="Arial" w:cs="Arial" w:eastAsia="Arial" w:hAnsi="Arial"/>
                <w:sz w:val="14"/>
                <w:szCs w:val="14"/>
                <w:b w:val="1"/>
                <w:bCs w:val="1"/>
                <w:color w:val="auto"/>
              </w:rPr>
              <w:t>Line of Business</w:t>
            </w:r>
          </w:p>
        </w:tc>
        <w:tc>
          <w:tcPr>
            <w:tcW w:w="7420" w:type="dxa"/>
            <w:vAlign w:val="bottom"/>
          </w:tcPr>
          <w:p>
            <w:pPr>
              <w:ind w:left="3420"/>
              <w:spacing w:after="0"/>
              <w:rPr>
                <w:sz w:val="20"/>
                <w:szCs w:val="20"/>
                <w:color w:val="auto"/>
              </w:rPr>
            </w:pPr>
            <w:r>
              <w:rPr>
                <w:rFonts w:ascii="Arial" w:cs="Arial" w:eastAsia="Arial" w:hAnsi="Arial"/>
                <w:sz w:val="14"/>
                <w:szCs w:val="14"/>
                <w:b w:val="1"/>
                <w:bCs w:val="1"/>
                <w:color w:val="auto"/>
              </w:rPr>
              <w:t>Coverage</w:t>
            </w:r>
          </w:p>
        </w:tc>
      </w:tr>
      <w:tr>
        <w:trPr>
          <w:trHeight w:val="24"/>
        </w:trPr>
        <w:tc>
          <w:tcPr>
            <w:tcW w:w="3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218"/>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Casualty</w:t>
            </w:r>
          </w:p>
        </w:tc>
        <w:tc>
          <w:tcPr>
            <w:tcW w:w="7420" w:type="dxa"/>
            <w:vAlign w:val="bottom"/>
          </w:tcPr>
          <w:p>
            <w:pPr>
              <w:spacing w:after="0"/>
              <w:rPr>
                <w:sz w:val="18"/>
                <w:szCs w:val="18"/>
                <w:color w:val="auto"/>
              </w:rPr>
            </w:pPr>
          </w:p>
        </w:tc>
      </w:tr>
      <w:tr>
        <w:trPr>
          <w:trHeight w:val="226"/>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Workers’ Compensation</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of loss coverage for $29.5 million in excess of $500,000.</w:t>
            </w:r>
          </w:p>
        </w:tc>
      </w:tr>
      <w:tr>
        <w:trPr>
          <w:trHeight w:val="173"/>
        </w:trPr>
        <w:tc>
          <w:tcPr>
            <w:tcW w:w="3780" w:type="dxa"/>
            <w:vAlign w:val="bottom"/>
            <w:gridSpan w:val="2"/>
          </w:tcPr>
          <w:p>
            <w:pPr>
              <w:ind w:left="340"/>
              <w:spacing w:after="0" w:line="173" w:lineRule="exact"/>
              <w:rPr>
                <w:sz w:val="20"/>
                <w:szCs w:val="20"/>
                <w:color w:val="auto"/>
              </w:rPr>
            </w:pPr>
            <w:r>
              <w:rPr>
                <w:rFonts w:ascii="Arial" w:cs="Arial" w:eastAsia="Arial" w:hAnsi="Arial"/>
                <w:sz w:val="18"/>
                <w:szCs w:val="18"/>
                <w:color w:val="auto"/>
              </w:rPr>
              <w:t>Auto Programs</w:t>
            </w:r>
          </w:p>
        </w:tc>
        <w:tc>
          <w:tcPr>
            <w:tcW w:w="7420" w:type="dxa"/>
            <w:vAlign w:val="bottom"/>
          </w:tcPr>
          <w:p>
            <w:pPr>
              <w:ind w:left="20"/>
              <w:spacing w:after="0" w:line="173" w:lineRule="exact"/>
              <w:rPr>
                <w:sz w:val="20"/>
                <w:szCs w:val="20"/>
                <w:color w:val="auto"/>
              </w:rPr>
            </w:pPr>
            <w:r>
              <w:rPr>
                <w:rFonts w:ascii="Arial" w:cs="Arial" w:eastAsia="Arial" w:hAnsi="Arial"/>
                <w:sz w:val="18"/>
                <w:szCs w:val="18"/>
                <w:color w:val="auto"/>
                <w:w w:val="97"/>
              </w:rPr>
              <w:t>Quota share coverage for 50%-90% of limits up to $1.5 million liability and $7.5 million physical</w:t>
            </w:r>
          </w:p>
        </w:tc>
      </w:tr>
      <w:tr>
        <w:trPr>
          <w:trHeight w:val="230"/>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damage per occurrence.</w:t>
            </w:r>
          </w:p>
        </w:tc>
      </w:tr>
      <w:tr>
        <w:trPr>
          <w:trHeight w:val="180"/>
        </w:trPr>
        <w:tc>
          <w:tcPr>
            <w:tcW w:w="378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8"/>
                <w:szCs w:val="18"/>
                <w:color w:val="auto"/>
              </w:rPr>
              <w:t>General Liability &amp; Professional Liability</w:t>
            </w:r>
          </w:p>
        </w:tc>
        <w:tc>
          <w:tcPr>
            <w:tcW w:w="74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Quota share coverage for 62.5%-100% of limits up to $2.0 million per occurrence.</w:t>
            </w:r>
          </w:p>
        </w:tc>
      </w:tr>
      <w:tr>
        <w:trPr>
          <w:trHeight w:val="238"/>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Programs</w:t>
            </w:r>
          </w:p>
        </w:tc>
        <w:tc>
          <w:tcPr>
            <w:tcW w:w="7420" w:type="dxa"/>
            <w:vAlign w:val="bottom"/>
            <w:shd w:val="clear" w:color="auto" w:fill="CCEEFF"/>
          </w:tcPr>
          <w:p>
            <w:pPr>
              <w:spacing w:after="0"/>
              <w:rPr>
                <w:sz w:val="20"/>
                <w:szCs w:val="20"/>
                <w:color w:val="auto"/>
              </w:rPr>
            </w:pPr>
          </w:p>
        </w:tc>
      </w:tr>
      <w:tr>
        <w:trPr>
          <w:trHeight w:val="173"/>
        </w:trPr>
        <w:tc>
          <w:tcPr>
            <w:tcW w:w="3780" w:type="dxa"/>
            <w:vAlign w:val="bottom"/>
            <w:gridSpan w:val="2"/>
          </w:tcPr>
          <w:p>
            <w:pPr>
              <w:ind w:left="340"/>
              <w:spacing w:after="0" w:line="173" w:lineRule="exact"/>
              <w:rPr>
                <w:sz w:val="20"/>
                <w:szCs w:val="20"/>
                <w:color w:val="auto"/>
              </w:rPr>
            </w:pPr>
            <w:r>
              <w:rPr>
                <w:rFonts w:ascii="Arial" w:cs="Arial" w:eastAsia="Arial" w:hAnsi="Arial"/>
                <w:sz w:val="18"/>
                <w:szCs w:val="18"/>
                <w:color w:val="auto"/>
              </w:rPr>
              <w:t>Umbrella and Excess Casualty - Programs</w:t>
            </w:r>
          </w:p>
        </w:tc>
        <w:tc>
          <w:tcPr>
            <w:tcW w:w="7420" w:type="dxa"/>
            <w:vAlign w:val="bottom"/>
          </w:tcPr>
          <w:p>
            <w:pPr>
              <w:ind w:left="20"/>
              <w:spacing w:after="0" w:line="173" w:lineRule="exact"/>
              <w:rPr>
                <w:sz w:val="20"/>
                <w:szCs w:val="20"/>
                <w:color w:val="auto"/>
              </w:rPr>
            </w:pPr>
            <w:r>
              <w:rPr>
                <w:rFonts w:ascii="Arial" w:cs="Arial" w:eastAsia="Arial" w:hAnsi="Arial"/>
                <w:sz w:val="18"/>
                <w:szCs w:val="18"/>
                <w:color w:val="auto"/>
                <w:w w:val="90"/>
              </w:rPr>
              <w:t>Quota share coverage for at least 85% of limits up to $10.0 million per occurrence, and 82% of excess</w:t>
            </w:r>
          </w:p>
        </w:tc>
      </w:tr>
      <w:tr>
        <w:trPr>
          <w:trHeight w:val="230"/>
        </w:trPr>
        <w:tc>
          <w:tcPr>
            <w:tcW w:w="3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of loss coverage for $5.0 million in excess of $10.0 million.</w:t>
            </w:r>
          </w:p>
        </w:tc>
      </w:tr>
      <w:tr>
        <w:trPr>
          <w:trHeight w:val="232"/>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7420" w:type="dxa"/>
            <w:vAlign w:val="bottom"/>
            <w:shd w:val="clear" w:color="auto" w:fill="CCEEFF"/>
          </w:tcPr>
          <w:p>
            <w:pPr>
              <w:spacing w:after="0"/>
              <w:rPr>
                <w:sz w:val="20"/>
                <w:szCs w:val="20"/>
                <w:color w:val="auto"/>
              </w:rPr>
            </w:pPr>
          </w:p>
        </w:tc>
      </w:tr>
      <w:tr>
        <w:trPr>
          <w:trHeight w:val="225"/>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Property within Package - Programs</w:t>
            </w:r>
          </w:p>
        </w:tc>
        <w:tc>
          <w:tcPr>
            <w:tcW w:w="7420" w:type="dxa"/>
            <w:vAlign w:val="bottom"/>
          </w:tcPr>
          <w:p>
            <w:pPr>
              <w:ind w:left="20"/>
              <w:spacing w:after="0"/>
              <w:rPr>
                <w:sz w:val="20"/>
                <w:szCs w:val="20"/>
                <w:color w:val="auto"/>
              </w:rPr>
            </w:pPr>
            <w:r>
              <w:rPr>
                <w:rFonts w:ascii="Arial" w:cs="Arial" w:eastAsia="Arial" w:hAnsi="Arial"/>
                <w:sz w:val="18"/>
                <w:szCs w:val="18"/>
                <w:color w:val="auto"/>
              </w:rPr>
              <w:t>Quota share coverage for 100% of limits up to $40.0 million per risk.</w:t>
            </w:r>
          </w:p>
        </w:tc>
      </w:tr>
      <w:tr>
        <w:trPr>
          <w:trHeight w:val="226"/>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Property</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100% of limits up to $58.9 million per occurrence.</w:t>
            </w:r>
          </w:p>
        </w:tc>
      </w:tr>
      <w:tr>
        <w:trPr>
          <w:trHeight w:val="21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Aviation Programs</w:t>
            </w:r>
          </w:p>
        </w:tc>
        <w:tc>
          <w:tcPr>
            <w:tcW w:w="7420" w:type="dxa"/>
            <w:vAlign w:val="bottom"/>
          </w:tcPr>
          <w:p>
            <w:pPr>
              <w:ind w:left="20"/>
              <w:spacing w:after="0"/>
              <w:rPr>
                <w:sz w:val="20"/>
                <w:szCs w:val="20"/>
                <w:color w:val="auto"/>
              </w:rPr>
            </w:pPr>
            <w:r>
              <w:rPr>
                <w:rFonts w:ascii="Arial" w:cs="Arial" w:eastAsia="Arial" w:hAnsi="Arial"/>
                <w:sz w:val="18"/>
                <w:szCs w:val="18"/>
                <w:color w:val="auto"/>
                <w:w w:val="95"/>
              </w:rPr>
              <w:t>Quota share coverage for 80% of limits up to $25 million liability, $5.0 million hull, and $5.0 million</w:t>
            </w:r>
          </w:p>
        </w:tc>
      </w:tr>
      <w:tr>
        <w:trPr>
          <w:trHeight w:val="212"/>
        </w:trPr>
        <w:tc>
          <w:tcPr>
            <w:tcW w:w="3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w w:val="88"/>
              </w:rPr>
              <w:t>spares per occurrence, each aircraft; and excess of loss coverage for up to $8.7M excess of $300,000 of</w:t>
            </w:r>
          </w:p>
        </w:tc>
      </w:tr>
      <w:tr>
        <w:trPr>
          <w:trHeight w:val="223"/>
        </w:trPr>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our 20% share of the quota share each occurrence.</w:t>
            </w:r>
          </w:p>
        </w:tc>
      </w:tr>
    </w:tbl>
    <w:p>
      <w:pPr>
        <w:spacing w:after="0" w:line="201" w:lineRule="exact"/>
        <w:rPr>
          <w:sz w:val="20"/>
          <w:szCs w:val="20"/>
          <w:color w:val="auto"/>
        </w:rPr>
      </w:pPr>
    </w:p>
    <w:p>
      <w:pPr>
        <w:jc w:val="both"/>
        <w:ind w:firstLine="358"/>
        <w:spacing w:after="0" w:line="271"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$20.0 million in excess of $5.0 million per occurrence to manage its property exposure to an approximate 1 in 1,000 year PML.</w:t>
      </w:r>
    </w:p>
    <w:p>
      <w:pPr>
        <w:spacing w:after="0" w:line="71" w:lineRule="exact"/>
        <w:rPr>
          <w:sz w:val="20"/>
          <w:szCs w:val="20"/>
          <w:color w:val="auto"/>
        </w:rPr>
      </w:pPr>
    </w:p>
    <w:p>
      <w:pPr>
        <w:jc w:val="both"/>
        <w:ind w:firstLine="358"/>
        <w:spacing w:after="0" w:line="255" w:lineRule="auto"/>
        <w:rPr>
          <w:sz w:val="20"/>
          <w:szCs w:val="20"/>
          <w:color w:val="auto"/>
        </w:rPr>
      </w:pPr>
      <w:r>
        <w:rPr>
          <w:rFonts w:ascii="Arial" w:cs="Arial" w:eastAsia="Arial" w:hAnsi="Arial"/>
          <w:sz w:val="18"/>
          <w:szCs w:val="18"/>
          <w:color w:val="auto"/>
        </w:rPr>
        <w:t>In our Casualty Reinsurance segment, we also have limited property catastrophe exposure on treaties in run-off, primarily through auto physical damage coverage. In the aggregate, we believe our pre-tax group-wide PML from a 1 in 1,000 year property catastrophe event would not exceed 2.5% of shareholders’ equity, inclusive of reinstatement premiums payable.</w:t>
      </w:r>
    </w:p>
    <w:p>
      <w:pPr>
        <w:spacing w:after="0" w:line="82" w:lineRule="exact"/>
        <w:rPr>
          <w:sz w:val="20"/>
          <w:szCs w:val="20"/>
          <w:color w:val="auto"/>
        </w:rPr>
      </w:pPr>
    </w:p>
    <w:p>
      <w:pPr>
        <w:jc w:val="both"/>
        <w:ind w:firstLine="358"/>
        <w:spacing w:after="0" w:line="250" w:lineRule="auto"/>
        <w:rPr>
          <w:sz w:val="20"/>
          <w:szCs w:val="20"/>
          <w:color w:val="auto"/>
        </w:rPr>
      </w:pPr>
      <w:r>
        <w:rPr>
          <w:rFonts w:ascii="Arial" w:cs="Arial" w:eastAsia="Arial" w:hAnsi="Arial"/>
          <w:sz w:val="18"/>
          <w:szCs w:val="18"/>
          <w:color w:val="auto"/>
        </w:rPr>
        <w:t>On February 23, 2022, JRG Re entered into the Casualty Re LPT with FRL to reinsure the majority of the segment risk, which closed on March 31, 2022. Under the terms of the transaction,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Business; (c) paid FRL a reinsurance premium of $335.0 million, $310.0 million of which JRG Re credited to a notional funds withheld account (the “Funds Withheld Account”) and $25.0 million of which was paid in cash to FRL.</w:t>
      </w:r>
    </w:p>
    <w:p>
      <w:pPr>
        <w:spacing w:after="0" w:line="75" w:lineRule="exact"/>
        <w:rPr>
          <w:sz w:val="20"/>
          <w:szCs w:val="20"/>
          <w:color w:val="auto"/>
        </w:rPr>
      </w:pPr>
    </w:p>
    <w:p>
      <w:pPr>
        <w:jc w:val="both"/>
        <w:ind w:firstLine="358"/>
        <w:spacing w:after="0" w:line="252" w:lineRule="auto"/>
        <w:rPr>
          <w:sz w:val="20"/>
          <w:szCs w:val="20"/>
          <w:color w:val="auto"/>
        </w:rPr>
      </w:pPr>
      <w:r>
        <w:rPr>
          <w:rFonts w:ascii="Arial" w:cs="Arial" w:eastAsia="Arial" w:hAnsi="Arial"/>
          <w:sz w:val="18"/>
          <w:szCs w:val="18"/>
          <w:color w:val="auto"/>
        </w:rPr>
        <w:t>We also had a contingency clash reinsurance treaty to cover both the Excess and Surplus Lines and Specialty Admitted Insurance segments in the event of a claim incident involving more than one of our insureds in addition to Extra Contractual and Excess Policy Limits protection. The treaty covered $10.0 million in excess of a $2.0 million retention for loss occurrences within the treaty term. This coverage was put into runoff effective July 1, 2022. As of September 30, 2023, our average net retained limit per risk is $2.5 million.</w:t>
      </w:r>
    </w:p>
    <w:p>
      <w:pPr>
        <w:spacing w:after="0" w:line="85" w:lineRule="exact"/>
        <w:rPr>
          <w:sz w:val="20"/>
          <w:szCs w:val="20"/>
          <w:color w:val="auto"/>
        </w:rPr>
      </w:pPr>
    </w:p>
    <w:p>
      <w:pPr>
        <w:jc w:val="both"/>
        <w:ind w:firstLine="358"/>
        <w:spacing w:after="0" w:line="365" w:lineRule="auto"/>
        <w:rPr>
          <w:sz w:val="20"/>
          <w:szCs w:val="20"/>
          <w:color w:val="auto"/>
        </w:rPr>
      </w:pPr>
      <w:r>
        <w:rPr>
          <w:rFonts w:ascii="Arial" w:cs="Arial" w:eastAsia="Arial" w:hAnsi="Arial"/>
          <w:sz w:val="15"/>
          <w:szCs w:val="15"/>
          <w:color w:val="auto"/>
        </w:rPr>
        <w:t>Effective January 1, 2020, we purchased an additional $10.0 million in claims made coverage for excess policy limits and extra contractual obligations exposures above the clash and contingency treaty for the period 2014 to present. This treaty had one reinstatement and expired on December 31, 2022.</w:t>
      </w:r>
    </w:p>
    <w:p>
      <w:pPr>
        <w:spacing w:after="0" w:line="5" w:lineRule="exact"/>
        <w:rPr>
          <w:sz w:val="20"/>
          <w:szCs w:val="20"/>
          <w:color w:val="auto"/>
        </w:rPr>
      </w:pPr>
    </w:p>
    <w:p>
      <w:pPr>
        <w:jc w:val="both"/>
        <w:ind w:firstLine="358"/>
        <w:spacing w:after="0" w:line="303" w:lineRule="auto"/>
        <w:rPr>
          <w:sz w:val="20"/>
          <w:szCs w:val="20"/>
          <w:color w:val="auto"/>
        </w:rPr>
      </w:pPr>
      <w:r>
        <w:rPr>
          <w:rFonts w:ascii="Arial" w:cs="Arial" w:eastAsia="Arial" w:hAnsi="Arial"/>
          <w:sz w:val="15"/>
          <w:szCs w:val="15"/>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September 30, 2023, the allowance for credit losses on reinsurance recoverables was $688,000.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spacing w:after="0" w:line="26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At September 30, 2023, we had reinsurance recoverables on unpaid losses of $1,509.4 million (net of a $688,000 allowance for credit losses) and reinsurance recoverables on paid losses of $158.8 million, and all material recoverable amounts were from companies with A.M. Best ratings of “A-" (Excellent) or better, or are collateralized by the reinsurer for our benefit through letters of credit or funds on deposit in trust accounts.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 and Reinsurer on Legacy Commercial Auto Book</w:t>
      </w:r>
    </w:p>
    <w:p>
      <w:pPr>
        <w:spacing w:after="0" w:line="111" w:lineRule="exact"/>
        <w:rPr>
          <w:sz w:val="20"/>
          <w:szCs w:val="20"/>
          <w:color w:val="auto"/>
        </w:rPr>
      </w:pPr>
    </w:p>
    <w:p>
      <w:pPr>
        <w:jc w:val="both"/>
        <w:ind w:firstLine="358"/>
        <w:spacing w:after="0" w:line="265" w:lineRule="auto"/>
        <w:rPr>
          <w:sz w:val="20"/>
          <w:szCs w:val="20"/>
          <w:color w:val="auto"/>
        </w:rPr>
      </w:pPr>
      <w:r>
        <w:rPr>
          <w:rFonts w:ascii="Arial" w:cs="Arial" w:eastAsia="Arial" w:hAnsi="Arial"/>
          <w:sz w:val="17"/>
          <w:szCs w:val="17"/>
          <w:color w:val="auto"/>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Rasier and Aleka are required to post collateral under the Indemnity Agreements and the Commercial Auto LPT, respectively:</w:t>
      </w:r>
    </w:p>
    <w:p>
      <w:pPr>
        <w:spacing w:after="0" w:line="111" w:lineRule="exact"/>
        <w:rPr>
          <w:sz w:val="20"/>
          <w:szCs w:val="20"/>
          <w:color w:val="auto"/>
        </w:rPr>
      </w:pPr>
    </w:p>
    <w:p>
      <w:pPr>
        <w:jc w:val="both"/>
        <w:ind w:firstLine="364"/>
        <w:spacing w:after="0" w:line="265" w:lineRule="auto"/>
        <w:tabs>
          <w:tab w:leader="none" w:pos="631"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September 30, 2023, the balance in the Indemnity Trust was $149.7 million, and, together with the balance of the Loss Fund Trust (as defined below) attributable to the Indemnity Agreements as described below, the total balance of collateral securing Rasier’s obligations under the Indemnity Agreements was $218.9 million.</w:t>
      </w:r>
    </w:p>
    <w:p>
      <w:pPr>
        <w:spacing w:after="0" w:line="75" w:lineRule="exact"/>
        <w:rPr>
          <w:rFonts w:ascii="Arial" w:cs="Arial" w:eastAsia="Arial" w:hAnsi="Arial"/>
          <w:sz w:val="17"/>
          <w:szCs w:val="17"/>
          <w:color w:val="auto"/>
        </w:rPr>
      </w:pPr>
    </w:p>
    <w:p>
      <w:pPr>
        <w:jc w:val="both"/>
        <w:ind w:firstLine="364"/>
        <w:spacing w:after="0" w:line="318" w:lineRule="auto"/>
        <w:tabs>
          <w:tab w:leader="none" w:pos="631" w:val="left"/>
        </w:tabs>
        <w:numPr>
          <w:ilvl w:val="0"/>
          <w:numId w:val="23"/>
        </w:numPr>
        <w:rPr>
          <w:rFonts w:ascii="Arial" w:cs="Arial" w:eastAsia="Arial" w:hAnsi="Arial"/>
          <w:sz w:val="15"/>
          <w:szCs w:val="15"/>
          <w:color w:val="auto"/>
        </w:rPr>
      </w:pPr>
      <w:r>
        <w:rPr>
          <w:rFonts w:ascii="Arial" w:cs="Arial" w:eastAsia="Arial" w:hAnsi="Arial"/>
          <w:sz w:val="15"/>
          <w:szCs w:val="15"/>
          <w:color w:val="auto"/>
        </w:rPr>
        <w:t>Pursuant to the Commercial Auto LPT, Aleka is required to post collateral equal to 102% of James River's estimate of Aleka's obligations under the Commercial Auto LPT, calculated in accordance with statutory actuarial principles and based on reserves recorded in the Company's statutory financial statements. The collateral is provided through a collateral trust arrangement (the “LPT Trust”) established in favor of James River by Aleka. At September 30, 2023, the balance in the LPT Trust was $69.4 million, and, together with the balance of the Loss Fund Trust (as defined below) attributable to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Commercial Auto LPT as described below, the total balance of collateral securing Aleka’s obligations under the Commercial Auto LPT was $97.6 million. At September 30, 2023, the total reinsurance recoverables under the Commercial Auto LPT was $101.1 million (including $92.8 million of unpaid recoverables and $8.3 million of paid recoverables).</w:t>
      </w:r>
    </w:p>
    <w:p>
      <w:pPr>
        <w:spacing w:after="0" w:line="82" w:lineRule="exact"/>
        <w:rPr>
          <w:sz w:val="20"/>
          <w:szCs w:val="20"/>
          <w:color w:val="auto"/>
        </w:rPr>
      </w:pPr>
    </w:p>
    <w:p>
      <w:pPr>
        <w:jc w:val="both"/>
        <w:ind w:firstLine="358"/>
        <w:spacing w:after="0" w:line="303" w:lineRule="auto"/>
        <w:rPr>
          <w:sz w:val="20"/>
          <w:szCs w:val="20"/>
          <w:color w:val="auto"/>
        </w:rPr>
      </w:pPr>
      <w:r>
        <w:rPr>
          <w:rFonts w:ascii="Arial" w:cs="Arial" w:eastAsia="Arial" w:hAnsi="Arial"/>
          <w:sz w:val="15"/>
          <w:szCs w:val="15"/>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September 30, 2023, the balance in the Loss Fund Trust was $106.9 million, including $69.2 million representing collateral supporting Rasier’s obligations under the Indemnity Agreements and $28.2 million representing collateral supporting Aleka’s obligations under the Commercial Auto LPT. Funds posted to the Loss Fund Trust are classified as restricted cash equivalents on the Company's balance sheet.</w:t>
      </w:r>
    </w:p>
    <w:p>
      <w:pPr>
        <w:spacing w:after="0" w:line="266"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1" w:lineRule="exact"/>
        <w:rPr>
          <w:sz w:val="20"/>
          <w:szCs w:val="20"/>
          <w:color w:val="auto"/>
        </w:rPr>
      </w:pPr>
    </w:p>
    <w:p>
      <w:pPr>
        <w:jc w:val="both"/>
        <w:ind w:firstLine="358"/>
        <w:spacing w:after="0" w:line="250" w:lineRule="auto"/>
        <w:rPr>
          <w:sz w:val="20"/>
          <w:szCs w:val="20"/>
          <w:color w:val="auto"/>
        </w:rPr>
      </w:pPr>
      <w:r>
        <w:rPr>
          <w:rFonts w:ascii="Arial" w:cs="Arial" w:eastAsia="Arial" w:hAnsi="Arial"/>
          <w:sz w:val="18"/>
          <w:szCs w:val="18"/>
          <w:color w:val="auto"/>
        </w:rPr>
        <w:t>The A.M. Best financial strength rating for our group’s regulated insurance and reinsurance subsidiaries is “A-” (Excellent) with a stable outlook. This rating reflects A.M. Best’s opinion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w:t>
      </w:r>
    </w:p>
    <w:p>
      <w:pPr>
        <w:spacing w:after="0" w:line="88" w:lineRule="exact"/>
        <w:rPr>
          <w:sz w:val="20"/>
          <w:szCs w:val="20"/>
          <w:color w:val="auto"/>
        </w:rPr>
      </w:pPr>
    </w:p>
    <w:p>
      <w:pPr>
        <w:jc w:val="both"/>
        <w:ind w:firstLine="358"/>
        <w:spacing w:after="0" w:line="330" w:lineRule="auto"/>
        <w:rPr>
          <w:sz w:val="20"/>
          <w:szCs w:val="20"/>
          <w:color w:val="auto"/>
        </w:rPr>
      </w:pPr>
      <w:r>
        <w:rPr>
          <w:rFonts w:ascii="Arial" w:cs="Arial" w:eastAsia="Arial" w:hAnsi="Arial"/>
          <w:sz w:val="15"/>
          <w:szCs w:val="15"/>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111" w:lineRule="exact"/>
        <w:rPr>
          <w:sz w:val="20"/>
          <w:szCs w:val="20"/>
          <w:color w:val="auto"/>
        </w:rPr>
      </w:pPr>
    </w:p>
    <w:p>
      <w:pPr>
        <w:jc w:val="both"/>
        <w:ind w:firstLine="358"/>
        <w:spacing w:after="0" w:line="318" w:lineRule="auto"/>
        <w:rPr>
          <w:sz w:val="20"/>
          <w:szCs w:val="20"/>
          <w:color w:val="auto"/>
        </w:rPr>
      </w:pPr>
      <w:r>
        <w:rPr>
          <w:rFonts w:ascii="Arial" w:cs="Arial" w:eastAsia="Arial" w:hAnsi="Arial"/>
          <w:sz w:val="15"/>
          <w:szCs w:val="15"/>
          <w:color w:val="auto"/>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Liquidation Preference per annum, which may be paid in cash, in-kind in common shares or in Series A Preferred Shares, at the Company’s election.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common shares outstanding increased from 37,470,237 at December 31, 2022 to 37,619,749 at September 30, 2023, reflecting 149,512 common shares issued in the nine months ended September 30, 2023 related to vesting of RSUs.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each of the three months ended September 30, 2023 and 2022, the Company recognized $2.2 million of share based compensation expense ($7.2 million and $6.2 million in the nine month periods ended September 30, 2023 and 2022, respectively). As of September 30, 2023, the Company had $12.5 million of unrecognized share based compensation expense expected to be charged to earnings over a weighted-average period of 1.9 years.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activity: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Nine Months Ended September 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8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8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9"/>
              <w:spacing w:after="0" w:line="137"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8"/>
              <w:spacing w:after="0" w:line="13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8"/>
              <w:spacing w:after="0" w:line="142"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6"/>
        </w:trPr>
        <w:tc>
          <w:tcPr>
            <w:tcW w:w="5680" w:type="dxa"/>
            <w:vAlign w:val="bottom"/>
          </w:tcPr>
          <w:p>
            <w:pPr>
              <w:spacing w:after="0"/>
              <w:rPr>
                <w:sz w:val="11"/>
                <w:szCs w:val="11"/>
                <w:color w:val="auto"/>
              </w:rPr>
            </w:pPr>
          </w:p>
        </w:tc>
        <w:tc>
          <w:tcPr>
            <w:tcW w:w="13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7" w:lineRule="exact"/>
              <w:rPr>
                <w:sz w:val="20"/>
                <w:szCs w:val="20"/>
                <w:color w:val="auto"/>
              </w:rPr>
            </w:pPr>
            <w:r>
              <w:rPr>
                <w:rFonts w:ascii="Arial" w:cs="Arial" w:eastAsia="Arial" w:hAnsi="Arial"/>
                <w:sz w:val="14"/>
                <w:szCs w:val="14"/>
                <w:b w:val="1"/>
                <w:bCs w:val="1"/>
                <w:color w:val="auto"/>
                <w:w w:val="86"/>
              </w:rPr>
              <w:t>Exercise</w:t>
            </w:r>
          </w:p>
        </w:tc>
        <w:tc>
          <w:tcPr>
            <w:tcW w:w="13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8"/>
              <w:spacing w:after="0" w:line="137"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4"/>
        </w:trPr>
        <w:tc>
          <w:tcPr>
            <w:tcW w:w="56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
        </w:trPr>
        <w:tc>
          <w:tcPr>
            <w:tcW w:w="5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00" w:type="dxa"/>
            <w:vAlign w:val="bottom"/>
          </w:tcPr>
          <w:p>
            <w:pPr>
              <w:jc w:val="right"/>
              <w:spacing w:after="0"/>
              <w:rPr>
                <w:sz w:val="20"/>
                <w:szCs w:val="20"/>
                <w:color w:val="auto"/>
              </w:rPr>
            </w:pPr>
            <w:r>
              <w:rPr>
                <w:rFonts w:ascii="Arial" w:cs="Arial" w:eastAsia="Arial" w:hAnsi="Arial"/>
                <w:sz w:val="18"/>
                <w:szCs w:val="18"/>
                <w:color w:val="auto"/>
              </w:rPr>
              <w:t>287,974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287,974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Lapsed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(164,548)</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80" w:type="dxa"/>
            <w:vAlign w:val="bottom"/>
          </w:tcPr>
          <w:p>
            <w:pPr>
              <w:ind w:left="20"/>
              <w:spacing w:after="0" w:line="198" w:lineRule="exact"/>
              <w:rPr>
                <w:sz w:val="20"/>
                <w:szCs w:val="20"/>
                <w:color w:val="auto"/>
              </w:rPr>
            </w:pPr>
            <w:r>
              <w:rPr>
                <w:rFonts w:ascii="Arial" w:cs="Arial" w:eastAsia="Arial" w:hAnsi="Arial"/>
                <w:sz w:val="18"/>
                <w:szCs w:val="18"/>
                <w:color w:val="auto"/>
              </w:rPr>
              <w:t>Exercisable, end of period</w:t>
            </w: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76,393</w:t>
            </w:r>
          </w:p>
        </w:tc>
        <w:tc>
          <w:tcPr>
            <w:tcW w:w="32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8" w:lineRule="exact"/>
              <w:rPr>
                <w:sz w:val="20"/>
                <w:szCs w:val="20"/>
                <w:color w:val="auto"/>
              </w:rPr>
            </w:pPr>
            <w:r>
              <w:rPr>
                <w:rFonts w:ascii="Arial" w:cs="Arial" w:eastAsia="Arial" w:hAnsi="Arial"/>
                <w:sz w:val="18"/>
                <w:szCs w:val="18"/>
                <w:color w:val="auto"/>
              </w:rPr>
              <w:t>42.17</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287,974</w:t>
            </w:r>
          </w:p>
        </w:tc>
        <w:tc>
          <w:tcPr>
            <w:tcW w:w="340" w:type="dxa"/>
            <w:vAlign w:val="bottom"/>
            <w:gridSpan w:val="2"/>
          </w:tcPr>
          <w:p>
            <w:pPr>
              <w:jc w:val="right"/>
              <w:ind w:right="120"/>
              <w:spacing w:after="0" w:line="198"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8" w:lineRule="exact"/>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All of the outstanding options are fully vested (vesting period of three years from date of grant) and have a contractual life of seven years from the original date of grant.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activity: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3"/>
          </w:tcPr>
          <w:p>
            <w:pPr>
              <w:jc w:val="right"/>
              <w:ind w:right="217"/>
              <w:spacing w:after="0"/>
              <w:rPr>
                <w:sz w:val="20"/>
                <w:szCs w:val="20"/>
                <w:color w:val="auto"/>
              </w:rPr>
            </w:pPr>
            <w:r>
              <w:rPr>
                <w:rFonts w:ascii="Arial" w:cs="Arial" w:eastAsia="Arial" w:hAnsi="Arial"/>
                <w:sz w:val="14"/>
                <w:szCs w:val="14"/>
                <w:b w:val="1"/>
                <w:bCs w:val="1"/>
                <w:color w:val="auto"/>
                <w:w w:val="95"/>
              </w:rPr>
              <w:t>Nine Months Ended September 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8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8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6"/>
        </w:trPr>
        <w:tc>
          <w:tcPr>
            <w:tcW w:w="5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7"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0"/>
              <w:spacing w:after="0" w:line="13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5680" w:type="dxa"/>
            <w:vAlign w:val="bottom"/>
          </w:tcPr>
          <w:p>
            <w:pPr>
              <w:spacing w:after="0"/>
              <w:rPr>
                <w:sz w:val="12"/>
                <w:szCs w:val="12"/>
                <w:color w:val="auto"/>
              </w:rPr>
            </w:pPr>
          </w:p>
        </w:tc>
        <w:tc>
          <w:tcPr>
            <w:tcW w:w="13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7"/>
              </w:rPr>
              <w:t>Grant Date</w:t>
            </w:r>
          </w:p>
        </w:tc>
        <w:tc>
          <w:tcPr>
            <w:tcW w:w="13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40"/>
              <w:spacing w:after="0" w:line="146"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4"/>
        </w:trPr>
        <w:tc>
          <w:tcPr>
            <w:tcW w:w="56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Fair Value</w:t>
            </w: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
        </w:trPr>
        <w:tc>
          <w:tcPr>
            <w:tcW w:w="56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Arial" w:cs="Arial" w:eastAsia="Arial" w:hAnsi="Arial"/>
                <w:sz w:val="18"/>
                <w:szCs w:val="18"/>
                <w:color w:val="auto"/>
              </w:rPr>
              <w:t>Unvested, beginning of period</w:t>
            </w:r>
          </w:p>
        </w:tc>
        <w:tc>
          <w:tcPr>
            <w:tcW w:w="1300" w:type="dxa"/>
            <w:vAlign w:val="bottom"/>
          </w:tcPr>
          <w:p>
            <w:pPr>
              <w:jc w:val="right"/>
              <w:spacing w:after="0"/>
              <w:rPr>
                <w:sz w:val="20"/>
                <w:szCs w:val="20"/>
                <w:color w:val="auto"/>
              </w:rPr>
            </w:pPr>
            <w:r>
              <w:rPr>
                <w:rFonts w:ascii="Arial" w:cs="Arial" w:eastAsia="Arial" w:hAnsi="Arial"/>
                <w:sz w:val="18"/>
                <w:szCs w:val="18"/>
                <w:color w:val="auto"/>
              </w:rPr>
              <w:t>665,458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292,135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545,450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5"/>
        </w:trPr>
        <w:tc>
          <w:tcPr>
            <w:tcW w:w="5680" w:type="dxa"/>
            <w:vAlign w:val="bottom"/>
          </w:tcPr>
          <w:p>
            <w:pPr>
              <w:ind w:left="180"/>
              <w:spacing w:after="0"/>
              <w:rPr>
                <w:sz w:val="20"/>
                <w:szCs w:val="20"/>
                <w:color w:val="auto"/>
              </w:rPr>
            </w:pPr>
            <w:r>
              <w:rPr>
                <w:rFonts w:ascii="Arial" w:cs="Arial" w:eastAsia="Arial" w:hAnsi="Arial"/>
                <w:sz w:val="18"/>
                <w:szCs w:val="18"/>
                <w:color w:val="auto"/>
              </w:rPr>
              <w:t>Vested</w:t>
            </w:r>
          </w:p>
        </w:tc>
        <w:tc>
          <w:tcPr>
            <w:tcW w:w="1300" w:type="dxa"/>
            <w:vAlign w:val="bottom"/>
          </w:tcPr>
          <w:p>
            <w:pPr>
              <w:jc w:val="right"/>
              <w:spacing w:after="0"/>
              <w:rPr>
                <w:sz w:val="20"/>
                <w:szCs w:val="20"/>
                <w:color w:val="auto"/>
              </w:rPr>
            </w:pPr>
            <w:r>
              <w:rPr>
                <w:rFonts w:ascii="Arial" w:cs="Arial" w:eastAsia="Arial" w:hAnsi="Arial"/>
                <w:sz w:val="18"/>
                <w:szCs w:val="18"/>
                <w:color w:val="auto"/>
              </w:rPr>
              <w:t>(212,968)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(112,527)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8"/>
                <w:szCs w:val="18"/>
                <w:color w:val="auto"/>
              </w:rPr>
              <w:t>Unvested, end of period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797,787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715,298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Outstanding RSUs granted to employees generally vest ratably over a three year vesting period. RSUs granted to non-employee directors have a one year vesting period. The RSUs granted in 2023 include 91,818 PRSU awards.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Performance Ratios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following table provides the underwriting performance ratios of the Company inclusive of the business subject to retroactive reinsurance accounting for loss portfolio transfers. There is no economic impact to the Company over the life of a loss portfolio transfer contract so long as any additional losses subject to the contract are within the limit of the loss portfolio transfer and the counterparty performs under the contract. Retroactive reinsurance accounting is not indicative of our current and ongoing operations. Management believes that providing loss ratios and combined ratios on business not subject to retroactive reinsurance accounting for loss portfolio transfers gives the users of our financial statements useful information in evaluating our current and ongoing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140" w:type="dxa"/>
            <w:vAlign w:val="bottom"/>
            <w:gridSpan w:val="3"/>
          </w:tcPr>
          <w:p>
            <w:pPr>
              <w:jc w:val="center"/>
              <w:ind w:left="774"/>
              <w:spacing w:after="0"/>
              <w:rPr>
                <w:sz w:val="20"/>
                <w:szCs w:val="20"/>
                <w:color w:val="auto"/>
              </w:rPr>
            </w:pPr>
            <w:r>
              <w:rPr>
                <w:rFonts w:ascii="Arial" w:cs="Arial" w:eastAsia="Arial" w:hAnsi="Arial"/>
                <w:sz w:val="14"/>
                <w:szCs w:val="14"/>
                <w:b w:val="1"/>
                <w:bCs w:val="1"/>
                <w:color w:val="auto"/>
                <w:w w:val="92"/>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794"/>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89"/>
        </w:trPr>
        <w:tc>
          <w:tcPr>
            <w:tcW w:w="510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4"/>
                <w:szCs w:val="14"/>
                <w:b w:val="1"/>
                <w:bCs w:val="1"/>
                <w:color w:val="auto"/>
                <w:w w:val="89"/>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5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2022</w:t>
            </w: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Excess and Surplus Lines: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1460" w:type="dxa"/>
            <w:vAlign w:val="bottom"/>
          </w:tcPr>
          <w:p>
            <w:pPr>
              <w:jc w:val="right"/>
              <w:spacing w:after="0"/>
              <w:rPr>
                <w:sz w:val="20"/>
                <w:szCs w:val="20"/>
                <w:color w:val="auto"/>
              </w:rPr>
            </w:pPr>
            <w:r>
              <w:rPr>
                <w:rFonts w:ascii="Arial" w:cs="Arial" w:eastAsia="Arial" w:hAnsi="Arial"/>
                <w:sz w:val="18"/>
                <w:szCs w:val="18"/>
                <w:color w:val="auto"/>
              </w:rPr>
              <w:t>65.4 %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67.5 %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66.2 %</w:t>
            </w: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retroactive reinsurance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18"/>
        </w:trPr>
        <w:tc>
          <w:tcPr>
            <w:tcW w:w="5100" w:type="dxa"/>
            <w:vAlign w:val="bottom"/>
          </w:tcPr>
          <w:p>
            <w:pPr>
              <w:ind w:left="20"/>
              <w:spacing w:after="0"/>
              <w:rPr>
                <w:sz w:val="20"/>
                <w:szCs w:val="20"/>
                <w:color w:val="auto"/>
              </w:rPr>
            </w:pPr>
            <w:r>
              <w:rPr>
                <w:rFonts w:ascii="Arial" w:cs="Arial" w:eastAsia="Arial" w:hAnsi="Arial"/>
                <w:sz w:val="18"/>
                <w:szCs w:val="18"/>
                <w:color w:val="auto"/>
              </w:rPr>
              <w:t>Loss Ratio including impact of retroactive reinsurance</w:t>
            </w:r>
          </w:p>
        </w:tc>
        <w:tc>
          <w:tcPr>
            <w:tcW w:w="1460" w:type="dxa"/>
            <w:vAlign w:val="bottom"/>
          </w:tcPr>
          <w:p>
            <w:pPr>
              <w:jc w:val="right"/>
              <w:spacing w:after="0"/>
              <w:rPr>
                <w:sz w:val="20"/>
                <w:szCs w:val="20"/>
                <w:color w:val="auto"/>
              </w:rPr>
            </w:pPr>
            <w:r>
              <w:rPr>
                <w:rFonts w:ascii="Arial" w:cs="Arial" w:eastAsia="Arial" w:hAnsi="Arial"/>
                <w:sz w:val="18"/>
                <w:szCs w:val="18"/>
                <w:color w:val="auto"/>
              </w:rPr>
              <w:t>63.4 %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68.9 %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71.3 %</w:t>
            </w:r>
          </w:p>
        </w:tc>
      </w:tr>
      <w:tr>
        <w:trPr>
          <w:trHeight w:val="265"/>
        </w:trPr>
        <w:tc>
          <w:tcPr>
            <w:tcW w:w="5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1460" w:type="dxa"/>
            <w:vAlign w:val="bottom"/>
          </w:tcPr>
          <w:p>
            <w:pPr>
              <w:jc w:val="right"/>
              <w:spacing w:after="0"/>
              <w:rPr>
                <w:sz w:val="20"/>
                <w:szCs w:val="20"/>
                <w:color w:val="auto"/>
              </w:rPr>
            </w:pPr>
            <w:r>
              <w:rPr>
                <w:rFonts w:ascii="Arial" w:cs="Arial" w:eastAsia="Arial" w:hAnsi="Arial"/>
                <w:sz w:val="18"/>
                <w:szCs w:val="18"/>
                <w:color w:val="auto"/>
              </w:rPr>
              <w:t>88.4 %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88.2 %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90.0 %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85.3 %</w:t>
            </w: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retroactive reinsurance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18"/>
        </w:trPr>
        <w:tc>
          <w:tcPr>
            <w:tcW w:w="5100" w:type="dxa"/>
            <w:vAlign w:val="bottom"/>
          </w:tcPr>
          <w:p>
            <w:pPr>
              <w:ind w:left="20"/>
              <w:spacing w:after="0"/>
              <w:rPr>
                <w:sz w:val="20"/>
                <w:szCs w:val="20"/>
                <w:color w:val="auto"/>
              </w:rPr>
            </w:pPr>
            <w:r>
              <w:rPr>
                <w:rFonts w:ascii="Arial" w:cs="Arial" w:eastAsia="Arial" w:hAnsi="Arial"/>
                <w:sz w:val="18"/>
                <w:szCs w:val="18"/>
                <w:color w:val="auto"/>
              </w:rPr>
              <w:t>Combined Ratio including impact of retroactive reinsurance</w:t>
            </w:r>
          </w:p>
        </w:tc>
        <w:tc>
          <w:tcPr>
            <w:tcW w:w="1460" w:type="dxa"/>
            <w:vAlign w:val="bottom"/>
          </w:tcPr>
          <w:p>
            <w:pPr>
              <w:jc w:val="right"/>
              <w:spacing w:after="0"/>
              <w:rPr>
                <w:sz w:val="20"/>
                <w:szCs w:val="20"/>
                <w:color w:val="auto"/>
              </w:rPr>
            </w:pPr>
            <w:r>
              <w:rPr>
                <w:rFonts w:ascii="Arial" w:cs="Arial" w:eastAsia="Arial" w:hAnsi="Arial"/>
                <w:sz w:val="18"/>
                <w:szCs w:val="18"/>
                <w:color w:val="auto"/>
              </w:rPr>
              <w:t>86.4 %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103.1 %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91.4 %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90.4 %</w:t>
            </w:r>
          </w:p>
        </w:tc>
      </w:tr>
      <w:tr>
        <w:trPr>
          <w:trHeight w:val="266"/>
        </w:trPr>
        <w:tc>
          <w:tcPr>
            <w:tcW w:w="5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Casualty Reinsurance:</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Ratio</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Impact of retroactive reinsurance</w:t>
            </w:r>
          </w:p>
        </w:tc>
        <w:tc>
          <w:tcPr>
            <w:tcW w:w="1460" w:type="dxa"/>
            <w:vAlign w:val="bottom"/>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1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Ratio including impact of retroactive reinsurance</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100.2 %</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83.9 %</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72.7 %</w:t>
            </w:r>
          </w:p>
        </w:tc>
      </w:tr>
      <w:tr>
        <w:trPr>
          <w:trHeight w:val="265"/>
        </w:trPr>
        <w:tc>
          <w:tcPr>
            <w:tcW w:w="5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103.6 %</w:t>
            </w: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Impact of retroactive reinsurance</w:t>
            </w:r>
          </w:p>
        </w:tc>
        <w:tc>
          <w:tcPr>
            <w:tcW w:w="1460" w:type="dxa"/>
            <w:vAlign w:val="bottom"/>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1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Ratio including impact of retroactive reinsurance</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139.4 %</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118.4 %</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103.6 %</w:t>
            </w:r>
          </w:p>
        </w:tc>
      </w:tr>
      <w:tr>
        <w:trPr>
          <w:trHeight w:val="265"/>
        </w:trPr>
        <w:tc>
          <w:tcPr>
            <w:tcW w:w="5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1460" w:type="dxa"/>
            <w:vAlign w:val="bottom"/>
          </w:tcPr>
          <w:p>
            <w:pPr>
              <w:jc w:val="right"/>
              <w:spacing w:after="0"/>
              <w:rPr>
                <w:sz w:val="20"/>
                <w:szCs w:val="20"/>
                <w:color w:val="auto"/>
              </w:rPr>
            </w:pPr>
            <w:r>
              <w:rPr>
                <w:rFonts w:ascii="Arial" w:cs="Arial" w:eastAsia="Arial" w:hAnsi="Arial"/>
                <w:sz w:val="18"/>
                <w:szCs w:val="18"/>
                <w:color w:val="auto"/>
              </w:rPr>
              <w:t>68.6 %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68.8 %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68.7 %</w:t>
            </w: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retroactive reinsurance</w:t>
            </w:r>
          </w:p>
        </w:tc>
        <w:tc>
          <w:tcPr>
            <w:tcW w:w="21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18"/>
        </w:trPr>
        <w:tc>
          <w:tcPr>
            <w:tcW w:w="5100" w:type="dxa"/>
            <w:vAlign w:val="bottom"/>
          </w:tcPr>
          <w:p>
            <w:pPr>
              <w:ind w:left="20"/>
              <w:spacing w:after="0"/>
              <w:rPr>
                <w:sz w:val="20"/>
                <w:szCs w:val="20"/>
                <w:color w:val="auto"/>
              </w:rPr>
            </w:pPr>
            <w:r>
              <w:rPr>
                <w:rFonts w:ascii="Arial" w:cs="Arial" w:eastAsia="Arial" w:hAnsi="Arial"/>
                <w:sz w:val="18"/>
                <w:szCs w:val="18"/>
                <w:color w:val="auto"/>
              </w:rPr>
              <w:t>Loss Ratio including impact of retroactive reinsurance</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68.6 %</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80.4 %</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71.7 %</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72.4 %</w:t>
            </w:r>
          </w:p>
        </w:tc>
      </w:tr>
      <w:tr>
        <w:trPr>
          <w:trHeight w:val="265"/>
        </w:trPr>
        <w:tc>
          <w:tcPr>
            <w:tcW w:w="5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5"/>
        </w:trPr>
        <w:tc>
          <w:tcPr>
            <w:tcW w:w="510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1460" w:type="dxa"/>
            <w:vAlign w:val="bottom"/>
          </w:tcPr>
          <w:p>
            <w:pPr>
              <w:jc w:val="right"/>
              <w:spacing w:after="0"/>
              <w:rPr>
                <w:sz w:val="20"/>
                <w:szCs w:val="20"/>
                <w:color w:val="auto"/>
              </w:rPr>
            </w:pPr>
            <w:r>
              <w:rPr>
                <w:rFonts w:ascii="Arial" w:cs="Arial" w:eastAsia="Arial" w:hAnsi="Arial"/>
                <w:sz w:val="18"/>
                <w:szCs w:val="18"/>
                <w:color w:val="auto"/>
              </w:rPr>
              <w:t>96.2 %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97.2 %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94.2 %</w:t>
            </w:r>
          </w:p>
        </w:tc>
      </w:tr>
      <w:tr>
        <w:trPr>
          <w:trHeight w:val="22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retroactive reinsurance</w:t>
            </w:r>
          </w:p>
        </w:tc>
        <w:tc>
          <w:tcPr>
            <w:tcW w:w="21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18"/>
        </w:trPr>
        <w:tc>
          <w:tcPr>
            <w:tcW w:w="5100" w:type="dxa"/>
            <w:vAlign w:val="bottom"/>
          </w:tcPr>
          <w:p>
            <w:pPr>
              <w:ind w:left="20"/>
              <w:spacing w:after="0"/>
              <w:rPr>
                <w:sz w:val="20"/>
                <w:szCs w:val="20"/>
                <w:color w:val="auto"/>
              </w:rPr>
            </w:pPr>
            <w:r>
              <w:rPr>
                <w:rFonts w:ascii="Arial" w:cs="Arial" w:eastAsia="Arial" w:hAnsi="Arial"/>
                <w:sz w:val="18"/>
                <w:szCs w:val="18"/>
                <w:color w:val="auto"/>
              </w:rPr>
              <w:t>Combined Ratio including impact of retroactive reinsurance</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96.2 %</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105.0 %</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100.1 %</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See “Key Metrics” above for descriptions of why management believes the following Non-GAAP measures provide useful information about our financial condition and results of operation.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define underwriting profit as net earned premiums and gross fee income (in specific instances when the Company is not retaining insurance risk) less losses and loss adjustment expenses on business not subject to retroactive reinsurance accounting for loss portfolio transfers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reconciles the underwriting profit (loss) of the operating segments by individual segment to consolidated income before income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4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profit (loss) of the operating segments: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18,342</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16,402</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45,449</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60,193</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w:t>
            </w: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profit of operating segments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58,205</w:t>
            </w:r>
          </w:p>
        </w:tc>
      </w:tr>
      <w:tr>
        <w:trPr>
          <w:trHeight w:val="22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(25,209)</w:t>
            </w:r>
          </w:p>
        </w:tc>
      </w:tr>
      <w:tr>
        <w:trPr>
          <w:trHeight w:val="219"/>
        </w:trPr>
        <w:tc>
          <w:tcPr>
            <w:tcW w:w="54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color w:val="auto"/>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32,996</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Losses and loss adjustment expenses - retroactive reinsurance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(20,773)</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48,278</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(29,874)</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(7,332)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(11,291)</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5"/>
        </w:trPr>
        <w:tc>
          <w:tcPr>
            <w:tcW w:w="5420" w:type="dxa"/>
            <w:vAlign w:val="bottom"/>
          </w:tcPr>
          <w:p>
            <w:pPr>
              <w:ind w:left="20"/>
              <w:spacing w:after="0"/>
              <w:rPr>
                <w:sz w:val="20"/>
                <w:szCs w:val="20"/>
                <w:color w:val="auto"/>
              </w:rPr>
            </w:pPr>
            <w:r>
              <w:rPr>
                <w:rFonts w:ascii="Arial" w:cs="Arial" w:eastAsia="Arial" w:hAnsi="Arial"/>
                <w:sz w:val="18"/>
                <w:szCs w:val="18"/>
                <w:color w:val="auto"/>
              </w:rPr>
              <w:t>Impairment of intangible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40" w:right="480" w:hanging="316"/>
        <w:spacing w:after="0" w:line="264" w:lineRule="auto"/>
        <w:tabs>
          <w:tab w:leader="none" w:pos="634"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nine months ended September 30, 2023 is gross fee income of $6.8 million and $18.3 million, respectively ($5.9 million and $17.4 million in the respective prior year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Income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Adjusted net operating income is defined as income available to common shareholders excluding a) the impact of loss portfolio transfers accounted for as retroactive reinsurance, b) net realized and unrealized gains (losses) on investments, c) certain non-operating expenses such as professional service fees related to a purported class action lawsuit, various strategic initiatives, and the filing of registration statements for the offering of securities, and d) severance costs associated with terminated employees. Adjusted net operating income should not be viewed as a substitute for net income calculated in accordance with GAAP, and our definition of adjusted net operating income may not be comparable to that of other companies.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income available to common shareholders reconciles to our adjusted net operating income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Three Months Ended September 30,</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2023</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80"/>
              <w:spacing w:after="0" w:line="137" w:lineRule="exact"/>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440" w:type="dxa"/>
            <w:vAlign w:val="bottom"/>
          </w:tcPr>
          <w:p>
            <w:pPr>
              <w:spacing w:after="0"/>
              <w:rPr>
                <w:sz w:val="11"/>
                <w:szCs w:val="11"/>
                <w:color w:val="auto"/>
              </w:rPr>
            </w:pPr>
          </w:p>
        </w:tc>
        <w:tc>
          <w:tcPr>
            <w:tcW w:w="1000" w:type="dxa"/>
            <w:vAlign w:val="bottom"/>
            <w:gridSpan w:val="2"/>
          </w:tcPr>
          <w:p>
            <w:pPr>
              <w:jc w:val="center"/>
              <w:ind w:right="540"/>
              <w:spacing w:after="0" w:line="137" w:lineRule="exact"/>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1"/>
                <w:szCs w:val="11"/>
                <w:color w:val="auto"/>
              </w:rPr>
            </w:pPr>
          </w:p>
        </w:tc>
        <w:tc>
          <w:tcPr>
            <w:tcW w:w="106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0"/>
              </w:rPr>
              <w:t>Before</w:t>
            </w: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85"/>
              </w:rPr>
              <w:t>Before</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Taxes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center"/>
              <w:ind w:left="619"/>
              <w:spacing w:after="0"/>
              <w:rPr>
                <w:sz w:val="20"/>
                <w:szCs w:val="20"/>
                <w:color w:val="auto"/>
              </w:rPr>
            </w:pPr>
            <w:r>
              <w:rPr>
                <w:rFonts w:ascii="Arial" w:cs="Arial" w:eastAsia="Arial" w:hAnsi="Arial"/>
                <w:sz w:val="14"/>
                <w:szCs w:val="14"/>
                <w:b w:val="1"/>
                <w:bCs w:val="1"/>
                <w:i w:val="1"/>
                <w:iCs w:val="1"/>
                <w:color w:val="auto"/>
                <w:w w:val="88"/>
              </w:rPr>
              <w:t>($ 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available to common shareholders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Losses and loss adjustment expenses - retroactive reinsurance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16,411</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Other (income) expenses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intangible assets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600" w:type="dxa"/>
            <w:vAlign w:val="bottom"/>
          </w:tcPr>
          <w:p>
            <w:pPr>
              <w:ind w:left="20"/>
              <w:spacing w:after="0"/>
              <w:rPr>
                <w:sz w:val="20"/>
                <w:szCs w:val="20"/>
                <w:color w:val="auto"/>
              </w:rPr>
            </w:pPr>
            <w:r>
              <w:rPr>
                <w:rFonts w:ascii="Arial" w:cs="Arial" w:eastAsia="Arial" w:hAnsi="Arial"/>
                <w:sz w:val="18"/>
                <w:szCs w:val="18"/>
                <w:color w:val="auto"/>
              </w:rPr>
              <w:t>Adjusted net operating income</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Nine Months Ended September 30,</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2023</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Income</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440" w:type="dxa"/>
            <w:vAlign w:val="bottom"/>
          </w:tcPr>
          <w:p>
            <w:pPr>
              <w:spacing w:after="0"/>
              <w:rPr>
                <w:sz w:val="11"/>
                <w:szCs w:val="11"/>
                <w:color w:val="auto"/>
              </w:rPr>
            </w:pPr>
          </w:p>
        </w:tc>
        <w:tc>
          <w:tcPr>
            <w:tcW w:w="100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1"/>
                <w:szCs w:val="11"/>
                <w:color w:val="auto"/>
              </w:rPr>
            </w:pPr>
          </w:p>
        </w:tc>
        <w:tc>
          <w:tcPr>
            <w:tcW w:w="106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400"/>
              <w:spacing w:after="0" w:line="146" w:lineRule="exact"/>
              <w:rPr>
                <w:sz w:val="20"/>
                <w:szCs w:val="20"/>
                <w:color w:val="auto"/>
              </w:rPr>
            </w:pPr>
            <w:r>
              <w:rPr>
                <w:rFonts w:ascii="Arial" w:cs="Arial" w:eastAsia="Arial" w:hAnsi="Arial"/>
                <w:sz w:val="14"/>
                <w:szCs w:val="14"/>
                <w:b w:val="1"/>
                <w:bCs w:val="1"/>
                <w:color w:val="auto"/>
                <w:w w:val="90"/>
              </w:rPr>
              <w:t>Before</w:t>
            </w: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center"/>
              <w:ind w:right="540"/>
              <w:spacing w:after="0" w:line="146" w:lineRule="exact"/>
              <w:rPr>
                <w:sz w:val="20"/>
                <w:szCs w:val="20"/>
                <w:color w:val="auto"/>
              </w:rPr>
            </w:pPr>
            <w:r>
              <w:rPr>
                <w:rFonts w:ascii="Arial" w:cs="Arial" w:eastAsia="Arial" w:hAnsi="Arial"/>
                <w:sz w:val="14"/>
                <w:szCs w:val="14"/>
                <w:b w:val="1"/>
                <w:bCs w:val="1"/>
                <w:color w:val="auto"/>
                <w:w w:val="85"/>
              </w:rPr>
              <w:t>Before</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Taxes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3"/>
          </w:tcPr>
          <w:p>
            <w:pPr>
              <w:jc w:val="center"/>
              <w:ind w:left="619"/>
              <w:spacing w:after="0"/>
              <w:rPr>
                <w:sz w:val="20"/>
                <w:szCs w:val="20"/>
                <w:color w:val="auto"/>
              </w:rPr>
            </w:pPr>
            <w:r>
              <w:rPr>
                <w:rFonts w:ascii="Arial" w:cs="Arial" w:eastAsia="Arial" w:hAnsi="Arial"/>
                <w:sz w:val="14"/>
                <w:szCs w:val="14"/>
                <w:b w:val="1"/>
                <w:bCs w:val="1"/>
                <w:i w:val="1"/>
                <w:iCs w:val="1"/>
                <w:color w:val="auto"/>
                <w:w w:val="88"/>
              </w:rPr>
              <w:t>($ 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available to common shareholders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Losses and loss adjustment expenses - retroactive reinsurance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16,411</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25,757</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Other (income) expenses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intangible assets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600" w:type="dxa"/>
            <w:vAlign w:val="bottom"/>
          </w:tcPr>
          <w:p>
            <w:pPr>
              <w:ind w:left="20"/>
              <w:spacing w:after="0"/>
              <w:rPr>
                <w:sz w:val="20"/>
                <w:szCs w:val="20"/>
                <w:color w:val="auto"/>
              </w:rPr>
            </w:pPr>
            <w:r>
              <w:rPr>
                <w:rFonts w:ascii="Arial" w:cs="Arial" w:eastAsia="Arial" w:hAnsi="Arial"/>
                <w:sz w:val="18"/>
                <w:szCs w:val="18"/>
                <w:color w:val="auto"/>
              </w:rPr>
              <w:t>Adjusted net operating income</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50,067</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63,798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49,391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and Tangible Equity per Share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Tangible equity is defined as shareholders' equity plus mezzanine Series A Preferred Shares and the unrecognized deferred retroactive reinsurance gain on loss portfolio transfers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current conversion price). Our definitions of tangible equity and tangible equity per share may not be comparable to that of other companies, and they should not be viewed as a substitute for shareholders’ equity and shareholders’ equity per share calculated in accordance with GAAP.</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reconciles shareholders’ equity to tangible equity as of September 30, 2023, December 31, 2022, and September 30, 2022: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5"/>
                <w:szCs w:val="15"/>
                <w:color w:val="auto"/>
              </w:rPr>
            </w:pPr>
          </w:p>
        </w:tc>
        <w:tc>
          <w:tcPr>
            <w:tcW w:w="228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5"/>
                <w:szCs w:val="15"/>
                <w:color w:val="auto"/>
              </w:rPr>
            </w:pPr>
          </w:p>
        </w:tc>
        <w:tc>
          <w:tcPr>
            <w:tcW w:w="218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7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Equity</w:t>
            </w: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01"/>
              <w:spacing w:after="0" w:line="130" w:lineRule="exact"/>
              <w:rPr>
                <w:sz w:val="20"/>
                <w:szCs w:val="20"/>
                <w:color w:val="auto"/>
              </w:rPr>
            </w:pPr>
            <w:r>
              <w:rPr>
                <w:rFonts w:ascii="Arial" w:cs="Arial" w:eastAsia="Arial" w:hAnsi="Arial"/>
                <w:sz w:val="14"/>
                <w:szCs w:val="14"/>
                <w:b w:val="1"/>
                <w:bCs w:val="1"/>
                <w:color w:val="auto"/>
                <w:w w:val="96"/>
              </w:rPr>
              <w:t>Equity per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Equity</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81"/>
              <w:spacing w:after="0" w:line="130" w:lineRule="exact"/>
              <w:rPr>
                <w:sz w:val="20"/>
                <w:szCs w:val="20"/>
                <w:color w:val="auto"/>
              </w:rPr>
            </w:pPr>
            <w:r>
              <w:rPr>
                <w:rFonts w:ascii="Arial" w:cs="Arial" w:eastAsia="Arial" w:hAnsi="Arial"/>
                <w:sz w:val="14"/>
                <w:szCs w:val="14"/>
                <w:b w:val="1"/>
                <w:bCs w:val="1"/>
                <w:color w:val="auto"/>
                <w:w w:val="93"/>
              </w:rPr>
              <w:t>Equity per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15"/>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41"/>
              <w:spacing w:after="0" w:line="130"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01"/>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5"/>
          </w:tcPr>
          <w:p>
            <w:pPr>
              <w:ind w:left="100"/>
              <w:spacing w:after="0"/>
              <w:rPr>
                <w:sz w:val="20"/>
                <w:szCs w:val="20"/>
                <w:color w:val="auto"/>
              </w:rPr>
            </w:pPr>
            <w:r>
              <w:rPr>
                <w:rFonts w:ascii="Arial" w:cs="Arial" w:eastAsia="Arial" w:hAnsi="Arial"/>
                <w:sz w:val="14"/>
                <w:szCs w:val="14"/>
                <w:b w:val="1"/>
                <w:bCs w:val="1"/>
                <w:i w:val="1"/>
                <w:iCs w:val="1"/>
                <w:color w:val="auto"/>
                <w:w w:val="91"/>
              </w:rPr>
              <w:t>($ in thousands, except share amounts)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562,544</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553,766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Series A redeemable preferred shares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144,898</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144,898</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144,898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reinsurance gain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37,653</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tcPr>
          <w:p>
            <w:pPr>
              <w:ind w:left="2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35,676</w:t>
            </w: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6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color w:val="auto"/>
              </w:rPr>
              <w:t>Tangible equity</w:t>
            </w:r>
          </w:p>
        </w:tc>
        <w:tc>
          <w:tcPr>
            <w:tcW w:w="240" w:type="dxa"/>
            <w:vAlign w:val="bottom"/>
            <w:tcBorders>
              <w:bottom w:val="single" w:sz="8" w:color="auto"/>
            </w:tcBorders>
            <w:shd w:val="clear" w:color="auto" w:fill="CCEEFF"/>
          </w:tcPr>
          <w:p>
            <w:pPr>
              <w:jc w:val="right"/>
              <w:ind w:right="32"/>
              <w:spacing w:after="0" w:line="19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530,360</w:t>
            </w:r>
          </w:p>
        </w:tc>
        <w:tc>
          <w:tcPr>
            <w:tcW w:w="280" w:type="dxa"/>
            <w:vAlign w:val="bottom"/>
            <w:tcBorders>
              <w:bottom w:val="single" w:sz="8" w:color="CCEEFF"/>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
              <w:spacing w:after="0" w:line="193" w:lineRule="exact"/>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2"/>
              <w:spacing w:after="0" w:line="19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501,248</w:t>
            </w:r>
          </w:p>
        </w:tc>
        <w:tc>
          <w:tcPr>
            <w:tcW w:w="260" w:type="dxa"/>
            <w:vAlign w:val="bottom"/>
            <w:tcBorders>
              <w:bottom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2"/>
              <w:spacing w:after="0" w:line="19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474,877</w:t>
            </w:r>
          </w:p>
        </w:tc>
        <w:tc>
          <w:tcPr>
            <w:tcW w:w="260" w:type="dxa"/>
            <w:vAlign w:val="bottom"/>
            <w:tcBorders>
              <w:bottom w:val="single" w:sz="8" w:color="CCEEFF"/>
            </w:tcBorders>
            <w:gridSpan w:val="2"/>
            <w:shd w:val="clear" w:color="auto" w:fill="CCEEFF"/>
          </w:tcPr>
          <w:p>
            <w:pPr>
              <w:jc w:val="right"/>
              <w:ind w:right="60"/>
              <w:spacing w:after="0" w:line="19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outstanding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37,619,749</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37,470,237</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37,450,438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760" w:type="dxa"/>
            <w:vAlign w:val="bottom"/>
          </w:tcPr>
          <w:p>
            <w:pPr>
              <w:ind w:left="20"/>
              <w:spacing w:after="0" w:line="173" w:lineRule="exact"/>
              <w:rPr>
                <w:sz w:val="20"/>
                <w:szCs w:val="20"/>
                <w:color w:val="auto"/>
              </w:rPr>
            </w:pPr>
            <w:r>
              <w:rPr>
                <w:rFonts w:ascii="Arial" w:cs="Arial" w:eastAsia="Arial" w:hAnsi="Arial"/>
                <w:sz w:val="18"/>
                <w:szCs w:val="18"/>
                <w:color w:val="auto"/>
                <w:w w:val="88"/>
              </w:rPr>
              <w:t>Common shares from assumed conversion of Series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 Preferred Shares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5,640,158</w:t>
            </w:r>
          </w:p>
        </w:tc>
        <w:tc>
          <w:tcPr>
            <w:tcW w:w="2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5,640,158</w:t>
            </w:r>
          </w:p>
        </w:tc>
        <w:tc>
          <w:tcPr>
            <w:tcW w:w="2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5,640,158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7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Common shares outstanding after assumed</w:t>
            </w:r>
          </w:p>
        </w:tc>
        <w:tc>
          <w:tcPr>
            <w:tcW w:w="2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43,259,907</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43,110,395</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43,090,596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of Series A Preferred Shares</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The common shares from an assumed conversion of Series A Preferred Shares in the table above is based on the conversion price adjustment effective date for Series A Preferred Shares (as defined in Note 12 below) pursuant to the Certificate of Designations for the Series A Preferred Shares, which prescribes the conversion price to be used in the event of an optional or mandatory conversion to be the conversion price effective with the financial statements for the most recently completed quarter prior to the date of conversion, which are the June 30, 2023 financial statements for an assumed conversion date of July 1, 2023. This calculation is different from that used for our earnings release for the quarter ended September 30, 2023 (filed with the SEC as an exhibit to the Current Report on Form 8-K on November 8, 2023), which gave effect to cumulative net adverse development exceeding the prescribed anti-dilution threshold in the third quarter of 2023 (which would be applicable for an assumed conversion date of October 1, 2023), resulting in a lower conversion price and a higher amount of common shares from an assumed conversion of the Series A Preferred Shares. This resulted in a lower tangible equity per share as of September 30, 2023 in the earnings release compared to that presented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have been no material changes in market risk from the information provided in Item 7A of our Annual Report on Form 10-K for the year ended December 31, 2022.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7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preparation of this quarterly report on Form 10-Q, our management carried out an evaluation, under the supervision and with the participation of our CEO and CFO, as of September 30, 2023, of the effectiveness of the design and operation of our disclosure controls and procedures, as such term is defined under Rule 13a-15(e) and 15d-15(e) under the Exchange Act. Based upon this evaluation, our CEO and CFO concluded that our disclosure controls and procedures were not effective as of September 30, 2023 due to an unremediated material weakness in our internal controls over financial reporting.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became aware that the unaudited consolidated financial statements for the six months ended June 30, 2023 contained material misstatements related to unrecorded reinstatement premium as more fully described in Note 1 to the condensed consolidated financial statements of the 10-Q/A filed with the SEC on November 14, 2023. Management of the Company has concluded that because the controls to evaluate the accounting and disclosure of the reinstatement premium did not operate effectively, and resulted in the failure to detect the misstatement, the deficiencies are a material weakness in the Company's internal control over financial reporting. Notwithstanding this material weakness, management has concluded that our unaudited condensed consolidated financial statements included in this Quarterly Report on Form 10-Q are fairly stated in all material respects in accordance with U.S. GAAP for each of the periods presented therein.</w:t>
      </w:r>
    </w:p>
    <w:p>
      <w:pPr>
        <w:spacing w:after="0" w:line="7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5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internal controls did not detect the error related to the unrecorded reinstatement premium during the period ending June 30, 2023. This control deficiency resulted in the restatement of the Company's unaudited consolidated financial statements contained in its Quarterly Report on Form 10-Q for the quarter ended June 30, 2023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Remediation of Material Weakness</w:t>
      </w:r>
    </w:p>
    <w:p>
      <w:pPr>
        <w:spacing w:after="0" w:line="11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To remediate the material weakness in the Company’s internal control over financial reporting, the Company plans to initiate a remediation plan that includes: (i) implementing additional review procedures within our accounting department, (ii) implementing additional training of accounting personnel and</w:t>
      </w:r>
    </w:p>
    <w:p>
      <w:pPr>
        <w:spacing w:after="0" w:line="1" w:lineRule="exact"/>
        <w:rPr>
          <w:sz w:val="20"/>
          <w:szCs w:val="20"/>
          <w:color w:val="auto"/>
        </w:rPr>
      </w:pPr>
    </w:p>
    <w:p>
      <w:pPr>
        <w:ind w:right="20" w:firstLine="6"/>
        <w:spacing w:after="0" w:line="280" w:lineRule="auto"/>
        <w:tabs>
          <w:tab w:leader="none" w:pos="3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enhancing our existing process and internal control documentation and financial statement preparation process, specifically including updates to accounting policies for reinstatement premium, to ensure completion of financial reporting and proper accounting in accordance with U.S. GAAP.</w:t>
      </w:r>
    </w:p>
    <w:p>
      <w:pPr>
        <w:spacing w:after="0" w:line="6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material weakness cannot be considered remediated until the controls operate for a sufficient period and management has concluded, through testing, that our internal controls are operating effectively. While management believes that the remediation efforts will resolve the identified material weakness, there is no assurance that management’s efforts conducted to date will be sufficient or that additional remediation actions will not be necessary or will be sufficient to prevent future material weaknesses from occurring. We also cannot assure you that we have identified all of our existing material weaknesses.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September 30, 2023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 claims alleging bad faith in the handling of insurance claims. We believe that the outcome of such matters, individually and in the aggregate, is not reasonably likely to have a material adverse effect on our consolidated financial position, results of operations or cash flows.</w:t>
      </w:r>
    </w:p>
    <w:p>
      <w:pPr>
        <w:spacing w:after="0" w:line="8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8,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On August 28, 2023, the Court denied the Second MTD and discovery is underway. The Second Amended Complaint asserts claims under Sections 10(b) and 20(a) of the Securities Exchange Act of 1934 on behalf of a putative class of persons and entities that purchased the Company's stock between February 22, 2019 and October 25, 2021, alleges that Defendants failed to make appropriate disclosures concerning the adequacy of reserves for policies that covered Rasier LLC, a subsidiary of Uber Technologies, Inc., and seeks unspecified damages, costs, attorneys’ fees and such other relief as the court may deem proper. We believe that the Plaintiffs’ claims are without merit and intend to vigorously defend this lawsuit.</w:t>
      </w:r>
    </w:p>
    <w:p>
      <w:pPr>
        <w:spacing w:after="0" w:line="2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On November 13, 2023, a purported class action lawsuit was filed in the US District Court, Southern District of New York, on behalf of Paul Glantz (“Plaintiff”) against James River Group Holdings, Ltd. and certain of its officers (together “Defendants”), asserting claims under Sections 10(b) and 20(a) of the Securities Exchange Act of 1934. Plaintiff alleges that he purchased James River common stock between August 7, 2023 and November 7, 2023, inclusive (the putative “Class Period”), that Defendants failed to disclose that the Company lacked effective internal controls regarding the recognition of reinstatement premiums for reinsurance and as a result the Company overstated its net income, and that, as a result, Plaintiff suffered unspecified damages. We believe that the Plaintiff’s claims are without merit and intend to vigorously defend this lawsuit.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have been no material changes in our risk factors in the quarter ended September 30, 2023 from those disclosed in our Annual Report on Form 10-</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2022, except as follows:</w:t>
      </w:r>
    </w:p>
    <w:p>
      <w:pPr>
        <w:spacing w:after="0" w:line="10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b w:val="1"/>
          <w:bCs w:val="1"/>
          <w:i w:val="1"/>
          <w:iCs w:val="1"/>
          <w:color w:val="auto"/>
        </w:rPr>
        <w:t>A material weakness in internal controls over financial reporting was identified, which may adversely affect our ability to accurately and timely report our financial results.</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have identified a material weakness in our internal control over financial reporting and may identify additional material weaknesses in the future. This material weakness has resulted in errors in our previously issued financial statements, and if we fail to remediate this material weakness or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b w:val="1"/>
          <w:bCs w:val="1"/>
          <w:i w:val="1"/>
          <w:iCs w:val="1"/>
          <w:color w:val="auto"/>
        </w:rPr>
        <w:t>The sale of JRG Re is subject to conditions to closing over which we do not have control, and a portion of the consideration is comprised of a pre-closing dividend that is subject to the availability of unencumbered assets at JRG Re.</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sale of JRG Re announced on November 8, 2023 (the “Transaction”) is subject to a number of closing conditions, including the approval of the Bermuda Monetary Authority, and there can be no assurance that these conditions will be satisfied on the timeline we expect or at all. The Transaction may also be terminated in certain circumstances, including termination (A) by either the Company or the Buyer if the Transaction is not completed by June 3, 2024 (subject to one two-month extension in the event closing has not occurred solely because one or more required governmental approvals have not been obtained), or (B) by the Company if (i) all closing conditions have been met, (ii) the Company is ready, willing and able to consummate the closing, and (iii) the Buyer fails to complete the closing solely as a result of the failure to obtain debt financing or alternate financing that is sufficient to finance the consummation of the Transaction.</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a portion of the consideration pursuant to the Transaction is comprised of a $139 million dividend or return of capital or surplus by JRG Re to the Company prior to the closing date of the Transaction, which dividend or return of capital or surplus is subject to the availability of unencumbered assets at JRG Re on the closing date. A number of factors may impact the availability of unencumbered assets at JRG Re prior to the closing date, including collateral requirements of JRG Re’s cedents.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While the Transaction is pending or if the Transaction is not completed, we may be subject to several risks including:</w:t>
      </w:r>
    </w:p>
    <w:p>
      <w:pPr>
        <w:spacing w:after="0" w:line="98" w:lineRule="exact"/>
        <w:rPr>
          <w:sz w:val="20"/>
          <w:szCs w:val="20"/>
          <w:color w:val="auto"/>
        </w:rPr>
      </w:pPr>
    </w:p>
    <w:p>
      <w:pPr>
        <w:ind w:left="640" w:right="540" w:hanging="316"/>
        <w:spacing w:after="0" w:line="24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current trading price of our common stock may reflect a market assumption that the Transaction will be completed, and may decline if the Transaction is not completed;</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have incurred and expect to incur significant transaction costs in connection with the Transaction whether or not the Transaction is completed;</w:t>
      </w:r>
    </w:p>
    <w:p>
      <w:pPr>
        <w:spacing w:after="0" w:line="39" w:lineRule="exact"/>
        <w:rPr>
          <w:rFonts w:ascii="Arial" w:cs="Arial" w:eastAsia="Arial" w:hAnsi="Arial"/>
          <w:sz w:val="15"/>
          <w:szCs w:val="15"/>
          <w:color w:val="auto"/>
        </w:rPr>
      </w:pPr>
    </w:p>
    <w:p>
      <w:pPr>
        <w:ind w:left="640" w:right="40" w:hanging="316"/>
        <w:spacing w:after="0" w:line="24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the definitive agreements for the Transaction, we are subject to certain restrictions on the conduct of JRG Re’s business prior to the closing date of the Transaction, which restrictions could adversely affect our ability to realize certain business strategies or take advantage of certain business opportunities;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negative perception of investors, vendors, trading partners, or employees if the Transaction is not completed;</w:t>
      </w:r>
    </w:p>
    <w:p>
      <w:pPr>
        <w:spacing w:after="0" w:line="5" w:lineRule="exact"/>
        <w:rPr>
          <w:rFonts w:ascii="Arial" w:cs="Arial" w:eastAsia="Arial" w:hAnsi="Arial"/>
          <w:sz w:val="18"/>
          <w:szCs w:val="18"/>
          <w:color w:val="auto"/>
        </w:rPr>
      </w:pPr>
    </w:p>
    <w:p>
      <w:pPr>
        <w:ind w:left="640" w:right="420" w:hanging="316"/>
        <w:spacing w:after="0" w:line="251"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attention of our management may be directed toward the completion of the pending Transaction and related matters, and their focus may be diverted from our day-to-day business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could have a material adverse effect on our business, financial condition, results of operations and prospects.</w:t>
      </w:r>
    </w:p>
    <w:p>
      <w:pPr>
        <w:spacing w:after="0" w:line="111"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b w:val="1"/>
          <w:bCs w:val="1"/>
          <w:i w:val="1"/>
          <w:iCs w:val="1"/>
          <w:color w:val="auto"/>
        </w:rPr>
        <w:t>We cannot assure you that our evaluation of strategic alternatives will result in any particular outcome, and the perceived uncertainties related to the Company could adversely affect our business and our shareholders.</w:t>
      </w:r>
    </w:p>
    <w:p>
      <w:pPr>
        <w:spacing w:after="0" w:line="7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On November 10, 2023, we announced that our board of directors initiated an exploration of strategic alternatives for the Company, including consideration of a wide range of options including, among other things, a potential sale, merger, or other strategic transaction. We have not set a deadline or definitive timetable for the completion of the strategic review process, nor have we made any decisions relating to any strategic alternative at this time. No assurance can be given as to the outcome of the process, including whether the process will result in any particular outcome. Any potential transaction may be dependent on a number of factors that may be beyond our control, for example, market conditions, industry trends or acceptable terms. The process of reviewing potential strategic alternatives may be time consuming, distracting and disruptive to our business operations. In addition, given that the exploration of strategic alternatives may eventually result in a potential sale, merger or other strategic transaction, any perceived uncertainty regarding our future operations or employment needs may limit our ability to retain or hire qualified personnel and may contribute to unplanned loss of highly skilled employees through attrition, and result in the loss of brokers, agents or customers with whom we do business. We may ultimately determine that no transaction is in the best interest of our shareholders. We do not intend to comment further regarding the review of strategic alternatives until we determine disclosure is necessary or advisable. Accordingly, speculation regarding any developments associated with our review of strategic alternatives and any perceived uncertainties related to the Company or its business could cause the price of our shares to fluctuate significantly.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40" w:type="dxa"/>
            <w:vAlign w:val="bottom"/>
            <w:gridSpan w:val="20"/>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04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0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2.1</w:t>
            </w:r>
          </w:p>
        </w:tc>
        <w:tc>
          <w:tcPr>
            <w:tcW w:w="6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780" w:type="dxa"/>
            <w:vAlign w:val="bottom"/>
            <w:tcBorders>
              <w:top w:val="single" w:sz="8" w:color="auto"/>
            </w:tcBorders>
            <w:gridSpan w:val="23"/>
          </w:tcPr>
          <w:p>
            <w:pPr>
              <w:spacing w:after="0" w:line="184" w:lineRule="exact"/>
              <w:rPr>
                <w:rFonts w:ascii="Arial" w:cs="Arial" w:eastAsia="Arial" w:hAnsi="Arial"/>
                <w:sz w:val="18"/>
                <w:szCs w:val="18"/>
                <w:color w:val="0000FF"/>
                <w:w w:val="95"/>
              </w:rPr>
            </w:pPr>
            <w:hyperlink r:id="rId82">
              <w:r>
                <w:rPr>
                  <w:rFonts w:ascii="Arial" w:cs="Arial" w:eastAsia="Arial" w:hAnsi="Arial"/>
                  <w:sz w:val="18"/>
                  <w:szCs w:val="18"/>
                  <w:color w:val="0000FF"/>
                  <w:w w:val="95"/>
                </w:rPr>
                <w:t>Stock Purchase Agreement dated November 8, 2023 by and among James River Group Holdings, Ltd. and Fleming</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16"/>
          </w:tcPr>
          <w:p>
            <w:pPr>
              <w:spacing w:after="0" w:line="152" w:lineRule="exact"/>
              <w:rPr>
                <w:rFonts w:ascii="Arial" w:cs="Arial" w:eastAsia="Arial" w:hAnsi="Arial"/>
                <w:sz w:val="17"/>
                <w:szCs w:val="17"/>
                <w:color w:val="0000FF"/>
              </w:rPr>
            </w:pPr>
            <w:hyperlink r:id="rId82">
              <w:r>
                <w:rPr>
                  <w:rFonts w:ascii="Arial" w:cs="Arial" w:eastAsia="Arial" w:hAnsi="Arial"/>
                  <w:sz w:val="17"/>
                  <w:szCs w:val="17"/>
                  <w:color w:val="0000FF"/>
                </w:rPr>
                <w:t>Intermediate Holdings LLC (incorporated by reference to Exhibit 2.1 on the Current Report on Form 8-K filed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60" w:type="dxa"/>
            <w:vAlign w:val="bottom"/>
            <w:gridSpan w:val="22"/>
          </w:tcPr>
          <w:p>
            <w:pPr>
              <w:spacing w:after="0" w:line="165" w:lineRule="exact"/>
              <w:rPr>
                <w:rFonts w:ascii="Arial" w:cs="Arial" w:eastAsia="Arial" w:hAnsi="Arial"/>
                <w:sz w:val="18"/>
                <w:szCs w:val="18"/>
                <w:color w:val="0000FF"/>
              </w:rPr>
            </w:pPr>
            <w:hyperlink r:id="rId82">
              <w:r>
                <w:rPr>
                  <w:rFonts w:ascii="Arial" w:cs="Arial" w:eastAsia="Arial" w:hAnsi="Arial"/>
                  <w:sz w:val="18"/>
                  <w:szCs w:val="18"/>
                  <w:color w:val="0000FF"/>
                </w:rPr>
                <w:t>November 9, 2023; Commission File No. 001-36777</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900" w:type="dxa"/>
            <w:vAlign w:val="bottom"/>
          </w:tcPr>
          <w:p>
            <w:pPr>
              <w:ind w:left="20"/>
              <w:spacing w:after="0" w:line="205" w:lineRule="exact"/>
              <w:rPr>
                <w:sz w:val="20"/>
                <w:szCs w:val="20"/>
                <w:color w:val="auto"/>
              </w:rPr>
            </w:pPr>
            <w:r>
              <w:rPr>
                <w:rFonts w:ascii="Arial" w:cs="Arial" w:eastAsia="Arial" w:hAnsi="Arial"/>
                <w:sz w:val="18"/>
                <w:szCs w:val="18"/>
                <w:color w:val="auto"/>
              </w:rPr>
              <w:t>10.1</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80" w:type="dxa"/>
            <w:vAlign w:val="bottom"/>
            <w:gridSpan w:val="23"/>
          </w:tcPr>
          <w:p>
            <w:pPr>
              <w:spacing w:after="0" w:line="205"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Third Amended and Restated Credit Agreement, dated as of July 7, 2023, by and among James River Group Holdings,</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83">
              <w:r>
                <w:rPr>
                  <w:rFonts w:ascii="Arial" w:cs="Arial" w:eastAsia="Arial" w:hAnsi="Arial"/>
                  <w:sz w:val="17"/>
                  <w:szCs w:val="17"/>
                  <w:color w:val="0000FF"/>
                </w:rPr>
                <w:t>Ltd., JRG Reinsurance Company, Ltd., KeyBank National Association, as Administrative Agent and Letter of Credit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20" w:type="dxa"/>
            <w:vAlign w:val="bottom"/>
            <w:tcBorders>
              <w:top w:val="single" w:sz="8" w:color="0000FF"/>
              <w:bottom w:val="single" w:sz="8" w:color="0000FF"/>
            </w:tcBorders>
            <w:gridSpan w:val="15"/>
          </w:tcPr>
          <w:p>
            <w:pPr>
              <w:spacing w:after="0" w:line="165"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Issuer, KeyBank National Association and Truist Securities, Inc. as Joint Book Runners and Joint Lead Arrangers, Truist</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gridSpan w:val="20"/>
          </w:tcPr>
          <w:p>
            <w:pPr>
              <w:spacing w:after="0" w:line="152" w:lineRule="exact"/>
              <w:rPr>
                <w:rFonts w:ascii="Arial" w:cs="Arial" w:eastAsia="Arial" w:hAnsi="Arial"/>
                <w:sz w:val="17"/>
                <w:szCs w:val="17"/>
                <w:color w:val="0000FF"/>
              </w:rPr>
            </w:pPr>
            <w:hyperlink r:id="rId83">
              <w:r>
                <w:rPr>
                  <w:rFonts w:ascii="Arial" w:cs="Arial" w:eastAsia="Arial" w:hAnsi="Arial"/>
                  <w:sz w:val="17"/>
                  <w:szCs w:val="17"/>
                  <w:color w:val="0000FF"/>
                </w:rPr>
                <w:t>Bank as Syndication Agent, and the lender parties thereto (incorporated by reference to Exhibit 10.1 on the Current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83">
              <w:r>
                <w:rPr>
                  <w:rFonts w:ascii="Arial" w:cs="Arial" w:eastAsia="Arial" w:hAnsi="Arial"/>
                  <w:sz w:val="17"/>
                  <w:szCs w:val="17"/>
                  <w:color w:val="0000FF"/>
                </w:rPr>
                <w:t>Report on Form 8-K filed on July 12, 2023; Commission File No. 001-36777)</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900" w:type="dxa"/>
            <w:vAlign w:val="bottom"/>
          </w:tcPr>
          <w:p>
            <w:pPr>
              <w:ind w:left="2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780" w:type="dxa"/>
            <w:vAlign w:val="bottom"/>
            <w:gridSpan w:val="23"/>
          </w:tcPr>
          <w:p>
            <w:pPr>
              <w:spacing w:after="0"/>
              <w:rPr>
                <w:rFonts w:ascii="Arial" w:cs="Arial" w:eastAsia="Arial" w:hAnsi="Arial"/>
                <w:sz w:val="18"/>
                <w:szCs w:val="18"/>
                <w:color w:val="0000FF"/>
                <w:w w:val="92"/>
              </w:rPr>
            </w:pPr>
            <w:hyperlink r:id="rId84">
              <w:r>
                <w:rPr>
                  <w:rFonts w:ascii="Arial" w:cs="Arial" w:eastAsia="Arial" w:hAnsi="Arial"/>
                  <w:sz w:val="18"/>
                  <w:szCs w:val="18"/>
                  <w:color w:val="0000FF"/>
                  <w:w w:val="92"/>
                </w:rPr>
                <w:t>Consent Agreement dated November 8, 2023 to the Third Amended and Restated Credit Agreement dated as of July 7,</w:t>
              </w:r>
            </w:hyperlink>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tcBorders>
            <w:gridSpan w:val="11"/>
          </w:tcPr>
          <w:p>
            <w:pPr>
              <w:spacing w:after="0" w:line="152" w:lineRule="exact"/>
              <w:rPr>
                <w:rFonts w:ascii="Arial" w:cs="Arial" w:eastAsia="Arial" w:hAnsi="Arial"/>
                <w:sz w:val="17"/>
                <w:szCs w:val="17"/>
                <w:color w:val="0000FF"/>
                <w:w w:val="94"/>
              </w:rPr>
            </w:pPr>
            <w:hyperlink r:id="rId84">
              <w:r>
                <w:rPr>
                  <w:rFonts w:ascii="Arial" w:cs="Arial" w:eastAsia="Arial" w:hAnsi="Arial"/>
                  <w:sz w:val="17"/>
                  <w:szCs w:val="17"/>
                  <w:color w:val="0000FF"/>
                  <w:w w:val="94"/>
                </w:rPr>
                <w:t>2023 by and among James River Group Holdings, Ltd. and JRG Reinsurance Company, Ltd., as borrowers, KeyBank</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00" w:type="dxa"/>
            <w:vAlign w:val="bottom"/>
            <w:tcBorders>
              <w:top w:val="single" w:sz="8" w:color="0000FF"/>
              <w:bottom w:val="single" w:sz="8" w:color="0000FF"/>
            </w:tcBorders>
            <w:gridSpan w:val="8"/>
          </w:tcPr>
          <w:p>
            <w:pPr>
              <w:spacing w:after="0" w:line="165" w:lineRule="exact"/>
              <w:rPr>
                <w:rFonts w:ascii="Arial" w:cs="Arial" w:eastAsia="Arial" w:hAnsi="Arial"/>
                <w:sz w:val="18"/>
                <w:szCs w:val="18"/>
                <w:color w:val="0000FF"/>
                <w:w w:val="89"/>
              </w:rPr>
            </w:pPr>
            <w:hyperlink r:id="rId84">
              <w:r>
                <w:rPr>
                  <w:rFonts w:ascii="Arial" w:cs="Arial" w:eastAsia="Arial" w:hAnsi="Arial"/>
                  <w:sz w:val="18"/>
                  <w:szCs w:val="18"/>
                  <w:color w:val="0000FF"/>
                  <w:w w:val="89"/>
                </w:rPr>
                <w:t>National Association ("KeyBank") as Administrative Agent and Letter of Credit Issuer, KeyBank and Truist Securities,</w:t>
              </w:r>
            </w:hyperlink>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gridSpan w:val="12"/>
          </w:tcPr>
          <w:p>
            <w:pPr>
              <w:spacing w:after="0" w:line="152" w:lineRule="exact"/>
              <w:rPr>
                <w:rFonts w:ascii="Arial" w:cs="Arial" w:eastAsia="Arial" w:hAnsi="Arial"/>
                <w:sz w:val="17"/>
                <w:szCs w:val="17"/>
                <w:color w:val="0000FF"/>
                <w:w w:val="94"/>
              </w:rPr>
            </w:pPr>
            <w:hyperlink r:id="rId84">
              <w:r>
                <w:rPr>
                  <w:rFonts w:ascii="Arial" w:cs="Arial" w:eastAsia="Arial" w:hAnsi="Arial"/>
                  <w:sz w:val="17"/>
                  <w:szCs w:val="17"/>
                  <w:color w:val="0000FF"/>
                  <w:w w:val="94"/>
                </w:rPr>
                <w:t>Inc. as Joint Book Runners and Joint Lead Arrangers, Truist Bank as Syndication Agent, and the lender parties thereto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w w:val="93"/>
              </w:rPr>
            </w:pPr>
            <w:hyperlink r:id="rId84">
              <w:r>
                <w:rPr>
                  <w:rFonts w:ascii="Arial" w:cs="Arial" w:eastAsia="Arial" w:hAnsi="Arial"/>
                  <w:sz w:val="17"/>
                  <w:szCs w:val="17"/>
                  <w:color w:val="0000FF"/>
                  <w:w w:val="93"/>
                </w:rPr>
                <w:t>(incorporated by reference to Exhibit 10.1 on the Current Report on Form 8-K filed on November 9, 2023; Commission</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80" w:type="dxa"/>
            <w:vAlign w:val="bottom"/>
            <w:gridSpan w:val="14"/>
          </w:tcPr>
          <w:p>
            <w:pPr>
              <w:spacing w:after="0" w:line="165" w:lineRule="exact"/>
              <w:rPr>
                <w:rFonts w:ascii="Arial" w:cs="Arial" w:eastAsia="Arial" w:hAnsi="Arial"/>
                <w:sz w:val="18"/>
                <w:szCs w:val="18"/>
                <w:color w:val="0000FF"/>
              </w:rPr>
            </w:pPr>
            <w:hyperlink r:id="rId84">
              <w:r>
                <w:rPr>
                  <w:rFonts w:ascii="Arial" w:cs="Arial" w:eastAsia="Arial" w:hAnsi="Arial"/>
                  <w:sz w:val="18"/>
                  <w:szCs w:val="18"/>
                  <w:color w:val="0000FF"/>
                </w:rPr>
                <w:t>File No. 001-36777)</w:t>
              </w:r>
            </w:hyperlink>
          </w:p>
        </w:tc>
        <w:tc>
          <w:tcPr>
            <w:tcW w:w="20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900" w:type="dxa"/>
            <w:vAlign w:val="bottom"/>
          </w:tcPr>
          <w:p>
            <w:pPr>
              <w:ind w:left="20"/>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3"/>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Consent Agreement dated November 8, 2023 to the Credit Agreement dated as of August 2, 2017, as amended, by and</w:t>
              </w:r>
            </w:hyperlink>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gridSpan w:val="23"/>
          </w:tcPr>
          <w:p>
            <w:pPr>
              <w:spacing w:after="0" w:line="152" w:lineRule="exact"/>
              <w:rPr>
                <w:rFonts w:ascii="Arial" w:cs="Arial" w:eastAsia="Arial" w:hAnsi="Arial"/>
                <w:sz w:val="17"/>
                <w:szCs w:val="17"/>
                <w:color w:val="0000FF"/>
                <w:w w:val="96"/>
              </w:rPr>
            </w:pPr>
            <w:hyperlink r:id="rId85">
              <w:r>
                <w:rPr>
                  <w:rFonts w:ascii="Arial" w:cs="Arial" w:eastAsia="Arial" w:hAnsi="Arial"/>
                  <w:sz w:val="17"/>
                  <w:szCs w:val="17"/>
                  <w:color w:val="0000FF"/>
                  <w:w w:val="96"/>
                </w:rPr>
                <w:t>among James River Group Holdings, Lt. and JRG Reinsurance Company Ltd., as borrowers, and BMO Harris Bank N.A.,</w:t>
              </w:r>
            </w:hyperlink>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40" w:type="dxa"/>
            <w:vAlign w:val="bottom"/>
            <w:tcBorders>
              <w:top w:val="single" w:sz="8" w:color="0000FF"/>
            </w:tcBorders>
            <w:gridSpan w:val="21"/>
          </w:tcPr>
          <w:p>
            <w:pPr>
              <w:spacing w:after="0" w:line="165"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as the lender (incorporated by reference to Exhibit 10.2 on the Current Report on Form 8-K filed on November 9, 2023;</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5"/>
              </w:rPr>
            </w:pPr>
            <w:hyperlink r:id="rId85">
              <w:r>
                <w:rPr>
                  <w:rFonts w:ascii="Arial" w:cs="Arial" w:eastAsia="Arial" w:hAnsi="Arial"/>
                  <w:sz w:val="17"/>
                  <w:szCs w:val="17"/>
                  <w:color w:val="0000FF"/>
                  <w:w w:val="95"/>
                </w:rPr>
                <w:t>Commission File No 001-36777)</w:t>
              </w:r>
            </w:hyperlink>
          </w:p>
        </w:tc>
        <w:tc>
          <w:tcPr>
            <w:tcW w:w="6120" w:type="dxa"/>
            <w:vAlign w:val="bottom"/>
            <w:tcBorders>
              <w:top w:val="single" w:sz="8" w:color="0000FF"/>
            </w:tcBorders>
            <w:gridSpan w:val="11"/>
          </w:tcPr>
          <w:p>
            <w:pPr>
              <w:spacing w:after="0"/>
              <w:rPr>
                <w:sz w:val="13"/>
                <w:szCs w:val="13"/>
                <w:color w:val="auto"/>
              </w:rPr>
            </w:pPr>
          </w:p>
        </w:tc>
        <w:tc>
          <w:tcPr>
            <w:tcW w:w="22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1900" w:type="dxa"/>
            <w:vAlign w:val="bottom"/>
          </w:tcPr>
          <w:p>
            <w:pPr>
              <w:ind w:left="2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Chief Executive Officer Certification pursuant to Rule 13a-14(a)/15d-14(a)</w:t>
            </w:r>
          </w:p>
        </w:tc>
        <w:tc>
          <w:tcPr>
            <w:tcW w:w="34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0000FF"/>
              </w:rPr>
              <w:t>Chief Financial Officer Certification pursuant to Rule 13a-14(a)/15d-14(a)</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4"/>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2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900" w:type="dxa"/>
            <w:vAlign w:val="bottom"/>
          </w:tcPr>
          <w:p>
            <w:pPr>
              <w:ind w:left="2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0000FF"/>
                <w:w w:val="98"/>
              </w:rPr>
              <w:t>Chief Executive Officer and Chief Financial Officer Certification pursuant to 18 U.S.C. Section 1350, as adopted</w:t>
            </w:r>
          </w:p>
        </w:tc>
        <w:tc>
          <w:tcPr>
            <w:tcW w:w="0" w:type="dxa"/>
            <w:vAlign w:val="bottom"/>
          </w:tcPr>
          <w:p>
            <w:pPr>
              <w:spacing w:after="0"/>
              <w:rPr>
                <w:sz w:val="1"/>
                <w:szCs w:val="1"/>
                <w:color w:val="auto"/>
              </w:rPr>
            </w:pPr>
          </w:p>
        </w:tc>
      </w:tr>
      <w:tr>
        <w:trPr>
          <w:trHeight w:val="152"/>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4"/>
          </w:tcPr>
          <w:p>
            <w:pPr>
              <w:spacing w:after="0" w:line="152" w:lineRule="exact"/>
              <w:rPr>
                <w:sz w:val="20"/>
                <w:szCs w:val="20"/>
                <w:color w:val="auto"/>
              </w:rPr>
            </w:pPr>
            <w:r>
              <w:rPr>
                <w:rFonts w:ascii="Arial" w:cs="Arial" w:eastAsia="Arial" w:hAnsi="Arial"/>
                <w:sz w:val="17"/>
                <w:szCs w:val="17"/>
                <w:color w:val="0000FF"/>
                <w:w w:val="93"/>
              </w:rPr>
              <w:t>pursuant to Section 906 of the Sarbanes-Oxley Act of 2002</w:t>
            </w:r>
          </w:p>
        </w:tc>
        <w:tc>
          <w:tcPr>
            <w:tcW w:w="4500" w:type="dxa"/>
            <w:vAlign w:val="bottom"/>
            <w:tcBorders>
              <w:top w:val="single" w:sz="8" w:color="0000FF"/>
            </w:tcBorders>
            <w:gridSpan w:val="1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7"/>
        </w:trPr>
        <w:tc>
          <w:tcPr>
            <w:tcW w:w="1900" w:type="dxa"/>
            <w:vAlign w:val="bottom"/>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80" w:type="dxa"/>
            <w:vAlign w:val="bottom"/>
            <w:gridSpan w:val="23"/>
          </w:tcPr>
          <w:p>
            <w:pPr>
              <w:spacing w:after="0"/>
              <w:rPr>
                <w:sz w:val="20"/>
                <w:szCs w:val="20"/>
                <w:color w:val="auto"/>
              </w:rPr>
            </w:pPr>
            <w:r>
              <w:rPr>
                <w:rFonts w:ascii="Arial" w:cs="Arial" w:eastAsia="Arial" w:hAnsi="Arial"/>
                <w:sz w:val="18"/>
                <w:szCs w:val="18"/>
                <w:color w:val="auto"/>
                <w:w w:val="92"/>
              </w:rPr>
              <w:t>Cover Page Interactive Data File - the cover page XBRL tags are embedded within the Inline XBRL document in Exhibit</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Item 601(a)(5) of Regulation S-K, the Schedules to this Exhibit have been omitted. A copy of the omitted schedules will be furnished to the Securities and Exchange Commission upon request.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3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420" w:type="dxa"/>
            <w:vAlign w:val="bottom"/>
            <w:gridSpan w:val="3"/>
          </w:tcPr>
          <w:p>
            <w:pPr>
              <w:ind w:left="1560"/>
              <w:spacing w:after="0"/>
              <w:rPr>
                <w:sz w:val="20"/>
                <w:szCs w:val="20"/>
                <w:color w:val="auto"/>
              </w:rPr>
            </w:pPr>
            <w:r>
              <w:rPr>
                <w:rFonts w:ascii="Arial" w:cs="Arial" w:eastAsia="Arial" w:hAnsi="Arial"/>
                <w:sz w:val="18"/>
                <w:szCs w:val="18"/>
                <w:color w:val="auto"/>
              </w:rPr>
              <w:t>James River Group Holdings, Ltd.</w:t>
            </w:r>
          </w:p>
        </w:tc>
      </w:tr>
      <w:tr>
        <w:trPr>
          <w:trHeight w:val="45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20"/>
              <w:spacing w:after="0"/>
              <w:rPr>
                <w:sz w:val="20"/>
                <w:szCs w:val="20"/>
                <w:color w:val="auto"/>
              </w:rPr>
            </w:pPr>
            <w:r>
              <w:rPr>
                <w:rFonts w:ascii="Arial" w:cs="Arial" w:eastAsia="Arial" w:hAnsi="Arial"/>
                <w:sz w:val="18"/>
                <w:szCs w:val="18"/>
                <w:color w:val="auto"/>
              </w:rPr>
              <w:t>November 14, 2023</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N. D’Orazio</w:t>
            </w:r>
          </w:p>
        </w:tc>
      </w:tr>
      <w:tr>
        <w:trPr>
          <w:trHeight w:val="218"/>
        </w:trPr>
        <w:tc>
          <w:tcPr>
            <w:tcW w:w="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Frank N. D’Orazio</w:t>
            </w:r>
          </w:p>
        </w:tc>
      </w:tr>
      <w:tr>
        <w:trPr>
          <w:trHeight w:val="225"/>
        </w:trPr>
        <w:tc>
          <w:tcPr>
            <w:tcW w:w="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5"/>
        </w:trPr>
        <w:tc>
          <w:tcPr>
            <w:tcW w:w="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20"/>
              <w:spacing w:after="0"/>
              <w:rPr>
                <w:sz w:val="20"/>
                <w:szCs w:val="20"/>
                <w:color w:val="auto"/>
              </w:rPr>
            </w:pPr>
            <w:r>
              <w:rPr>
                <w:rFonts w:ascii="Arial" w:cs="Arial" w:eastAsia="Arial" w:hAnsi="Arial"/>
                <w:sz w:val="18"/>
                <w:szCs w:val="18"/>
                <w:color w:val="auto"/>
              </w:rPr>
              <w:t>November 14, 2023</w:t>
            </w:r>
          </w:p>
        </w:tc>
        <w:tc>
          <w:tcPr>
            <w:tcW w:w="1860" w:type="dxa"/>
            <w:vAlign w:val="bottom"/>
          </w:tcPr>
          <w:p>
            <w:pPr>
              <w:ind w:left="156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C. Doran</w:t>
            </w:r>
          </w:p>
        </w:tc>
      </w:tr>
      <w:tr>
        <w:trPr>
          <w:trHeight w:val="218"/>
        </w:trPr>
        <w:tc>
          <w:tcPr>
            <w:tcW w:w="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Sarah C. Doran</w:t>
            </w:r>
          </w:p>
        </w:tc>
      </w:tr>
      <w:tr>
        <w:trPr>
          <w:trHeight w:val="225"/>
        </w:trPr>
        <w:tc>
          <w:tcPr>
            <w:tcW w:w="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5"/>
        </w:trPr>
        <w:tc>
          <w:tcPr>
            <w:tcW w:w="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954"/>
        </w:trPr>
        <w:tc>
          <w:tcPr>
            <w:tcW w:w="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jc w:val="right"/>
              <w:ind w:right="52"/>
              <w:spacing w:after="0"/>
              <w:rPr>
                <w:sz w:val="20"/>
                <w:szCs w:val="20"/>
                <w:color w:val="auto"/>
              </w:rPr>
            </w:pPr>
            <w:r>
              <w:rPr>
                <w:rFonts w:ascii="Arial" w:cs="Arial" w:eastAsia="Arial" w:hAnsi="Arial"/>
                <w:sz w:val="18"/>
                <w:szCs w:val="18"/>
                <w:color w:val="auto"/>
              </w:rPr>
              <w:t>66</w:t>
            </w:r>
          </w:p>
        </w:tc>
        <w:tc>
          <w:tcPr>
            <w:tcW w:w="4180" w:type="dxa"/>
            <w:vAlign w:val="bottom"/>
          </w:tcPr>
          <w:p>
            <w:pPr>
              <w:spacing w:after="0"/>
              <w:rPr>
                <w:sz w:val="24"/>
                <w:szCs w:val="24"/>
                <w:color w:val="auto"/>
              </w:rPr>
            </w:pPr>
          </w:p>
        </w:tc>
      </w:tr>
    </w:tbl>
    <w:p>
      <w:pPr>
        <w:sectPr>
          <w:pgSz w:w="11900" w:h="16838" w:orient="portrait"/>
          <w:cols w:equalWidth="0" w:num="1">
            <w:col w:w="11040"/>
          </w:cols>
          <w:pgMar w:left="320" w:top="127" w:right="5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Frank N. D’Orazio, certify that:</w:t>
      </w:r>
    </w:p>
    <w:p>
      <w:pPr>
        <w:spacing w:after="0" w:line="111"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40" w:right="320" w:hanging="316"/>
        <w:spacing w:after="0" w:line="25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60" w:hanging="320"/>
        <w:spacing w:after="0" w:line="255" w:lineRule="auto"/>
        <w:tabs>
          <w:tab w:leader="none" w:pos="12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2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10795</wp:posOffset>
            </wp:positionV>
            <wp:extent cx="35502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N. D’Orazio</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7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111"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1" w:lineRule="exact"/>
        <w:rPr>
          <w:rFonts w:ascii="Arial" w:cs="Arial" w:eastAsia="Arial" w:hAnsi="Arial"/>
          <w:sz w:val="18"/>
          <w:szCs w:val="18"/>
          <w:color w:val="auto"/>
        </w:rPr>
      </w:pPr>
    </w:p>
    <w:p>
      <w:pPr>
        <w:jc w:val="both"/>
        <w:ind w:left="640" w:right="320" w:hanging="316"/>
        <w:spacing w:after="0" w:line="255"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80" w:hanging="316"/>
        <w:spacing w:after="0" w:line="294"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40" w:right="320" w:hanging="316"/>
        <w:spacing w:after="0" w:line="255"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120" w:hanging="320"/>
        <w:spacing w:after="0" w:line="255" w:lineRule="auto"/>
        <w:tabs>
          <w:tab w:leader="none" w:pos="127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60" w:hanging="320"/>
        <w:spacing w:after="0" w:line="255" w:lineRule="auto"/>
        <w:tabs>
          <w:tab w:leader="none" w:pos="12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280" w:right="420" w:hanging="320"/>
        <w:spacing w:after="0" w:line="365" w:lineRule="auto"/>
        <w:tabs>
          <w:tab w:leader="none" w:pos="1277"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280" w:right="120" w:hanging="320"/>
        <w:spacing w:after="0" w:line="255" w:lineRule="auto"/>
        <w:tabs>
          <w:tab w:leader="none" w:pos="12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280" w:right="660" w:hanging="320"/>
        <w:spacing w:after="0" w:line="365" w:lineRule="auto"/>
        <w:tabs>
          <w:tab w:leader="none" w:pos="1277" w:val="left"/>
        </w:tabs>
        <w:numPr>
          <w:ilvl w:val="1"/>
          <w:numId w:val="2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5"/>
          <w:szCs w:val="15"/>
          <w:color w:val="auto"/>
        </w:rPr>
      </w:pPr>
    </w:p>
    <w:p>
      <w:pPr>
        <w:ind w:left="1280" w:right="360" w:hanging="320"/>
        <w:spacing w:after="0" w:line="264" w:lineRule="auto"/>
        <w:tabs>
          <w:tab w:leader="none" w:pos="12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10795</wp:posOffset>
            </wp:positionV>
            <wp:extent cx="35420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3542030"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6"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2" w:lineRule="exact"/>
        <w:rPr>
          <w:sz w:val="20"/>
          <w:szCs w:val="20"/>
          <w:color w:val="auto"/>
        </w:rPr>
      </w:pPr>
    </w:p>
    <w:p>
      <w:pPr>
        <w:ind w:right="340" w:firstLine="636"/>
        <w:spacing w:after="0" w:line="252"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September 30, 2023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85" w:lineRule="exact"/>
        <w:rPr>
          <w:sz w:val="20"/>
          <w:szCs w:val="20"/>
          <w:color w:val="auto"/>
        </w:rPr>
      </w:pPr>
    </w:p>
    <w:p>
      <w:pPr>
        <w:ind w:left="640" w:hanging="634"/>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1" w:lineRule="exact"/>
        <w:rPr>
          <w:rFonts w:ascii="Arial" w:cs="Arial" w:eastAsia="Arial" w:hAnsi="Arial"/>
          <w:sz w:val="18"/>
          <w:szCs w:val="18"/>
          <w:color w:val="auto"/>
        </w:rPr>
      </w:pPr>
    </w:p>
    <w:p>
      <w:pPr>
        <w:ind w:left="640" w:hanging="634"/>
        <w:spacing w:after="0"/>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591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Frank N. D’Orazio</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14, 2023</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59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Sarah C. Doran</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14, 2023</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2"/>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Letter"/>
      <w:start w:val="4"/>
    </w:lvl>
    <w:lvl w:ilvl="1">
      <w:lvlJc w:val="left"/>
      <w:lvlText w:val="%2."/>
      <w:numFmt w:val="decimal"/>
      <w:start w:val="3"/>
    </w:lvl>
  </w:abstractNum>
  <w:abstractNum w:abstractNumId="10">
    <w:nsid w:val="62BBD95A"/>
    <w:multiLevelType w:val="hybridMultilevel"/>
    <w:lvl w:ilvl="0">
      <w:lvlJc w:val="left"/>
      <w:lvlText w:val="%1."/>
      <w:numFmt w:val="decimal"/>
      <w:start w:val="6"/>
    </w:lvl>
  </w:abstractNum>
  <w:abstractNum w:abstractNumId="11">
    <w:nsid w:val="436C6125"/>
    <w:multiLevelType w:val="hybridMultilevel"/>
    <w:lvl w:ilvl="0">
      <w:lvlJc w:val="left"/>
      <w:lvlText w:val="%1."/>
      <w:numFmt w:val="decimal"/>
      <w:start w:val="7"/>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13"/>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Roman"/>
      <w:start w:val="3"/>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82" Type="http://schemas.openxmlformats.org/officeDocument/2006/relationships/hyperlink" Target="https://www.sec.gov/Archives/edgar/data/1620459/000162045923000128/exhibit21.htm" TargetMode="External"/><Relationship Id="rId83" Type="http://schemas.openxmlformats.org/officeDocument/2006/relationships/hyperlink" Target="https://www.sec.gov/Archives/edgar/data/1620459/000162045923000100/exhibit101.htm" TargetMode="External"/><Relationship Id="rId84" Type="http://schemas.openxmlformats.org/officeDocument/2006/relationships/hyperlink" Target="https://www.sec.gov/Archives/edgar/data/1620459/000162045923000128/exhibit101-keybankconsent.htm" TargetMode="External"/><Relationship Id="rId85" Type="http://schemas.openxmlformats.org/officeDocument/2006/relationships/hyperlink" Target="https://www.sec.gov/Archives/edgar/data/1620459/000162045923000128/exhibit102-bmocons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2023-11-14T16:59:45Z</dcterms:created>
  <dcterms:modified xsi:type="dcterms:W3CDTF">2023-11-14T16:59:45Z</dcterms:modified>
</cp:coreProperties>
</file>