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7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ANNUAL AND TRANSITIONAL REPORTS PURSUANT 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SECTIONS 13 OR 15(d) OF THE SECURITIES EXCHANGE ACT OF 1934</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2"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2018</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4"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001-36777</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JAMES RIVER GROUP HOLDINGS, LTD.</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91"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00" w:type="dxa"/>
            <w:vAlign w:val="bottom"/>
          </w:tcPr>
          <w:p>
            <w:pPr>
              <w:jc w:val="center"/>
              <w:ind w:right="1666"/>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3460" w:type="dxa"/>
            <w:vAlign w:val="bottom"/>
          </w:tcPr>
          <w:p>
            <w:pPr>
              <w:jc w:val="center"/>
              <w:ind w:left="1646"/>
              <w:spacing w:after="0"/>
              <w:rPr>
                <w:sz w:val="20"/>
                <w:szCs w:val="20"/>
                <w:color w:val="auto"/>
              </w:rPr>
            </w:pPr>
            <w:r>
              <w:rPr>
                <w:rFonts w:ascii="Times New Roman" w:cs="Times New Roman" w:eastAsia="Times New Roman" w:hAnsi="Times New Roman"/>
                <w:sz w:val="16"/>
                <w:szCs w:val="16"/>
                <w:b w:val="1"/>
                <w:bCs w:val="1"/>
                <w:color w:val="auto"/>
              </w:rPr>
              <w:t>98-0585280</w:t>
            </w:r>
          </w:p>
        </w:tc>
        <w:tc>
          <w:tcPr>
            <w:tcW w:w="0" w:type="dxa"/>
            <w:vAlign w:val="bottom"/>
          </w:tcPr>
          <w:p>
            <w:pPr>
              <w:spacing w:after="0"/>
              <w:rPr>
                <w:sz w:val="1"/>
                <w:szCs w:val="1"/>
                <w:color w:val="auto"/>
              </w:rPr>
            </w:pPr>
          </w:p>
        </w:tc>
      </w:tr>
      <w:tr>
        <w:trPr>
          <w:trHeight w:val="206"/>
        </w:trPr>
        <w:tc>
          <w:tcPr>
            <w:tcW w:w="450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7"/>
              </w:rPr>
              <w:t>(State of Incorporation)</w:t>
            </w:r>
          </w:p>
        </w:tc>
        <w:tc>
          <w:tcPr>
            <w:tcW w:w="3460" w:type="dxa"/>
            <w:vAlign w:val="bottom"/>
          </w:tcPr>
          <w:p>
            <w:pPr>
              <w:jc w:val="center"/>
              <w:ind w:left="1646"/>
              <w:spacing w:after="0"/>
              <w:rPr>
                <w:sz w:val="20"/>
                <w:szCs w:val="20"/>
                <w:color w:val="auto"/>
              </w:rPr>
            </w:pPr>
            <w:r>
              <w:rPr>
                <w:rFonts w:ascii="Times New Roman" w:cs="Times New Roman" w:eastAsia="Times New Roman" w:hAnsi="Times New Roman"/>
                <w:sz w:val="13"/>
                <w:szCs w:val="13"/>
                <w:color w:val="auto"/>
                <w:w w:val="97"/>
              </w:rPr>
              <w:t>(IRS Employer Identification No.)</w:t>
            </w:r>
          </w:p>
        </w:tc>
        <w:tc>
          <w:tcPr>
            <w:tcW w:w="0" w:type="dxa"/>
            <w:vAlign w:val="bottom"/>
          </w:tcPr>
          <w:p>
            <w:pPr>
              <w:spacing w:after="0"/>
              <w:rPr>
                <w:sz w:val="1"/>
                <w:szCs w:val="1"/>
                <w:color w:val="auto"/>
              </w:rPr>
            </w:pPr>
          </w:p>
        </w:tc>
      </w:tr>
      <w:tr>
        <w:trPr>
          <w:trHeight w:val="230"/>
        </w:trPr>
        <w:tc>
          <w:tcPr>
            <w:tcW w:w="4500" w:type="dxa"/>
            <w:vAlign w:val="bottom"/>
          </w:tcPr>
          <w:p>
            <w:pPr>
              <w:jc w:val="center"/>
              <w:ind w:right="1646"/>
              <w:spacing w:after="0" w:line="230" w:lineRule="exact"/>
              <w:rPr>
                <w:sz w:val="20"/>
                <w:szCs w:val="20"/>
                <w:color w:val="auto"/>
              </w:rPr>
            </w:pPr>
            <w:r>
              <w:rPr>
                <w:rFonts w:ascii="Times New Roman" w:cs="Times New Roman" w:eastAsia="Times New Roman" w:hAnsi="Times New Roman"/>
                <w:sz w:val="16"/>
                <w:szCs w:val="16"/>
                <w:b w:val="1"/>
                <w:bCs w:val="1"/>
                <w:color w:val="auto"/>
                <w:w w:val="98"/>
              </w:rPr>
              <w:t>Wellesley House, 2</w:t>
            </w:r>
            <w:r>
              <w:rPr>
                <w:rFonts w:ascii="Times New Roman" w:cs="Times New Roman" w:eastAsia="Times New Roman" w:hAnsi="Times New Roman"/>
                <w:sz w:val="21"/>
                <w:szCs w:val="21"/>
                <w:b w:val="1"/>
                <w:bCs w:val="1"/>
                <w:color w:val="auto"/>
                <w:w w:val="98"/>
                <w:vertAlign w:val="superscript"/>
              </w:rPr>
              <w:t>nd</w:t>
            </w:r>
            <w:r>
              <w:rPr>
                <w:rFonts w:ascii="Times New Roman" w:cs="Times New Roman" w:eastAsia="Times New Roman" w:hAnsi="Times New Roman"/>
                <w:sz w:val="16"/>
                <w:szCs w:val="16"/>
                <w:b w:val="1"/>
                <w:bCs w:val="1"/>
                <w:color w:val="auto"/>
                <w:w w:val="98"/>
              </w:rPr>
              <w:t xml:space="preserve"> Floor</w:t>
            </w:r>
          </w:p>
        </w:tc>
        <w:tc>
          <w:tcPr>
            <w:tcW w:w="3460" w:type="dxa"/>
            <w:vAlign w:val="bottom"/>
            <w:vMerge w:val="restart"/>
          </w:tcPr>
          <w:p>
            <w:pPr>
              <w:jc w:val="center"/>
              <w:ind w:left="1646"/>
              <w:spacing w:after="0"/>
              <w:rPr>
                <w:sz w:val="20"/>
                <w:szCs w:val="20"/>
                <w:color w:val="auto"/>
              </w:rPr>
            </w:pPr>
            <w:r>
              <w:rPr>
                <w:rFonts w:ascii="Times New Roman" w:cs="Times New Roman" w:eastAsia="Times New Roman" w:hAnsi="Times New Roman"/>
                <w:sz w:val="18"/>
                <w:szCs w:val="18"/>
                <w:b w:val="1"/>
                <w:bCs w:val="1"/>
                <w:color w:val="auto"/>
              </w:rPr>
              <w:t>HM 08</w:t>
            </w:r>
          </w:p>
        </w:tc>
        <w:tc>
          <w:tcPr>
            <w:tcW w:w="0" w:type="dxa"/>
            <w:vAlign w:val="bottom"/>
          </w:tcPr>
          <w:p>
            <w:pPr>
              <w:spacing w:after="0"/>
              <w:rPr>
                <w:sz w:val="1"/>
                <w:szCs w:val="1"/>
                <w:color w:val="auto"/>
              </w:rPr>
            </w:pPr>
          </w:p>
        </w:tc>
      </w:tr>
      <w:tr>
        <w:trPr>
          <w:trHeight w:val="218"/>
        </w:trPr>
        <w:tc>
          <w:tcPr>
            <w:tcW w:w="4500" w:type="dxa"/>
            <w:vAlign w:val="bottom"/>
          </w:tcPr>
          <w:p>
            <w:pPr>
              <w:jc w:val="center"/>
              <w:ind w:right="1666"/>
              <w:spacing w:after="0"/>
              <w:rPr>
                <w:sz w:val="20"/>
                <w:szCs w:val="20"/>
                <w:color w:val="auto"/>
              </w:rPr>
            </w:pPr>
            <w:r>
              <w:rPr>
                <w:rFonts w:ascii="Times New Roman" w:cs="Times New Roman" w:eastAsia="Times New Roman" w:hAnsi="Times New Roman"/>
                <w:sz w:val="16"/>
                <w:szCs w:val="16"/>
                <w:b w:val="1"/>
                <w:bCs w:val="1"/>
                <w:color w:val="auto"/>
              </w:rPr>
              <w:t>90 Pitts Bay Road, Pembroke, Bermuda</w:t>
            </w:r>
          </w:p>
        </w:tc>
        <w:tc>
          <w:tcPr>
            <w:tcW w:w="3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50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60" w:type="dxa"/>
            <w:vAlign w:val="bottom"/>
          </w:tcPr>
          <w:p>
            <w:pPr>
              <w:jc w:val="center"/>
              <w:ind w:left="1646"/>
              <w:spacing w:after="0"/>
              <w:rPr>
                <w:sz w:val="20"/>
                <w:szCs w:val="20"/>
                <w:color w:val="auto"/>
              </w:rPr>
            </w:pPr>
            <w:r>
              <w:rPr>
                <w:rFonts w:ascii="Times New Roman" w:cs="Times New Roman" w:eastAsia="Times New Roman" w:hAnsi="Times New Roman"/>
                <w:sz w:val="13"/>
                <w:szCs w:val="13"/>
                <w:color w:val="auto"/>
                <w:w w:val="93"/>
              </w:rPr>
              <w:t>(Zip Code)</w:t>
            </w:r>
          </w:p>
        </w:tc>
        <w:tc>
          <w:tcPr>
            <w:tcW w:w="0" w:type="dxa"/>
            <w:vAlign w:val="bottom"/>
          </w:tcPr>
          <w:p>
            <w:pPr>
              <w:spacing w:after="0"/>
              <w:rPr>
                <w:sz w:val="1"/>
                <w:szCs w:val="1"/>
                <w:color w:val="auto"/>
              </w:rPr>
            </w:pPr>
          </w:p>
        </w:tc>
      </w:tr>
    </w:tbl>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(441) 278-4580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Shares, par value $0.0002 per share</w:t>
      </w:r>
    </w:p>
    <w:p>
      <w:pPr>
        <w:jc w:val="center"/>
        <w:ind w:right="-19"/>
        <w:spacing w:after="0"/>
        <w:rPr>
          <w:sz w:val="20"/>
          <w:szCs w:val="20"/>
          <w:color w:val="auto"/>
        </w:rPr>
      </w:pPr>
      <w:r>
        <w:rPr>
          <w:rFonts w:ascii="Times New Roman" w:cs="Times New Roman" w:eastAsia="Times New Roman" w:hAnsi="Times New Roman"/>
          <w:sz w:val="13"/>
          <w:szCs w:val="13"/>
          <w:color w:val="auto"/>
        </w:rPr>
        <w:t>(Title of Class)</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(Name of Exchange on which Registered)</w:t>
      </w:r>
    </w:p>
    <w:p>
      <w:pPr>
        <w:spacing w:after="0" w:line="9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83" w:lineRule="exact"/>
        <w:rPr>
          <w:sz w:val="24"/>
          <w:szCs w:val="24"/>
          <w:color w:val="auto"/>
        </w:rPr>
      </w:pPr>
    </w:p>
    <w:p>
      <w:pPr>
        <w:ind w:right="3480"/>
        <w:spacing w:after="0" w:line="24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x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x</w:t>
      </w:r>
    </w:p>
    <w:p>
      <w:pPr>
        <w:spacing w:after="0" w:line="69"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9" w:lineRule="exact"/>
        <w:rPr>
          <w:sz w:val="24"/>
          <w:szCs w:val="24"/>
          <w:color w:val="auto"/>
        </w:rPr>
      </w:pPr>
    </w:p>
    <w:p>
      <w:pPr>
        <w:ind w:right="3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non-accelerated filer, a smaller reporting company, or emerging growth company. See the definitions of “large accelerated filer,” “accelerated filer,” “smaller reporting company,” and “emerging growth company” in Rule 12b-2 of the Exchange Act. (Check one):</w:t>
      </w:r>
    </w:p>
    <w:p>
      <w:pPr>
        <w:spacing w:after="0" w:line="117" w:lineRule="exact"/>
        <w:rPr>
          <w:sz w:val="24"/>
          <w:szCs w:val="24"/>
          <w:color w:val="auto"/>
        </w:rPr>
      </w:pPr>
    </w:p>
    <w:p>
      <w:pPr>
        <w:ind w:left="40"/>
        <w:spacing w:after="0"/>
        <w:tabs>
          <w:tab w:leader="none" w:pos="2580" w:val="left"/>
          <w:tab w:leader="none" w:pos="4320" w:val="left"/>
          <w:tab w:leader="none" w:pos="6080" w:val="left"/>
          <w:tab w:leader="none" w:pos="9500" w:val="left"/>
        </w:tabs>
        <w:rPr>
          <w:sz w:val="20"/>
          <w:szCs w:val="20"/>
          <w:color w:val="auto"/>
        </w:rPr>
      </w:pPr>
      <w:r>
        <w:rPr>
          <w:rFonts w:ascii="Times New Roman" w:cs="Times New Roman" w:eastAsia="Times New Roman" w:hAnsi="Times New Roman"/>
          <w:sz w:val="14"/>
          <w:szCs w:val="14"/>
          <w:b w:val="1"/>
          <w:bCs w:val="1"/>
          <w:color w:val="auto"/>
        </w:rPr>
        <w:t xml:space="preserve">Large accelerated filer </w:t>
      </w:r>
      <w:r>
        <w:rPr>
          <w:rFonts w:ascii="Times New Roman" w:cs="Times New Roman" w:eastAsia="Times New Roman" w:hAnsi="Times New Roman"/>
          <w:sz w:val="16"/>
          <w:szCs w:val="16"/>
          <w:color w:val="auto"/>
        </w:rPr>
        <w:t>x</w:t>
      </w:r>
      <w:r>
        <w:rPr>
          <w:sz w:val="20"/>
          <w:szCs w:val="20"/>
          <w:color w:val="auto"/>
        </w:rPr>
        <w:tab/>
      </w:r>
      <w:r>
        <w:rPr>
          <w:rFonts w:ascii="Times New Roman" w:cs="Times New Roman" w:eastAsia="Times New Roman" w:hAnsi="Times New Roman"/>
          <w:sz w:val="14"/>
          <w:szCs w:val="14"/>
          <w:b w:val="1"/>
          <w:bCs w:val="1"/>
          <w:color w:val="auto"/>
        </w:rPr>
        <w:t xml:space="preserve">Accelerated filer </w:t>
      </w:r>
      <w:r>
        <w:rPr>
          <w:rFonts w:ascii="Times New Roman" w:cs="Times New Roman" w:eastAsia="Times New Roman" w:hAnsi="Times New Roman"/>
          <w:sz w:val="16"/>
          <w:szCs w:val="16"/>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Non-accelerated filer </w:t>
      </w:r>
      <w:r>
        <w:rPr>
          <w:rFonts w:ascii="Times New Roman" w:cs="Times New Roman" w:eastAsia="Times New Roman" w:hAnsi="Times New Roman"/>
          <w:sz w:val="16"/>
          <w:szCs w:val="16"/>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Smaller reporting company </w:t>
      </w:r>
      <w:r>
        <w:rPr>
          <w:rFonts w:ascii="Times New Roman" w:cs="Times New Roman" w:eastAsia="Times New Roman" w:hAnsi="Times New Roman"/>
          <w:sz w:val="16"/>
          <w:szCs w:val="16"/>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Times New Roman" w:cs="Times New Roman" w:eastAsia="Times New Roman" w:hAnsi="Times New Roman"/>
          <w:sz w:val="16"/>
          <w:szCs w:val="16"/>
          <w:color w:val="auto"/>
        </w:rPr>
        <w:t>o</w:t>
      </w:r>
    </w:p>
    <w:p>
      <w:pPr>
        <w:spacing w:after="0" w:line="145" w:lineRule="exact"/>
        <w:rPr>
          <w:sz w:val="24"/>
          <w:szCs w:val="24"/>
          <w:color w:val="auto"/>
        </w:rPr>
      </w:pPr>
    </w:p>
    <w:p>
      <w:pPr>
        <w:ind w:right="1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x</w:t>
      </w:r>
    </w:p>
    <w:p>
      <w:pPr>
        <w:spacing w:after="0" w:line="13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common shares held by non-affiliates of the Registrant as of June 30, 2018, computed by reference to the closing sales price on the NASDAQ Global Select Market on that date, was approximately $1,143,957,071.</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the Registrant’s common shares outstanding was 30,067,545 as of February 25, 2019.</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3" w:lineRule="exact"/>
        <w:rPr>
          <w:sz w:val="24"/>
          <w:szCs w:val="24"/>
          <w:color w:val="auto"/>
        </w:rPr>
      </w:pPr>
    </w:p>
    <w:p>
      <w:pPr>
        <w:ind w:right="120"/>
        <w:spacing w:after="0" w:line="362" w:lineRule="auto"/>
        <w:rPr>
          <w:sz w:val="20"/>
          <w:szCs w:val="20"/>
          <w:color w:val="auto"/>
        </w:rPr>
      </w:pPr>
      <w:r>
        <w:rPr>
          <w:rFonts w:ascii="Times New Roman" w:cs="Times New Roman" w:eastAsia="Times New Roman" w:hAnsi="Times New Roman"/>
          <w:sz w:val="14"/>
          <w:szCs w:val="14"/>
          <w:color w:val="auto"/>
        </w:rPr>
        <w:t>Portions of the James River Group Holdings, Ltd. Proxy Statement to be filed with the Securities and Exchange Commission within 120 days after the year covered by this Form 10-K with respect to the 2019 Annual General Meeting of Shareholders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1880" w:type="dxa"/>
            <w:vAlign w:val="bottom"/>
            <w:gridSpan w:val="9"/>
            <w:shd w:val="clear" w:color="auto" w:fill="CCEEFF"/>
          </w:tcPr>
          <w:p>
            <w:pPr>
              <w:ind w:left="40"/>
              <w:spacing w:after="0" w:line="201"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6"/>
            <w:shd w:val="clear" w:color="auto" w:fill="CCEEFF"/>
          </w:tcPr>
          <w:p>
            <w:pPr>
              <w:jc w:val="right"/>
              <w:ind w:right="20"/>
              <w:spacing w:after="0" w:line="201"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1A.</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RISK FACTORS</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Item 1B.</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UNRESOLVED STAFF COMMENTS</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Item 2.</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PROPERTIES</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Item 3.</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LEGAL PROCEEDINGS</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Item 4.</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MINE SAFETY DISCLOSURE</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PART II</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5.</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MARKET FOR REGISTRANT’S COMMON EQUITY, RELATED STOCKHOLDER MATTERS AND ISSUER</w:t>
              </w:r>
            </w:hyperlink>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PURCHASES OF EQUITY SECURITIES</w:t>
              </w:r>
            </w:hyperlink>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6"/>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6.</w:t>
              </w:r>
            </w:hyperlink>
          </w:p>
        </w:tc>
        <w:tc>
          <w:tcPr>
            <w:tcW w:w="3080" w:type="dxa"/>
            <w:vAlign w:val="bottom"/>
            <w:gridSpan w:val="13"/>
          </w:tcPr>
          <w:p>
            <w:pPr>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SELECTED FINANCIAL DATA</w:t>
              </w:r>
            </w:hyperlink>
          </w:p>
        </w:tc>
        <w:tc>
          <w:tcPr>
            <w:tcW w:w="5660" w:type="dxa"/>
            <w:vAlign w:val="bottom"/>
            <w:gridSpan w:val="11"/>
          </w:tcPr>
          <w:p>
            <w:pPr>
              <w:spacing w:after="0"/>
              <w:rPr>
                <w:sz w:val="17"/>
                <w:szCs w:val="17"/>
                <w:color w:val="auto"/>
              </w:rPr>
            </w:pPr>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7.</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MANAGEMENT’S DISCUSSION AND ANALYSIS OF FINANCIAL CONDITION AND RESULTS OF</w:t>
              </w:r>
            </w:hyperlink>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tcBorders>
            <w:gridSpan w:val="17"/>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spacing w:after="0"/>
              <w:rPr>
                <w:sz w:val="17"/>
                <w:szCs w:val="17"/>
                <w:color w:val="auto"/>
              </w:rPr>
            </w:pPr>
          </w:p>
        </w:tc>
        <w:tc>
          <w:tcPr>
            <w:tcW w:w="800" w:type="dxa"/>
            <w:vAlign w:val="bottom"/>
            <w:tcBorders>
              <w:top w:val="single" w:sz="8" w:color="CCEEFF"/>
            </w:tcBorders>
            <w:gridSpan w:val="6"/>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7A.</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QUANTITATIVE AND QUALITATIVE DISCLOSURES ABOUT MARKET RISK</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109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8.</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FINANCIAL STATEMENTS AND SUPPLEMENTARY DATA</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9.</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CHANGES IN AND DISAGREEMENTS WITH ACCOUNTANTS ON ACCOUNTING AND FINANCIAL</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DISCLOSURE</w:t>
              </w:r>
            </w:hyperlink>
          </w:p>
        </w:tc>
        <w:tc>
          <w:tcPr>
            <w:tcW w:w="800" w:type="dxa"/>
            <w:vAlign w:val="bottom"/>
            <w:gridSpan w:val="3"/>
          </w:tcPr>
          <w:p>
            <w:pPr>
              <w:spacing w:after="0"/>
              <w:rPr>
                <w:sz w:val="17"/>
                <w:szCs w:val="17"/>
                <w:color w:val="auto"/>
              </w:rPr>
            </w:pPr>
          </w:p>
        </w:tc>
        <w:tc>
          <w:tcPr>
            <w:tcW w:w="800" w:type="dxa"/>
            <w:vAlign w:val="bottom"/>
            <w:gridSpan w:val="6"/>
          </w:tcPr>
          <w:p>
            <w:pPr>
              <w:jc w:val="right"/>
              <w:ind w:right="20"/>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110</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Item 9A.</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CONTROLS AND PROCEDURES</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Item 9B.</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OTHER INFORMATION</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PART III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10.</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DIRECTORS, EXECUTIVE OFFICERS AND CORPORATE GOVERNANCE</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11.</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EXECUTIVE COMPENSATION</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12.</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SECURITY OWNERSHIP OF CERTAIN BENEFICIAL OWNERS AND MANAGEMENT AND RELATED</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STOCKHOLDER MATTERS</w:t>
              </w:r>
            </w:hyperlink>
          </w:p>
        </w:tc>
        <w:tc>
          <w:tcPr>
            <w:tcW w:w="740" w:type="dxa"/>
            <w:vAlign w:val="bottom"/>
            <w:gridSpan w:val="2"/>
          </w:tcPr>
          <w:p>
            <w:pPr>
              <w:spacing w:after="0"/>
              <w:rPr>
                <w:sz w:val="17"/>
                <w:szCs w:val="17"/>
                <w:color w:val="auto"/>
              </w:rPr>
            </w:pPr>
          </w:p>
        </w:tc>
        <w:tc>
          <w:tcPr>
            <w:tcW w:w="800" w:type="dxa"/>
            <w:vAlign w:val="bottom"/>
            <w:gridSpan w:val="6"/>
          </w:tcPr>
          <w:p>
            <w:pPr>
              <w:jc w:val="right"/>
              <w:ind w:right="20"/>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13.</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CERTAIN RELATIONSHIPS AND RELATED TRANSACTIONS, AND DIRECTOR INDEPENDENCE</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5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14.</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PRINCIPAL ACCOUNTANT FEES AND SERVICES</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PART IV</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15.</w:t>
              </w:r>
            </w:hyperlink>
          </w:p>
        </w:tc>
        <w:tc>
          <w:tcPr>
            <w:tcW w:w="8740" w:type="dxa"/>
            <w:vAlign w:val="bottom"/>
            <w:gridSpan w:val="24"/>
          </w:tcPr>
          <w:p>
            <w:pPr>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EXHIBITS AND FINANCIAL STATEMENT SCHEDULES</w:t>
              </w:r>
            </w:hyperlink>
          </w:p>
        </w:tc>
        <w:tc>
          <w:tcPr>
            <w:tcW w:w="8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Item 16.</w:t>
              </w:r>
            </w:hyperlink>
          </w:p>
        </w:tc>
        <w:tc>
          <w:tcPr>
            <w:tcW w:w="874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FORM 10-K SUMMARY</w:t>
              </w:r>
            </w:hyperlink>
          </w:p>
        </w:tc>
        <w:tc>
          <w:tcPr>
            <w:tcW w:w="8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117</w:t>
              </w:r>
            </w:hyperlink>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0000EE"/>
            </w:tcBorders>
            <w:shd w:val="clear" w:color="auto" w:fill="CCEEFF"/>
          </w:tcPr>
          <w:p>
            <w:pPr>
              <w:spacing w:after="0"/>
              <w:rPr>
                <w:sz w:val="22"/>
                <w:szCs w:val="22"/>
                <w:color w:val="auto"/>
              </w:rPr>
            </w:pPr>
          </w:p>
        </w:tc>
        <w:tc>
          <w:tcPr>
            <w:tcW w:w="20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140" w:type="dxa"/>
            <w:vAlign w:val="bottom"/>
            <w:tcBorders>
              <w:top w:val="single" w:sz="8" w:color="0000EE"/>
            </w:tcBorders>
            <w:shd w:val="clear" w:color="auto" w:fill="CCEEFF"/>
          </w:tcPr>
          <w:p>
            <w:pPr>
              <w:spacing w:after="0"/>
              <w:rPr>
                <w:sz w:val="22"/>
                <w:szCs w:val="22"/>
                <w:color w:val="auto"/>
              </w:rPr>
            </w:pPr>
          </w:p>
        </w:tc>
        <w:tc>
          <w:tcPr>
            <w:tcW w:w="6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ind w:right="22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or suggests otherwise, references in this Annual Report on Form 10-K to “the Company,” “we,” “us” and “our” refer to James River Group Holdings, Ltd. and its consolidated subsidiaries.</w:t>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In some cases, forward-looking statements may be identified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81"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Annual Report as a result of various factors, many of which are beyond our control, including, among others:</w:t>
      </w:r>
    </w:p>
    <w:p>
      <w:pPr>
        <w:spacing w:after="0" w:line="81" w:lineRule="exact"/>
        <w:rPr>
          <w:sz w:val="20"/>
          <w:szCs w:val="20"/>
          <w:color w:val="auto"/>
        </w:rPr>
      </w:pPr>
    </w:p>
    <w:p>
      <w:pPr>
        <w:ind w:left="660" w:right="420" w:hanging="328"/>
        <w:spacing w:after="0" w:line="3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loss and loss adjustment expense reserves;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resulting in the sale of fewer policies than expected or an increase in the frequency or severity of claims,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resulting in a reduction of new or renewal business;</w:t>
      </w:r>
    </w:p>
    <w:p>
      <w:pPr>
        <w:spacing w:after="0" w:line="157" w:lineRule="exact"/>
        <w:rPr>
          <w:rFonts w:ascii="Times New Roman" w:cs="Times New Roman" w:eastAsia="Times New Roman" w:hAnsi="Times New Roman"/>
          <w:sz w:val="18"/>
          <w:szCs w:val="18"/>
          <w:color w:val="auto"/>
        </w:rPr>
      </w:pPr>
    </w:p>
    <w:p>
      <w:pPr>
        <w:ind w:left="660" w:right="400" w:hanging="328"/>
        <w:spacing w:after="0" w:line="3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such relationships;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 and regulations;</w:t>
      </w:r>
    </w:p>
    <w:p>
      <w:pPr>
        <w:spacing w:after="0" w:line="157" w:lineRule="exact"/>
        <w:rPr>
          <w:rFonts w:ascii="Times New Roman" w:cs="Times New Roman" w:eastAsia="Times New Roman" w:hAnsi="Times New Roman"/>
          <w:sz w:val="18"/>
          <w:szCs w:val="18"/>
          <w:color w:val="auto"/>
        </w:rPr>
      </w:pPr>
    </w:p>
    <w:p>
      <w:pPr>
        <w:ind w:left="660" w:right="460" w:hanging="328"/>
        <w:spacing w:after="0" w:line="3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41" w:lineRule="exact"/>
        <w:rPr>
          <w:rFonts w:ascii="Times New Roman" w:cs="Times New Roman" w:eastAsia="Times New Roman" w:hAnsi="Times New Roman"/>
          <w:sz w:val="18"/>
          <w:szCs w:val="18"/>
          <w:color w:val="auto"/>
        </w:rPr>
      </w:pPr>
    </w:p>
    <w:p>
      <w:pPr>
        <w:ind w:left="660" w:right="380" w:hanging="328"/>
        <w:spacing w:after="0" w:line="3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foreign subsidiaries becoming subject to U.S. federal income taxation;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to shield us from unanticipated financial losses or legal exposures, or other liabilities;</w:t>
      </w:r>
    </w:p>
    <w:p>
      <w:pPr>
        <w:spacing w:after="0" w:line="157" w:lineRule="exact"/>
        <w:rPr>
          <w:rFonts w:ascii="Times New Roman" w:cs="Times New Roman" w:eastAsia="Times New Roman" w:hAnsi="Times New Roman"/>
          <w:sz w:val="18"/>
          <w:szCs w:val="18"/>
          <w:color w:val="auto"/>
        </w:rPr>
      </w:pPr>
    </w:p>
    <w:p>
      <w:pPr>
        <w:ind w:left="660" w:right="160" w:hanging="328"/>
        <w:spacing w:after="0" w:line="3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which substantially exceed our expectations and/or exceed the amount of reinsurance we have purchased to protect us from such events;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w:t>
      </w:r>
    </w:p>
    <w:p>
      <w:pPr>
        <w:spacing w:after="0" w:line="157" w:lineRule="exact"/>
        <w:rPr>
          <w:rFonts w:ascii="Times New Roman" w:cs="Times New Roman" w:eastAsia="Times New Roman" w:hAnsi="Times New Roman"/>
          <w:sz w:val="18"/>
          <w:szCs w:val="18"/>
          <w:color w:val="auto"/>
        </w:rPr>
      </w:pPr>
    </w:p>
    <w:p>
      <w:pPr>
        <w:ind w:left="660" w:right="160" w:hanging="328"/>
        <w:spacing w:after="0" w:line="34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prices and on terms that allow us to transfer risk and adequately protect our company against financial loss;</w:t>
      </w: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8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Sarbanes-Oxley Act of 2002, as amended (“Sarbanes-Oxley”);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under “Risk Factors” and elsewhere in this Annual Report.</w:t>
      </w:r>
    </w:p>
    <w:p>
      <w:pPr>
        <w:spacing w:after="0" w:line="131"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Accordingly, you should read this Annual Report completely and with the understanding that our actual future results may be materially different from what we expect.</w:t>
      </w:r>
    </w:p>
    <w:p>
      <w:pPr>
        <w:spacing w:after="0" w:line="5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Annual Report. Except as expressly required under federal securities laws and the rules and regulations of the Securities and Exchange Commission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122" w:right="279" w:bottom="1440" w:gutter="0" w:footer="0" w:header="0"/>
        </w:sectPr>
      </w:pPr>
    </w:p>
    <w:bookmarkStart w:id="4" w:name="page5"/>
    <w:bookmarkEnd w:id="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ectPr>
          <w:pgSz w:w="11900" w:h="16838" w:orient="portrait"/>
          <w:cols w:equalWidth="0" w:num="1">
            <w:col w:w="11420"/>
          </w:cols>
          <w:pgMar w:left="240" w:top="122" w:right="2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31" w:lineRule="exact"/>
        <w:rPr>
          <w:sz w:val="20"/>
          <w:szCs w:val="20"/>
          <w:color w:val="auto"/>
        </w:rPr>
      </w:pPr>
    </w:p>
    <w:p>
      <w:pPr>
        <w:sectPr>
          <w:pgSz w:w="11900" w:h="16838" w:orient="portrait"/>
          <w:cols w:equalWidth="0" w:num="2">
            <w:col w:w="540" w:space="440"/>
            <w:col w:w="10440"/>
          </w:cols>
          <w:pgMar w:left="240" w:top="12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James River Group Holdings, Ltd. is a Bermuda-based holding company. We own and operate a group of specialty insurance and reinsurance companies. For the year ended December 31, 2018, approximately 67.6% of our group-wide gross written premiums originated from the U.S. excess and surplus (“E&amp;S”) lines market. Substantially all of our business is casualty insurance and reinsurance, and for the year ended December 31, 2018, we derived 98.5% of our group-wide gross written premiums from casualty insurance and reinsurance. Our objective is to generate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 Our group includes three specialty property-casualty insurance and reinsurance segments: Excess and Surplus Lines, Specialty Admitted Insurance and Casualty Reinsurance.</w:t>
      </w:r>
    </w:p>
    <w:p>
      <w:pPr>
        <w:spacing w:after="0" w:line="81"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We write very little property or catastrophe insurance and no property catastrophe reinsurance. For the year ended December 31, 2018, property insurance and reinsurance represented 1.5% of our gross written premiums. When we do write property insurance, we buy reinsurance to significantly mitigate our risk. We have structured our reinsurance arrangements so that our modeled net pre-tax loss from a 1/1000 year probable maximum loss ("PML") event is no more than $10.0 million on a group-wide basis.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report our business in four segments: Excess and Surplus Lines, Specialty Admitted Insurance, Casualty Reinsurance and Corporate and Other.</w:t>
      </w:r>
    </w:p>
    <w:p>
      <w:pPr>
        <w:spacing w:after="0" w:line="11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filing of such changes with state regulators. In 2018, the average account in this segment (excluding commercial auto policies) generated annual gross written premiums of approximately $20,000. The Excess and Surplus Lines segment distributes primarily through wholesale insurance brokers. Members of our management team have participated in this market for over three decades and have long-standing relationships with the wholesale brokers who place E&amp;S lines accounts. The Excess and Surplus Lines segment produced 56.3% of our gross written premiums and 74.9% of our net written premiums for the year ended December 31, 2018.</w:t>
      </w:r>
    </w:p>
    <w:p>
      <w:pPr>
        <w:spacing w:after="0" w:line="8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Specialty Admitted Insurance segment has two areas of focus. We write a select book of workers’ compensation coverage for building trades, healthcare employees and light manufacturing, among other light to medium hazard risks in select Southeastern and Eastern U.S. states, as well as fronting business which has become a significant element of our revenues and profits in this segment. Starting in 2017, we have de-emphasized the program business, as we believe fronting offers better risk adjusted return potential. In our fronting business, we retain a small percentage of the risk, generally 10% or less, and seek to earn fee income by allowing other carriers and producers to access our licensure, ratings, and underwriting and claims expertise. In our program business, our historic net retention was more than 10%. The Specialty Admitted Insurance segment accepts applications for insurance from a variety of sources, including independent retail agents, program administrators and managing general agents (“MGAs”). The Specialty Admitted Insurance segment produced 32.1% of our gross written premiums and 7.3% of our net written premiums for the year ended December 31, 2018.</w:t>
      </w:r>
    </w:p>
    <w:p>
      <w:pPr>
        <w:spacing w:after="0" w:line="7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which allow the ceding company to capture a greater percentage of the profits should the business prove more profitable than expected, or alternatively, with additional premiums should the business incur higher than expected losses. We believe these structures best align our interests with the interests of our cedents. On a premium volume basis, treaties with loss mitigation features including sliding scale ceding commissions represented 81.7% of the gross premiums written by our Casualty Reinsurance segment during 2018. We typically do not assume large individual risks in our Casualty Reinsurance segment, nor do we write property catastrophe reinsurance. Most of the policies assumed by our Casualty Reinsurance segment have a $1.0 million per occurrence limit, and we typically assume only a portion of that exposure. We believe this structure reduces volatility in our underwriting results. We do not assume stand-alone third-party property business at our Casualty Reinsurance segment, but we do have a small amount of assumed business with ancillary property exposure. 83.7% of premiums written by our Casualty Reinsurance segment during 2018 were general liability accounts assumed from E&amp;S carriers. The Casualty Reinsurance segment distributes through</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brokers and produced 11.6% of our gross written premiums and 17.8% of our net written premiums for the year ended December 31, 2018.</w:t>
      </w:r>
    </w:p>
    <w:p>
      <w:pPr>
        <w:spacing w:after="0" w:line="117"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The Casualty Reinsurance segment writes business through two entities, JRG Reinsurance Company Ltd ("JRG Re") and Carolina Re Ltd ("Carolina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This business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2018, 54.9% of our cash and invested assets were held at JRG Re, which benefits from a favorable operating environment, including an absence of corporate income or investment taxes.</w:t>
      </w:r>
    </w:p>
    <w:p>
      <w:pPr>
        <w:spacing w:after="0" w:line="8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December 22, 2017, the United States enacted Public Law No. 115-97, informally titled the Tax Cuts and Jobs Act (the “Tax Act”). The Tax Act significantly changed the U.S. Internal Revenue Code of 1986, as amended (the “Code”), including by reducing the U.S. corporate income tax rate from 35% to 21% and imposing a base erosion and anti-abuse tax (“BEAT”). In response to the Tax Act, we made changes to our structure in 2018 to minimize the impact of BEAT that included the formation of Carolina Re, a Bermuda-domiciled, wholly-owned subsidiary of James River Group, Inc. Carolina Re is a Class 3A reinsurer and made an irrevocable election to be taxed as a U.S. domestic corporation under Section 953(d) of the Code effective January 1, 2018. Carolina Re also entered into a stop loss reinsurance agreement with JRG Re.</w:t>
      </w:r>
    </w:p>
    <w:p>
      <w:pPr>
        <w:spacing w:after="0" w:line="80" w:lineRule="exact"/>
        <w:rPr>
          <w:sz w:val="20"/>
          <w:szCs w:val="20"/>
          <w:color w:val="auto"/>
        </w:rPr>
      </w:pPr>
    </w:p>
    <w:p>
      <w:pPr>
        <w:ind w:right="120" w:firstLine="351"/>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and interest expense associated with our debt.</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2018, our operating subsidiaries wrote $1,166.8 million of gross written premiums, allocated by segment and underlying market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Written</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Written Premiums by Segment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and Surplus Lines segment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656,538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43"/>
        </w:trPr>
        <w:tc>
          <w:tcPr>
            <w:tcW w:w="8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 segment</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374,346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 Reinsurance segment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135,889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7"/>
        </w:trPr>
        <w:tc>
          <w:tcPr>
            <w:tcW w:w="81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1,166,773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7"/>
        </w:trPr>
        <w:tc>
          <w:tcPr>
            <w:tcW w:w="8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Gross Written Premiums by Market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Non-admitted markets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788,781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Admitted markets</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377,992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7"/>
        </w:trPr>
        <w:tc>
          <w:tcPr>
            <w:tcW w:w="81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1,166,773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40" w:firstLine="351"/>
        <w:spacing w:after="0" w:line="266" w:lineRule="auto"/>
        <w:rPr>
          <w:sz w:val="20"/>
          <w:szCs w:val="20"/>
          <w:color w:val="auto"/>
        </w:rPr>
      </w:pPr>
      <w:r>
        <w:rPr>
          <w:rFonts w:ascii="Times New Roman" w:cs="Times New Roman" w:eastAsia="Times New Roman" w:hAnsi="Times New Roman"/>
          <w:sz w:val="18"/>
          <w:szCs w:val="18"/>
          <w:color w:val="auto"/>
        </w:rPr>
        <w:t>The A.M. Best Company (“A.M. Best”) financial strength rating for our group’s regulated insurance subsidiaries is “A” (Excellent). This rating reflects A.M. Best’s evaluation of our insurance subsidiaries’ financial strength, operating performance and ability to meet obligations to policyholders and is not an evaluation directed towards the protection of investors.</w:t>
      </w:r>
    </w:p>
    <w:p>
      <w:pPr>
        <w:spacing w:after="0" w:line="68"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willingness of brokers and agents to submit applications for insurance and reinsurance to our regulated subsidiaries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right="160" w:firstLine="351"/>
        <w:spacing w:after="0" w:line="261" w:lineRule="auto"/>
        <w:rPr>
          <w:sz w:val="20"/>
          <w:szCs w:val="20"/>
          <w:color w:val="auto"/>
        </w:rPr>
      </w:pPr>
      <w:r>
        <w:rPr>
          <w:rFonts w:ascii="Times New Roman" w:cs="Times New Roman" w:eastAsia="Times New Roman" w:hAnsi="Times New Roman"/>
          <w:sz w:val="18"/>
          <w:szCs w:val="18"/>
          <w:color w:val="auto"/>
        </w:rPr>
        <w:t>In 2002, a group of experienced insurance executives with a history of starting and operating profitable specialty insurance operations created James River Group, Inc. (“James River Group”). James River Group was listed on the NASDAQ Stock Market (symbol: JRVR) in 2005 and consistently produced attractive underwriting results. James River Group had two insurance company subsidiaries, James River Insurance and Stonewood Insurance Company (“Stonewood Insurance”). Both of these subsidiaries as well as James River Group remain subsidiaries of ours.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In 2007, James River Group’s management team decided to enhance James River Group’s long-term profitability by combining the earnings power of James River Group with the efficiency of an affiliated Bermuda domiciled reinsurer. A group of investors led by affiliates of D. E. Shaw &amp; Co., L.P., a global investment and technology firm, acquired James River Group, at which point it ceased trading as a public company. Simultaneously, the investors and management founded and capitalized JRG Re, and we began the process of building our present company.</w:t>
      </w:r>
    </w:p>
    <w:p>
      <w:pPr>
        <w:spacing w:after="0" w:line="72"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In December 2014, we completed an initial public offering of our common shares (the “IPO”). Affiliates of D. E. Shaw &amp; Co., L.P. and another institutional investor and its affiliate sold all of the common shares in the IPO. Neither the Company nor any of its management or other shareholders sold shares in the IPO. D.E. Shaw &amp; Co., L.P. sold its shares in our Company in a series of secondary offerings in 2016, 2017 and 2018 and no longer owns any of our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the following competitive strengths:</w:t>
      </w:r>
    </w:p>
    <w:p>
      <w:pPr>
        <w:spacing w:after="0" w:line="115" w:lineRule="exact"/>
        <w:rPr>
          <w:sz w:val="20"/>
          <w:szCs w:val="20"/>
          <w:color w:val="auto"/>
        </w:rPr>
      </w:pPr>
    </w:p>
    <w:p>
      <w:pPr>
        <w:ind w:right="1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Proven and Strong Management Team Whose Financial Interests are Aligned with Shareholders. </w:t>
      </w:r>
      <w:r>
        <w:rPr>
          <w:rFonts w:ascii="Times New Roman" w:cs="Times New Roman" w:eastAsia="Times New Roman" w:hAnsi="Times New Roman"/>
          <w:sz w:val="18"/>
          <w:szCs w:val="18"/>
          <w:color w:val="auto"/>
        </w:rPr>
        <w:t>Our Chief Executive Officer, Robert P. Myron,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in various capacities with our group since 2010, has a history of working in a senior management capacity in the insurance and reinsurance industries in both the United States and Bermuda. Mr. Myron has significant experience working in operations, finance and underwriting of several different insurance and reinsurance companies over the course of his career. Our Chief Financial Officer, Sarah C. Doran, joined our group in January 2017. She has significant experience with capital markets and corporate development related to the insurance and financial services industry. Ms. Doran has a history of working in a senior capacity in finance and advisory both within the insurance and reinsurance industry and for various investment banks.</w:t>
      </w:r>
    </w:p>
    <w:p>
      <w:pPr>
        <w:spacing w:after="0" w:line="77" w:lineRule="exact"/>
        <w:rPr>
          <w:sz w:val="20"/>
          <w:szCs w:val="20"/>
          <w:color w:val="auto"/>
        </w:rPr>
      </w:pPr>
    </w:p>
    <w:p>
      <w:pPr>
        <w:ind w:right="140" w:firstLine="351"/>
        <w:spacing w:after="0" w:line="266" w:lineRule="auto"/>
        <w:rPr>
          <w:sz w:val="20"/>
          <w:szCs w:val="20"/>
          <w:color w:val="auto"/>
        </w:rPr>
      </w:pPr>
      <w:r>
        <w:rPr>
          <w:rFonts w:ascii="Times New Roman" w:cs="Times New Roman" w:eastAsia="Times New Roman" w:hAnsi="Times New Roman"/>
          <w:sz w:val="18"/>
          <w:szCs w:val="18"/>
          <w:color w:val="auto"/>
        </w:rPr>
        <w:t>The President and Chief Executive Officer of our Excess and Surplus Lines segment, Richard Schmitzer, who has been with our group since July 2009, has a history of working in a senior management capacity in the E&amp;S lines industry. Mr. Schmitzer has significant experience working in underwriting and operations of several different insurance companies over the course of his career.</w:t>
      </w:r>
    </w:p>
    <w:p>
      <w:pPr>
        <w:spacing w:after="0" w:line="6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President and Chief Executive Officer of our Specialty Admitted Insurance segment, Terry McCafferty, has extensive experience as an insurance underwriter, operator and executive, and has deep experience and industry knowledge to continue to build out our business initiatives in the fronting and specialty admitted risk business.</w:t>
      </w:r>
    </w:p>
    <w:p>
      <w:pPr>
        <w:spacing w:after="0" w:line="6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President and Chief Executive Officer of our Casualty Reinsurance segment, Daniel Heinlein, has significant experience as a broker and underwriter of specialty reinsurance risks, particularly in the small account market where we concentrate.</w:t>
      </w:r>
    </w:p>
    <w:p>
      <w:pPr>
        <w:spacing w:after="0" w:line="54" w:lineRule="exact"/>
        <w:rPr>
          <w:sz w:val="20"/>
          <w:szCs w:val="20"/>
          <w:color w:val="auto"/>
        </w:rPr>
      </w:pPr>
    </w:p>
    <w:p>
      <w:pPr>
        <w:ind w:right="140" w:firstLine="324"/>
        <w:spacing w:after="0" w:line="313" w:lineRule="auto"/>
        <w:rPr>
          <w:sz w:val="20"/>
          <w:szCs w:val="20"/>
          <w:color w:val="auto"/>
        </w:rPr>
      </w:pPr>
      <w:r>
        <w:rPr>
          <w:rFonts w:ascii="Times New Roman" w:cs="Times New Roman" w:eastAsia="Times New Roman" w:hAnsi="Times New Roman"/>
          <w:sz w:val="17"/>
          <w:szCs w:val="17"/>
          <w:color w:val="auto"/>
        </w:rPr>
        <w:t>The Non-Executive Chairman of the Company’s Board of Directors (the “Board”), J. Adam Abram, has a history of forming and managing profitable specialty insurance companies. He was a founder of the Company and a predecessor company, and he remains highly engaged as a key strategic contributor.</w:t>
      </w:r>
    </w:p>
    <w:p>
      <w:pPr>
        <w:spacing w:after="0" w:line="30"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All members of our executive management and senior management have equity grants that we believe help align their interests with those of our long-term shareholders.</w:t>
      </w:r>
    </w:p>
    <w:p>
      <w:pPr>
        <w:spacing w:after="0" w:line="52"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Broad Underwriting Expertise. </w:t>
      </w:r>
      <w:r>
        <w:rPr>
          <w:rFonts w:ascii="Times New Roman" w:cs="Times New Roman" w:eastAsia="Times New Roman" w:hAnsi="Times New Roman"/>
          <w:sz w:val="18"/>
          <w:szCs w:val="18"/>
          <w:color w:val="auto"/>
        </w:rPr>
        <w:t>We strive to be innovative in tailoring our products to provide solutions for our distribution partners and insureds,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spacing w:after="0" w:line="72" w:lineRule="exact"/>
        <w:rPr>
          <w:sz w:val="20"/>
          <w:szCs w:val="20"/>
          <w:color w:val="auto"/>
        </w:rPr>
      </w:pPr>
    </w:p>
    <w:p>
      <w:pPr>
        <w:jc w:val="both"/>
        <w:ind w:right="14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Emphasis on Lowering Volatility. </w:t>
      </w:r>
      <w:r>
        <w:rPr>
          <w:rFonts w:ascii="Times New Roman" w:cs="Times New Roman" w:eastAsia="Times New Roman" w:hAnsi="Times New Roman"/>
          <w:sz w:val="18"/>
          <w:szCs w:val="18"/>
          <w:color w:val="auto"/>
        </w:rPr>
        <w:t>We earn our profits by taking underwriting and investment risk. We underwrite many classes of insurance and 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many types of assets. We actively seek to avoid underwriting business or making investments that expose us to an unacceptably high risk of large losses. We believe we have minimal exposure to material property risks and did not have material losses from property risks during 2018.</w:t>
      </w:r>
    </w:p>
    <w:p>
      <w:pPr>
        <w:spacing w:after="0" w:line="6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We seek to limit our catastrophic underwriting exposure in all areas, but in particular to property risks and catastrophic events. Our U.S. primary companies purchase reinsurance from unaffiliated reinsurers to reduce our net exposure to any one risk or occurrence. In addition, our policy forms and pricing are subject to regular formal analysis to ensure we are insuring the types of risks we intend and that we are being appropriately compensated for taking on those risks. When we write reinsurance, we seek to avoid catastrophic risks and contractually limit the amount of exposure we have on any one risk or occurrence. We prefer to structure our assumed reinsurance treaties as proportional or quota share reinsurance, which is generally less volatile than excess of loss or catastrophe reinsurance. We believe this structure aligns our interests with those of the ceding company.</w:t>
      </w:r>
    </w:p>
    <w:p>
      <w:pPr>
        <w:spacing w:after="0" w:line="78" w:lineRule="exact"/>
        <w:rPr>
          <w:sz w:val="20"/>
          <w:szCs w:val="20"/>
          <w:color w:val="auto"/>
        </w:rPr>
      </w:pPr>
    </w:p>
    <w:p>
      <w:pPr>
        <w:ind w:right="24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Meaningful Risk Adjusted Investment Returns. </w:t>
      </w:r>
      <w:r>
        <w:rPr>
          <w:rFonts w:ascii="Times New Roman" w:cs="Times New Roman" w:eastAsia="Times New Roman" w:hAnsi="Times New Roman"/>
          <w:sz w:val="18"/>
          <w:szCs w:val="18"/>
          <w:color w:val="auto"/>
        </w:rPr>
        <w:t>We seek to generate meaningful contributions to company profitability from our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attempt to follow a diversified strategy that emphasizes the preservation of our invested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assets, provides adequate liquidity for the prompt payment of claims and produces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 fixed maturity securities make up the majority of our investment portfolio, and we are comfortable allocating a portion of our assets to non-traditional investments. Our non-traditional investments have generally not included a meaningful allocation to listed common equities. We consider non-traditional investments to include investments that are (1) unrated bond or fixed income securities,</w:t>
      </w:r>
    </w:p>
    <w:p>
      <w:pPr>
        <w:spacing w:after="0" w:line="3" w:lineRule="exact"/>
        <w:rPr>
          <w:sz w:val="20"/>
          <w:szCs w:val="20"/>
          <w:color w:val="auto"/>
        </w:rPr>
      </w:pPr>
    </w:p>
    <w:p>
      <w:pPr>
        <w:ind w:right="480" w:firstLine="8"/>
        <w:spacing w:after="0" w:line="265" w:lineRule="auto"/>
        <w:tabs>
          <w:tab w:leader="none" w:pos="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non-listed equities or (3) investments that generally have less liquidity than rated bond or fixed income securities or listed equities. Non-traditional investments represented 19.9% of our total invested assets at December 31, 2018, consisting of syndicated bank loans (15.6%) and other invested assets</w:t>
      </w:r>
    </w:p>
    <w:p>
      <w:pPr>
        <w:ind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(4.3%) that include interests in limited liability companies that invest in renewable energy opportunities, limited partnerships that invest in debt or equity securities, notes receivable for renewable energy projects, and a private debt security. While we are willing to make investments in non-traditional types of investments, we seek to avoid asset classes and investments that we do not understand. The weighted average credit rating of our portfolio of fixed maturity securities, bank loans and redeemable preferred stocks as of December 31, 2018 was “A”. At December 31, 2018, the average duration of our investment portfolio was 3.4 years.</w:t>
      </w:r>
    </w:p>
    <w:p>
      <w:pPr>
        <w:spacing w:after="0" w:line="77" w:lineRule="exact"/>
        <w:rPr>
          <w:sz w:val="20"/>
          <w:szCs w:val="20"/>
          <w:color w:val="auto"/>
        </w:rPr>
      </w:pPr>
    </w:p>
    <w:p>
      <w:pPr>
        <w:ind w:right="180"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Talented Underwriters and Operating Leadership. </w:t>
      </w:r>
      <w:r>
        <w:rPr>
          <w:rFonts w:ascii="Times New Roman" w:cs="Times New Roman" w:eastAsia="Times New Roman" w:hAnsi="Times New Roman"/>
          <w:sz w:val="18"/>
          <w:szCs w:val="18"/>
          <w:color w:val="auto"/>
        </w:rPr>
        <w:t>The managers of our 15 underwriting divisions have an average of over 25 years of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substantial subject matter expertise and deep technical knowledge. They have been successful and profitable underwriters for us in the specialty casualty insurance and reinsurance sectors. Our segment presidents all have extensive backgrounds and histories working in management capacities in specialty casualty insurance and reinsurance.</w:t>
      </w:r>
    </w:p>
    <w:p>
      <w:pPr>
        <w:spacing w:after="0" w:line="72"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Robust Technology and Data Capture. </w:t>
      </w:r>
      <w:r>
        <w:rPr>
          <w:rFonts w:ascii="Times New Roman" w:cs="Times New Roman" w:eastAsia="Times New Roman" w:hAnsi="Times New Roman"/>
          <w:sz w:val="18"/>
          <w:szCs w:val="18"/>
          <w:color w:val="auto"/>
        </w:rPr>
        <w:t>We seek to ground our underwriting decisions in reliable historical data and technical evaluation of risks.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utilize intuitive systems and differentiated technologies, many of which are proprietary. We have implemented processes to capture extensive data on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 and significant reinsurance treaties.</w:t>
      </w:r>
    </w:p>
    <w:p>
      <w:pPr>
        <w:spacing w:after="0" w:line="72" w:lineRule="exact"/>
        <w:rPr>
          <w:sz w:val="20"/>
          <w:szCs w:val="20"/>
          <w:color w:val="auto"/>
        </w:rPr>
      </w:pPr>
    </w:p>
    <w:p>
      <w:pPr>
        <w:ind w:right="22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Focus on Small and Medium-Sized Casualty Niche and Specialty Business. </w:t>
      </w:r>
      <w:r>
        <w:rPr>
          <w:rFonts w:ascii="Times New Roman" w:cs="Times New Roman" w:eastAsia="Times New Roman" w:hAnsi="Times New Roman"/>
          <w:sz w:val="18"/>
          <w:szCs w:val="18"/>
          <w:color w:val="auto"/>
        </w:rPr>
        <w:t>We believe that small and medium-sized casualty accounts, in niche areas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focus, are consistently among the most attractive subsets of the property-casualty insurance and reinsurance market. We think the unique characteristics of the risks within these markets require each account to be individually underwritten in an efficient manner.</w:t>
      </w:r>
    </w:p>
    <w:p>
      <w:pPr>
        <w:spacing w:after="0" w:line="6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Many carriers have chosen either to reject business that requires individual underwriting or have attempted to automate the underwriting of this highly variable business. While we use technology to greatly reduce the cost of individually underwriting these accounts in our Excess and Surplus Lines and Specialty Admitted Insurance segments, we continue to have our underwriters make individual judgments regarding the underwriting and pricing of accounts. Our experience leads us to believe this approach is more likely to produce consistent results over time and across markets. In addition, while we believe that the insurance and reinsurance industry is generally overcapitalized at this time, we are currently achieving attractive, moderately increasing rates in our Excess and Surplus Lines and Specialty Admitted Insurance segments, which two segments combined represented 88.4% of our gross written premiums and 82.2% of our net written premiums for the twelve months ended December 31, 2018. We believe that there are compelling opportunities for measured but profitable growth in many sectors of the insurance markets we target.</w:t>
      </w:r>
    </w:p>
    <w:p>
      <w:pPr>
        <w:spacing w:after="0" w:line="75" w:lineRule="exact"/>
        <w:rPr>
          <w:sz w:val="20"/>
          <w:szCs w:val="20"/>
          <w:color w:val="auto"/>
        </w:rPr>
      </w:pPr>
    </w:p>
    <w:p>
      <w:pPr>
        <w:ind w:right="160"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Active Claims Management. </w:t>
      </w:r>
      <w:r>
        <w:rPr>
          <w:rFonts w:ascii="Times New Roman" w:cs="Times New Roman" w:eastAsia="Times New Roman" w:hAnsi="Times New Roman"/>
          <w:sz w:val="18"/>
          <w:szCs w:val="18"/>
          <w:color w:val="auto"/>
        </w:rPr>
        <w:t>Our U.S.-based primary insurance companies actively manage claims as part of keeping losses and loss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low. We attempt to investigate thoroughly and settle promptly all covered claims, which we generally accomplish through direct contact with the insured and other affected parties. We have historically been able to close approximately 95% of claims within five years, and as of December 31, 2018, our reserves for claims incurred but not reported (“IBNR”) were 61.5% of our total net loss reserves.</w:t>
      </w:r>
    </w:p>
    <w:p>
      <w:pPr>
        <w:spacing w:after="0" w:line="72"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Efficient Operating Platform. </w:t>
      </w:r>
      <w:r>
        <w:rPr>
          <w:rFonts w:ascii="Times New Roman" w:cs="Times New Roman" w:eastAsia="Times New Roman" w:hAnsi="Times New Roman"/>
          <w:sz w:val="18"/>
          <w:szCs w:val="18"/>
          <w:color w:val="auto"/>
        </w:rPr>
        <w:t>We have what we believe to be a sector leading expense ratio, as we carefully manage personnel and all other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our group while growing our business. For the year ended December 31, 2018, our expense ratio was 23%. Additionally, our Bermuda domicile and operations provide for capital flexibility and an efficient tax structure. At December 31, 2018, 54.9% of our cash and invested assets were held at JRG Re, which benefits from a favorable operating environment, including an absence of corporate income or investment taxes.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We believe our approach to our business will help us achieve our goal of generating compelling returns on tangible equity while limiting volatility in our financial results. This approach involves the following:</w:t>
      </w:r>
    </w:p>
    <w:p>
      <w:pPr>
        <w:spacing w:after="0" w:line="52" w:lineRule="exact"/>
        <w:rPr>
          <w:sz w:val="20"/>
          <w:szCs w:val="20"/>
          <w:color w:val="auto"/>
        </w:rPr>
      </w:pPr>
    </w:p>
    <w:p>
      <w:pPr>
        <w:ind w:right="12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Generate Consistent Underwriting Profits. </w:t>
      </w:r>
      <w:r>
        <w:rPr>
          <w:rFonts w:ascii="Times New Roman" w:cs="Times New Roman" w:eastAsia="Times New Roman" w:hAnsi="Times New Roman"/>
          <w:sz w:val="18"/>
          <w:szCs w:val="18"/>
          <w:color w:val="auto"/>
        </w:rPr>
        <w:t>We seek to make underwriting profits each and every year. We attempt to find ways to grow in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to be profitable, but are less concerned about growth than maintaining profitability in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underwriting activities (without regard to investment income). Accordingly, we are willing to reduce the premiums we write when we cannot achieve the pricing and contract terms we believe are necessary to meet our financial goals.</w:t>
      </w:r>
    </w:p>
    <w:p>
      <w:pPr>
        <w:spacing w:after="0" w:line="52" w:lineRule="exact"/>
        <w:rPr>
          <w:sz w:val="20"/>
          <w:szCs w:val="20"/>
          <w:color w:val="auto"/>
        </w:rPr>
      </w:pPr>
    </w:p>
    <w:p>
      <w:pPr>
        <w:ind w:right="54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Maintain a Strong Balance Sheet. </w:t>
      </w:r>
      <w:r>
        <w:rPr>
          <w:rFonts w:ascii="Times New Roman" w:cs="Times New Roman" w:eastAsia="Times New Roman" w:hAnsi="Times New Roman"/>
          <w:sz w:val="18"/>
          <w:szCs w:val="18"/>
          <w:color w:val="auto"/>
        </w:rPr>
        <w:t>Balance sheet integrity is key to our long-term success. In order to maintain balance sheet integrity,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the amount of future obligations, especially reserves for losses and loss adjustment expenses, in a consistent and appropriate fashion. From December 31, 2007 through December 31, 2018, we have experienced $106.0 million of cumulative net favorable reserve development.</w:t>
      </w:r>
    </w:p>
    <w:p>
      <w:pPr>
        <w:spacing w:after="0" w:line="65"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 a Meaningful Contribution from Investments. </w:t>
      </w:r>
      <w:r>
        <w:rPr>
          <w:rFonts w:ascii="Times New Roman" w:cs="Times New Roman" w:eastAsia="Times New Roman" w:hAnsi="Times New Roman"/>
          <w:sz w:val="18"/>
          <w:szCs w:val="18"/>
          <w:color w:val="auto"/>
        </w:rPr>
        <w:t>We seek to earn a meaningful contribution to our overall returns from our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spacing w:after="0" w:line="72"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Focus on Specialty Insurance Markets and Fee Income. </w:t>
      </w:r>
      <w:r>
        <w:rPr>
          <w:rFonts w:ascii="Times New Roman" w:cs="Times New Roman" w:eastAsia="Times New Roman" w:hAnsi="Times New Roman"/>
          <w:sz w:val="18"/>
          <w:szCs w:val="18"/>
          <w:color w:val="auto"/>
        </w:rPr>
        <w:t>By focusing on specialty markets in which our underwriters have particular expertise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have fewer competitors than in standard markets, we have greater flexibility to price and structure our products in accordance with our underwriting strategy. We believe underwriting profitability can best be achieved through restricting our risk taking on insurance and reinsurance to niches where, because of our expertise, we can distinguish ourselves in the underwriting and pricing process. We also believe that we can achieve attractive returns on capital through the growth of our fronting business, as we carefully manage credit and collateral to generate attractive fee income, while generally utilizing less capital than in our highly underwritten businesses.</w:t>
      </w:r>
    </w:p>
    <w:p>
      <w:pPr>
        <w:spacing w:after="0" w:line="75"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Use Timely and Accurate Data. </w:t>
      </w:r>
      <w:r>
        <w:rPr>
          <w:rFonts w:ascii="Times New Roman" w:cs="Times New Roman" w:eastAsia="Times New Roman" w:hAnsi="Times New Roman"/>
          <w:sz w:val="18"/>
          <w:szCs w:val="18"/>
          <w:color w:val="auto"/>
        </w:rPr>
        <w:t>We design our internal processing and data collection systems to provide our management team with accurate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72"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Respond Rapidly to Market Opportunities and Challenges. </w:t>
      </w:r>
      <w:r>
        <w:rPr>
          <w:rFonts w:ascii="Times New Roman" w:cs="Times New Roman" w:eastAsia="Times New Roman" w:hAnsi="Times New Roman"/>
          <w:sz w:val="18"/>
          <w:szCs w:val="18"/>
          <w:color w:val="auto"/>
        </w:rPr>
        <w:t>We plan to grow our business to take advantage of opportunities in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we can use our expertise to generate consistent underwriting profits. We seek to measure rates monthly and react quickly to changes in the rates or terms the market will accept. For the year ended December 31, 2018, our Excess and Surplus Lines segment gross written premiums increased by 23.8% over the same period in 2017. In this favorable pricing environment, we have taken steps to grow and are increasing gross written premiums across most underwriting divisions in this segment. In 2018, our growth was focused in our Commercial Auto, General Casualty, Excess Casualty, Allied Health, Energy, Life Sciences, Small Business, Environmental, and Excess Property divisions within our Excess and Surplus Lines segment. During the same period, we felt rates and terms and conditions were generally less adequate for risks submitted to our Manufacturers &amp; Contractors, Professional Liability, and Medical Professionals divisions, and we reduced our writings in those divisions. This very specific evaluation of each risk or class of risks is a hallmark of our underwriting.</w:t>
      </w:r>
    </w:p>
    <w:p>
      <w:pPr>
        <w:spacing w:after="0" w:line="83" w:lineRule="exact"/>
        <w:rPr>
          <w:sz w:val="20"/>
          <w:szCs w:val="20"/>
          <w:color w:val="auto"/>
        </w:rPr>
      </w:pPr>
    </w:p>
    <w:p>
      <w:pPr>
        <w:ind w:right="220" w:firstLine="351"/>
        <w:spacing w:after="0" w:line="261" w:lineRule="auto"/>
        <w:rPr>
          <w:sz w:val="20"/>
          <w:szCs w:val="20"/>
          <w:color w:val="auto"/>
        </w:rPr>
      </w:pPr>
      <w:r>
        <w:rPr>
          <w:rFonts w:ascii="Times New Roman" w:cs="Times New Roman" w:eastAsia="Times New Roman" w:hAnsi="Times New Roman"/>
          <w:sz w:val="18"/>
          <w:szCs w:val="18"/>
          <w:color w:val="auto"/>
        </w:rPr>
        <w:t>When market conditions have been challenging, or when actual experience has not been as favorable as we anticipated,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w:t>
      </w:r>
    </w:p>
    <w:p>
      <w:pPr>
        <w:spacing w:after="0" w:line="70"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Manage Capital Actively. </w:t>
      </w:r>
      <w:r>
        <w:rPr>
          <w:rFonts w:ascii="Times New Roman" w:cs="Times New Roman" w:eastAsia="Times New Roman" w:hAnsi="Times New Roman"/>
          <w:sz w:val="18"/>
          <w:szCs w:val="18"/>
          <w:color w:val="auto"/>
        </w:rPr>
        <w:t>We seek to make “both sides” of our balance sheet generate better than average risk-adjusted returns. We invest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capital with a goal of consistently increasing tangible equity for our shareholders and generating 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We may not, however, always be able to raise capital when needed. We declared dividends to our shareholders of $36.3 million ($1.20 per share) during 2018, $50.7 million ($1.70 per share including a $0.50 per share special dividend) in 2017 and $66.3 million ($2.25 per share including a $1.35 per share special dividend) in 2016. While we have declared a special dividend in the past, we continue to find what we believe are attractive opportunities to earn a compelling return on our capital in the businesses that we target and therefore did not declare a special dividend in 2018. Our ratings from A.M. Best are very important to us, as are our relationships with our regulators, and maintaining them in good order is a principal consideration in our decisions regarding capital management.</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chart below displays our corporate structure as of December 31, 2018 as it pertains to our holding and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85725</wp:posOffset>
            </wp:positionV>
            <wp:extent cx="4253865" cy="2658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386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 Segment</w:t>
      </w:r>
    </w:p>
    <w:p>
      <w:pPr>
        <w:spacing w:after="0" w:line="121"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We report our U.S.-based E&amp;S lines of business in our Excess and Surplus Lines segment. We underwrite non-admitted business through our subsidiaries, James River Insurance Company and James River Casualty Company, from offices in Richmond, Virginia; Scottsdale, Arizona; and Atlanta, Georgia. James River Insurance is our largest subsidiary as measured by gross written premiums (56.3% of consolidated gross written premiums for the year ended December 31, 2018 came from our Excess and Surplus Lines segment) and has been engaged in E&amp;S insurance for 16 years. James River Insurance has had a consistent record of underwriting profits since its second year of operation. We added James River Casualty in 2009 to give us the ability to write E&amp;S risks in Ohio.</w:t>
      </w:r>
    </w:p>
    <w:p>
      <w:pPr>
        <w:spacing w:after="0" w:line="8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E&amp;S lines insurance focuses on insureds that generally cannot purchase insurance from standard lines insurers typically due to perceived risk related to their businesses. Our Excess and Surplus Lines segment underwrites property-casualty insurance on an E&amp;S lines basis in all states and the District of Columbia. Our Excess and Surplus Lines segment distributes its policies through a network of authorized independent wholesale brokers throughout the United States. In 2018, our Excess and Surplus Lines segment’s gross written premiums grew by 23.8% over 2017 through the growth of our commercial auto division (with a focus on transportation network companies), as well as across a number of other divisions. The Excess and Surplus Lines segment produced an average combined ratio of 86.7% from 2010 through 2018.</w:t>
      </w:r>
    </w:p>
    <w:p>
      <w:pPr>
        <w:spacing w:after="0" w:line="8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Companies that underwrite on an E&amp;S lines basis operate under a different regulatory structure than standard market carriers. E&amp;S lines carriers are generally permitted to craft the terms of the insurance contract to suit the particular risk they are assuming. Also, E&amp;S lines carriers are, for the most part, free of rate regulation. In contrast, standard market carriers are 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denied coverage by the standard market and signed declarations stating that the insured is aware that it will not have access to any state guarantee funds should these subsidiaries be unable to satisfy their obligations.</w:t>
      </w:r>
    </w:p>
    <w:p>
      <w:pPr>
        <w:spacing w:after="0" w:line="81" w:lineRule="exact"/>
        <w:rPr>
          <w:sz w:val="20"/>
          <w:szCs w:val="20"/>
          <w:color w:val="auto"/>
        </w:rPr>
      </w:pPr>
    </w:p>
    <w:p>
      <w:pPr>
        <w:ind w:right="340" w:firstLine="351"/>
        <w:spacing w:after="0" w:line="266" w:lineRule="auto"/>
        <w:rPr>
          <w:sz w:val="20"/>
          <w:szCs w:val="20"/>
          <w:color w:val="auto"/>
        </w:rPr>
      </w:pPr>
      <w:r>
        <w:rPr>
          <w:rFonts w:ascii="Times New Roman" w:cs="Times New Roman" w:eastAsia="Times New Roman" w:hAnsi="Times New Roman"/>
          <w:sz w:val="18"/>
          <w:szCs w:val="18"/>
          <w:color w:val="auto"/>
        </w:rPr>
        <w:t>Our Excess and Surplus Lines segment writes policies for a wide range of businesses and does not write personal lines insurance. Applications for insurance are presented to us by authorized wholesale brokers who are typically engaged by retail agents after their clients have been rejected by standard markets.</w:t>
      </w:r>
    </w:p>
    <w:p>
      <w:pPr>
        <w:spacing w:after="0" w:line="68"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In late 2017, the Excess and Surplus Lines segment started a binding contract unit (as part of our Small Business underwriting division) where limited authority for underwriting is delegated to a select group of agents on a limited number of General Liability classes through a company designed online portal.</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80" w:firstLine="351"/>
        <w:spacing w:after="0" w:line="282" w:lineRule="auto"/>
        <w:rPr>
          <w:sz w:val="20"/>
          <w:szCs w:val="20"/>
          <w:color w:val="auto"/>
        </w:rPr>
      </w:pPr>
      <w:r>
        <w:rPr>
          <w:rFonts w:ascii="Times New Roman" w:cs="Times New Roman" w:eastAsia="Times New Roman" w:hAnsi="Times New Roman"/>
          <w:sz w:val="18"/>
          <w:szCs w:val="18"/>
          <w:color w:val="auto"/>
        </w:rPr>
        <w:t>All claims for business written by the Excess and Surplus Lines segment are managed by its internal claims department although we use independent adjusters for inspection and payment of certain claims.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chart below identifies the Excess and Surplus Lines segment’s divisions and sets forth the amount of gross written premiums by each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172085</wp:posOffset>
            </wp:positionV>
            <wp:extent cx="5582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 Written Premiums</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E&amp;S Division</w:t>
            </w: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34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5"/>
        </w:trPr>
        <w:tc>
          <w:tcPr>
            <w:tcW w:w="2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Auto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322,126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247,960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34,605</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Manufacturers and Contractors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79,160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72,063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Casualty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31,688</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Casualty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38,097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25,853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28,980</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Allied Health</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30,450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Property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Life Sciences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10,155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Small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6,971</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Environmental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Sports and Entertainment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Medical Professionals</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5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656,538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530,120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370,844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308,717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252,707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Commercial Auto underwrites primarily the hired and non-owned auto liability exposures for a variety of industry segments including package delivery services, food delivery services and livery service organizations, and has developed a particular niche for insuring organizations' operating networks connecting independent contractors with customers (transportation network companies and similar usage-based networks). One insured (Rasier LLC and its affiliates) produced $294.3 million of gross written premiums, representing 44.8% of the Excess and Surplus Lines segment’s gross written premiums and 25.2% of our consolidated gross written premiums for the year ended December 31, 2018. The head underwriter in this division has 31 years of experience. Limits assumed are retained by the Company, in some cases subject to self-insured retentions of the insureds.</w:t>
      </w:r>
    </w:p>
    <w:p>
      <w:pPr>
        <w:spacing w:after="0" w:line="80"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Manufacturers and Contractors writes primary general liability coverage for a variety of classes, including manufacturers of consumer, commercial, and industrial products and general and trade contractors. Typically, we issue a $1.0 million per occurrence limit in this division and we retain the entire $1.0 million limit. The individual overseeing this division has 35 years of industry experience.</w:t>
      </w:r>
    </w:p>
    <w:p>
      <w:pPr>
        <w:spacing w:after="0" w:line="68"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Excess Casualty underwrites excess liability coverage for a variety of risk classes including manufacturers, contractors, distributors and transportation risks. Typically, we provide between $1.0 million and $10.0 million per occurrence limits above a $1.0 million attachment point. Of this amount, we retain up to $1.0 million of exposure per occurrence and cede the balance to our reinsurers.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 The underwriter who heads this division has 35 years of industry experience.</w:t>
      </w:r>
    </w:p>
    <w:p>
      <w:pPr>
        <w:spacing w:after="0" w:line="80" w:lineRule="exact"/>
        <w:rPr>
          <w:sz w:val="20"/>
          <w:szCs w:val="20"/>
          <w:color w:val="auto"/>
        </w:rPr>
      </w:pPr>
    </w:p>
    <w:p>
      <w:pPr>
        <w:ind w:right="140" w:firstLine="351"/>
        <w:spacing w:after="0" w:line="266" w:lineRule="auto"/>
        <w:rPr>
          <w:sz w:val="20"/>
          <w:szCs w:val="20"/>
          <w:color w:val="auto"/>
        </w:rPr>
      </w:pPr>
      <w:r>
        <w:rPr>
          <w:rFonts w:ascii="Times New Roman" w:cs="Times New Roman" w:eastAsia="Times New Roman" w:hAnsi="Times New Roman"/>
          <w:sz w:val="18"/>
          <w:szCs w:val="18"/>
          <w:color w:val="auto"/>
        </w:rPr>
        <w:t>General Casualty writes primary liability coverage on businesses exposed to premises liability type claims including real estate, mercantile and retail operations, apartments and condominiums, daycare facilities, hotels and motels, restaurants, bars, taverns and schools. The head underwriter in this division has 31 years of experience. Typically, we write $1.0 million per occurrence in limits, and we retain the entire $1.0 million limit.</w:t>
      </w:r>
    </w:p>
    <w:p>
      <w:pPr>
        <w:spacing w:after="0" w:line="68" w:lineRule="exact"/>
        <w:rPr>
          <w:sz w:val="20"/>
          <w:szCs w:val="20"/>
          <w:color w:val="auto"/>
        </w:rPr>
      </w:pPr>
    </w:p>
    <w:p>
      <w:pPr>
        <w:jc w:val="both"/>
        <w:ind w:right="100" w:firstLine="351"/>
        <w:spacing w:after="0" w:line="261" w:lineRule="auto"/>
        <w:rPr>
          <w:sz w:val="20"/>
          <w:szCs w:val="20"/>
          <w:color w:val="auto"/>
        </w:rPr>
      </w:pPr>
      <w:r>
        <w:rPr>
          <w:rFonts w:ascii="Times New Roman" w:cs="Times New Roman" w:eastAsia="Times New Roman" w:hAnsi="Times New Roman"/>
          <w:sz w:val="18"/>
          <w:szCs w:val="18"/>
          <w:color w:val="auto"/>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 or gas pipeline construction companies, fireworks manufacturing, mining-related risks, utilities, and utility contractors. We provide policy limits up to $11.0 million, with typical limits between $1.0 million and $5.0 million per occurrence, retaining up</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$1.0 million in limit net on either a primary or excess basis. The underwriter leading this division has 47 years of experience in the business.</w:t>
      </w:r>
    </w:p>
    <w:p>
      <w:pPr>
        <w:spacing w:after="0" w:line="117"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Allied Health underwrites casualty insurance for allied health and social service types of risks, such as long-term care facilities, independent living apartments, group homes, half-way houses and shelters, drug rehabilitation, home health care and medical staffing enterprises. We provide policy limits up to $11.0 million, with typical limits between $1.0 million and $5.0 million per occurrence, retaining up to $1.0 million in limit net. The underwriter responsible for this unit has 25 years of experience in the business. Approximately 89% of the premiums written by our Allied Health division from inception through 2018 have been written on a claims made and reported form. We believe this policy form significantly reduces our long-term exposure in this complicated class of business.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Excess Property writes property risks providing limits in various layers above the primary coverage layer for a variety of classes, including apartments,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condominiums, resorts, shopping centers, offices and general commercial properties. Typical per risk limits offered range from $5.0 million to $30.0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gross basis, and a maximum of $5.0 million on a net of reinsurance basis. The average net per risk limit is approximately $2.5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We retain up to the first $5.0 million in any one event or catastrophe. The underwriter leading our Excess Property division has 33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experience in the industry.</w:t>
      </w:r>
    </w:p>
    <w:p>
      <w:pPr>
        <w:spacing w:after="0" w:line="99"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 We provide policy limits up to $11.0 million, with typical limits between $1.0 million and $5.0 million per occurrence, retaining up to $1.0 million in limit net. The underwriter at the head of this division has 35 years of experience in the industry.</w:t>
      </w:r>
    </w:p>
    <w:p>
      <w:pPr>
        <w:spacing w:after="0" w:line="76" w:lineRule="exact"/>
        <w:rPr>
          <w:sz w:val="20"/>
          <w:szCs w:val="20"/>
          <w:color w:val="auto"/>
        </w:rPr>
      </w:pPr>
    </w:p>
    <w:p>
      <w:pPr>
        <w:ind w:right="240" w:firstLine="351"/>
        <w:spacing w:after="0" w:line="266" w:lineRule="auto"/>
        <w:rPr>
          <w:sz w:val="20"/>
          <w:szCs w:val="20"/>
          <w:color w:val="auto"/>
        </w:rPr>
      </w:pPr>
      <w:r>
        <w:rPr>
          <w:rFonts w:ascii="Times New Roman" w:cs="Times New Roman" w:eastAsia="Times New Roman" w:hAnsi="Times New Roman"/>
          <w:sz w:val="18"/>
          <w:szCs w:val="18"/>
          <w:color w:val="auto"/>
        </w:rPr>
        <w:t>Small Business concentrates on accounts with annual primary liability insurance premiums of less than $10,000. For these smaller risks, we limit flexibility in coverage options and pricing to facilitate quick turnaround and efficient processing. We generally write $1.0 million per occurrence limits and retain the entire amount. The underwriter leading this division has 25 years of industry experience.</w:t>
      </w:r>
    </w:p>
    <w:p>
      <w:pPr>
        <w:spacing w:after="0" w:line="68"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Environmental underwrites contractors’ pollution liability, products pollution liability, site specific pollution liability and consultant’s professional liability coverage on a stand-alone basis and in conjunction with the general liability coverage. The underwriter heading our Environmental division has 47 years of experience in the business. Typically, we write environmental coverage for contractors who are not engaged in environmental remediation work on an occurrence form. We provide policy limits up to $11.0 million, with typical limits between $1.0 million and $5.0 million per occurrence, retaining up to $1.0 million in limit net on a primary or excess basis.</w:t>
      </w:r>
    </w:p>
    <w:p>
      <w:pPr>
        <w:spacing w:after="0" w:line="76" w:lineRule="exact"/>
        <w:rPr>
          <w:sz w:val="20"/>
          <w:szCs w:val="20"/>
          <w:color w:val="auto"/>
        </w:rPr>
      </w:pPr>
    </w:p>
    <w:p>
      <w:pPr>
        <w:ind w:right="160" w:firstLine="351"/>
        <w:spacing w:after="0" w:line="261" w:lineRule="auto"/>
        <w:rPr>
          <w:sz w:val="20"/>
          <w:szCs w:val="20"/>
          <w:color w:val="auto"/>
        </w:rPr>
      </w:pPr>
      <w:r>
        <w:rPr>
          <w:rFonts w:ascii="Times New Roman" w:cs="Times New Roman" w:eastAsia="Times New Roman" w:hAnsi="Times New Roman"/>
          <w:sz w:val="18"/>
          <w:szCs w:val="18"/>
          <w:color w:val="auto"/>
        </w:rPr>
        <w:t>Professional Liability writes professional liability coverage for accountants, architects, engineers, lawyers and certain other professions. We provide policy limits up to $11.0 million, with typical limits between $1.0 million and $5.0 million per occurrence, retaining up to $1.0 million in limit net. The individual who directs our professional liability division has 25 years of industry experience. All of our professional liability coverage is written on a claims made and reported basis.</w:t>
      </w:r>
    </w:p>
    <w:p>
      <w:pPr>
        <w:spacing w:after="0" w:line="72"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Sports and Entertainment underwrites primary liability coverage for sports and entertainment related risks, including special events, family entertainment centers, tourist attractions, health clubs and sport teams, leagues and complexes. Typical limits offered are up to $1.0 million per occurrence, and we retain the entire $1.0 million limit. The underwriter at the head of this division has 31 years of experience in the industry.</w:t>
      </w:r>
    </w:p>
    <w:p>
      <w:pPr>
        <w:spacing w:after="0" w:line="68"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Medical Professionals underwrites non-standard physicians’ professional liability for individuals or small groups. Our healthcare business is a mix of both surgical and non-surgical classes. We typically provide between $1.0 million and $3.0 million per occurrence limits and retain up to $1.0 million of exposure per occurrence and cede the balance to our reinsurers. All of the policies written by this division have been issued on a claims-made and reported basis. The underwriter leading this division has 25 years of experience.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80" w:firstLine="351"/>
        <w:spacing w:after="0" w:line="261" w:lineRule="auto"/>
        <w:rPr>
          <w:sz w:val="20"/>
          <w:szCs w:val="20"/>
          <w:color w:val="auto"/>
        </w:rPr>
      </w:pPr>
      <w:r>
        <w:rPr>
          <w:rFonts w:ascii="Times New Roman" w:cs="Times New Roman" w:eastAsia="Times New Roman" w:hAnsi="Times New Roman"/>
          <w:sz w:val="18"/>
          <w:szCs w:val="18"/>
          <w:color w:val="auto"/>
        </w:rPr>
        <w:t>The following table identifies the top ten producing states by amount of gross written premium for our Excess and Surplus Lines segment for the year ended December 31, 2018 and the amount of gross written premium produced by such states for the years ended December 31, 2017, 2016, 2015 and 2014. The table also shows the percentage of each states’ gross written premium to total gross written premium in the Excess and Surplus Lines segment for the years ended December 31, 2018, 2017 and 2016.</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9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9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0" w:type="dxa"/>
            <w:vAlign w:val="bottom"/>
          </w:tcPr>
          <w:p>
            <w:pPr>
              <w:spacing w:after="0"/>
              <w:rPr>
                <w:sz w:val="1"/>
                <w:szCs w:val="1"/>
                <w:color w:val="auto"/>
              </w:rPr>
            </w:pPr>
          </w:p>
        </w:tc>
      </w:tr>
      <w:tr>
        <w:trPr>
          <w:trHeight w:val="249"/>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213,729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94,837</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19,970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17,295</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21,644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Massachusetts</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Nevada</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Washington</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Virginia</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Michigan</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states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201,584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74,461</w:t>
            </w:r>
          </w:p>
        </w:tc>
        <w:tc>
          <w:tcPr>
            <w:tcW w:w="0" w:type="dxa"/>
            <w:vAlign w:val="bottom"/>
          </w:tcPr>
          <w:p>
            <w:pPr>
              <w:spacing w:after="0"/>
              <w:rPr>
                <w:sz w:val="1"/>
                <w:szCs w:val="1"/>
                <w:color w:val="auto"/>
              </w:rPr>
            </w:pPr>
          </w:p>
        </w:tc>
      </w:tr>
      <w:tr>
        <w:trPr>
          <w:trHeight w:val="257"/>
        </w:trPr>
        <w:tc>
          <w:tcPr>
            <w:tcW w:w="13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656,538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530,120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370,844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308,717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252,707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Distribution</w:t>
      </w:r>
    </w:p>
    <w:p>
      <w:pPr>
        <w:spacing w:after="0" w:line="119"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The Excess and Surplus Lines segment distributes its products through a select group of licensed E&amp;S lines brokers that we believe can produce reasonable volumes of quality business for James River Insurance consistently. These brokers procure policies for their clients from us as well as from other insurance companies. At December 31, 2018, the segment had authorized 117 broker groups to work with us. The Excess and Surplus Lines segment generally makes broker authorizations by brokerage office and underwriting division. With the exception of one hired and non-owned auto program (combined premiums of approximately $8.0 million for 2018) the Excess and Surplus Lines segment does not grant its brokers underwriting or claims authority. In late 2017, we introduced a Binding Contract division where limited authority for underwriting is delegated to a select group of agents for a limited group of General Liability classes through a company designed online portal.</w:t>
      </w:r>
    </w:p>
    <w:p>
      <w:pPr>
        <w:spacing w:after="0" w:line="8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Often, our Excess and Surplus Lines segment authorizes some but not all offices owned by a brokerage for specialized lines of business. Brokers must be able to demonstrate an ability to competently produce both the quality and quantity of business that we seek. Brokers unable to produce consistently profitable business, or who produce unacceptably low volumes of business, may be terminated. Our Excess and Surplus Lines segment’s underwriters regularly visit with brokers in their offices to discuss the products that we offer and the needs of the brokers. We believe the personal relationships we foster with individual brokers and our ability to respond to a wide variety of risks placed by these brokers make us an important market for them.</w:t>
      </w:r>
    </w:p>
    <w:p>
      <w:pPr>
        <w:spacing w:after="0" w:line="81"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Our Excess and Surplus Lines segment’s two largest brokers produced $439.7 million of gross written premiums for the year ended December 31, 2018, representing approximately 67.0% of the Excess and Surplus Lines segment’s gross written premiums for 2018. The two largest brokers produced $358.3 million (BB&amp;T Insurance Services represented 30.7% of consolidated gross written premiums) and $81.4 million of gross written premiums for the year ended December 31, 2018, respectively. One insured (Rasier LLC and its affiliates) produced $294.3 million of gross written premiums (representing 25.2% of our consolidated gross written premiums) and $13.9 million of fee income for the year ended December 31, 2018.</w:t>
      </w:r>
    </w:p>
    <w:p>
      <w:pPr>
        <w:spacing w:after="0" w:line="76" w:lineRule="exact"/>
        <w:rPr>
          <w:sz w:val="20"/>
          <w:szCs w:val="20"/>
          <w:color w:val="auto"/>
        </w:rPr>
      </w:pPr>
    </w:p>
    <w:p>
      <w:pPr>
        <w:ind w:right="280" w:firstLine="351"/>
        <w:spacing w:after="0" w:line="282" w:lineRule="auto"/>
        <w:rPr>
          <w:sz w:val="20"/>
          <w:szCs w:val="20"/>
          <w:color w:val="auto"/>
        </w:rPr>
      </w:pPr>
      <w:r>
        <w:rPr>
          <w:rFonts w:ascii="Times New Roman" w:cs="Times New Roman" w:eastAsia="Times New Roman" w:hAnsi="Times New Roman"/>
          <w:sz w:val="18"/>
          <w:szCs w:val="18"/>
          <w:color w:val="auto"/>
        </w:rPr>
        <w:t>In 2018 and 2017, our Excess and Surplus Lines segment paid an average commission to producers of 9.6% and 10.9%, respectively, of gross written premiums.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119"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Our Excess and Surplus Lines segment’s staff includes over 165 individuals directly employed in underwriting policies as of December 31, 2018. We are very selective about the policies we bind. Our Excess and Surplus Lines segment binds approximately 3% of new submissions and one out of every six new quotes. We realize all excess and surplus lines applications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have already been rejected by the standard market. If our underwriters cannot reasonably expect to bind coverage at the combination of premiums and coverage that meet our standards, they are encouraged to quickly move on to another prospective opportunity. For the year ended December 31, 2018, we received approximately 222,000 submissions (new and renewal, excluding commercial auto policies), quoted over 51,000 policies and bound over 15,000 policies.</w:t>
      </w:r>
    </w:p>
    <w:p>
      <w:pPr>
        <w:spacing w:after="0" w:line="72"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w:t>
      </w:r>
    </w:p>
    <w:p>
      <w:pPr>
        <w:spacing w:after="0" w:line="68"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We attempt to craft policies that offer affordable protection to our insureds by tailoring coverage in ways that make potential losses more predictable and are intended to reduce claims costs. For example, we frequently use a “punitive damages exclusion” and “defense inside the limits” endorsements, intended to prevent excessive defense costs; “assault and battery” exclusions or sub limits that are less than the full policy limits which allows us to quantify and limit our losses more precisely than in policies without the exclusion; and “classification limitation” and “specified location” endorsements that limit coverage to known exposures and locations. We have no material exposure to asbestos, lead paint, silica, mold, or nuclear, biological, or chemical terrorism.</w:t>
      </w:r>
    </w:p>
    <w:p>
      <w:pPr>
        <w:spacing w:after="0" w:line="7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effective management of claims settlement and any associated litigation avoids delays and associated additional costs.</w:t>
      </w:r>
    </w:p>
    <w:p>
      <w:pPr>
        <w:spacing w:after="0" w:line="117"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Our Excess and Surplus Lines segment’s claims department consists of over 330 claims professionals as of December 31, 2018 with significant claims experience in the property-casualty industry.</w:t>
      </w:r>
    </w:p>
    <w:p>
      <w:pPr>
        <w:spacing w:after="0" w:line="54"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spacing w:after="0" w:line="81" w:lineRule="exact"/>
        <w:rPr>
          <w:sz w:val="20"/>
          <w:szCs w:val="20"/>
          <w:color w:val="auto"/>
        </w:rPr>
      </w:pPr>
    </w:p>
    <w:p>
      <w:pPr>
        <w:jc w:val="both"/>
        <w:ind w:right="360" w:firstLine="351"/>
        <w:spacing w:after="0" w:line="266" w:lineRule="auto"/>
        <w:rPr>
          <w:sz w:val="20"/>
          <w:szCs w:val="20"/>
          <w:color w:val="auto"/>
        </w:rPr>
      </w:pPr>
      <w:r>
        <w:rPr>
          <w:rFonts w:ascii="Times New Roman" w:cs="Times New Roman" w:eastAsia="Times New Roman" w:hAnsi="Times New Roman"/>
          <w:sz w:val="18"/>
          <w:szCs w:val="18"/>
          <w:color w:val="auto"/>
        </w:rPr>
        <w:t>Our claims staff also contributes to our underwriting operations through communication of claims information to our underwriters. The Senior Vice President and Chief Claims Officer heads our forms committee, which reviews and develops all policy forms and exclusions, and is also a member of the underwriting review committee.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Approximately 95% of all claims received are closed within five years in the Excess and Surplus Lines segment.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9240" w:type="dxa"/>
            <w:vAlign w:val="bottom"/>
            <w:gridSpan w:val="2"/>
          </w:tcPr>
          <w:p>
            <w:pPr>
              <w:spacing w:after="0"/>
              <w:rPr>
                <w:rFonts w:ascii="Times New Roman" w:cs="Times New Roman" w:eastAsia="Times New Roman" w:hAnsi="Times New Roman"/>
                <w:sz w:val="13"/>
                <w:szCs w:val="13"/>
                <w:color w:val="0000EE"/>
              </w:rPr>
            </w:pPr>
            <w:hyperlink w:anchor="page2">
              <w:r>
                <w:rPr>
                  <w:rFonts w:ascii="Times New Roman" w:cs="Times New Roman" w:eastAsia="Times New Roman" w:hAnsi="Times New Roman"/>
                  <w:sz w:val="13"/>
                  <w:szCs w:val="13"/>
                  <w:color w:val="0000EE"/>
                </w:rPr>
                <w:t>TABLE OF CONTENTS</w:t>
              </w:r>
            </w:hyperlink>
          </w:p>
        </w:tc>
        <w:tc>
          <w:tcPr>
            <w:tcW w:w="2060" w:type="dxa"/>
            <w:vAlign w:val="bottom"/>
          </w:tcPr>
          <w:p>
            <w:pPr>
              <w:spacing w:after="0"/>
              <w:rPr>
                <w:sz w:val="12"/>
                <w:szCs w:val="12"/>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66"/>
        </w:trPr>
        <w:tc>
          <w:tcPr>
            <w:tcW w:w="9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calendar year net loss ratios for the Excess and Surplus Lines segment for the last ten years were:</w:t>
            </w:r>
          </w:p>
        </w:tc>
        <w:tc>
          <w:tcPr>
            <w:tcW w:w="2060" w:type="dxa"/>
            <w:vAlign w:val="bottom"/>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4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bl>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2018 and 2017 calendar year loss ratios for the Excess and Surplus Lines segment were impacted by adverse reserve development of $20.7 million and $38.7 million, respectively, in the commercial auto line of business. The adverse development was primarily related to the 2016 contract year with one insured.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 Segment</w:t>
      </w:r>
    </w:p>
    <w:p>
      <w:pPr>
        <w:spacing w:after="0" w:line="12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The Falls Lake Insurance Companies (“Falls Lake”) comprise our other U.S. insurance segment, Specialty Admitted Insurance. Falls Lake consists of Falls Lake National Insurance Company (an Ohio domiciled company, licensed in 48 states and the District of Columbia and registered as a surplus lines company in California), and its subsidiaries Stonewood Insurance Company (a North Carolina domiciled company) and Falls Lake Fire and Casualty Company (a California domiciled company). The Specialty Admitted Insurance segment produced 32.1% of consolidated gross written premiums for the year ended December 31, 2018.</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plan is to continue to use our broad licensure and significant management expertise to earn substantial fee income as well as underwriting profits.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Specialty Admitted Insurance segment consists of:</w:t>
      </w:r>
    </w:p>
    <w:p>
      <w:pPr>
        <w:spacing w:after="0" w:line="99" w:lineRule="exact"/>
        <w:rPr>
          <w:sz w:val="20"/>
          <w:szCs w:val="20"/>
          <w:color w:val="auto"/>
        </w:rPr>
      </w:pPr>
    </w:p>
    <w:p>
      <w:pPr>
        <w:ind w:left="660" w:hanging="328"/>
        <w:spacing w:after="0" w:line="289"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risk workers’ compensation business, underwritten by our staff and generated by appointed agents in North Carolina, Tennessee, Virginia, South Carolina, Georgia, New Jersey, Missouri, Kansas, Pennsylvania, Massachusetts, Rhode Island, Alabama, Connecticut and Mississippi, produce 14.8% of 2018 gross written premiums in this segment, (13.9% in 2017, 21.7% in 2016, 39.5% in 2015 and 50.7% in 2014); and</w:t>
      </w:r>
    </w:p>
    <w:p>
      <w:pPr>
        <w:spacing w:after="0" w:line="50" w:lineRule="exact"/>
        <w:rPr>
          <w:rFonts w:ascii="Times New Roman" w:cs="Times New Roman" w:eastAsia="Times New Roman" w:hAnsi="Times New Roman"/>
          <w:sz w:val="17"/>
          <w:szCs w:val="17"/>
          <w:color w:val="auto"/>
        </w:rPr>
      </w:pPr>
    </w:p>
    <w:p>
      <w:pPr>
        <w:ind w:left="660" w:right="4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Fronting and program business written through selected MGAs, insurance carriers, and other producers which represented 85.2% of 2018 gross written premiums in this segment, (86.1% in 2017, 78.3% in 2016, 60.5% in 2015 and 49.3% in 2014).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Workers’ Compensation Business</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individual risk workers’ compensation business, produced through a distribution channel comprised of appointed independent retail agents and a limited number of appointed wholesale brokers, remains a regionally focused effort in select Southeastern and Eastern U.S. states. For the year ended December 31, 2018, approximately 49% of our retail produced workers’ compensation direct written premiums were in North Carolina, 16% were in Virginia, 13% were in South Carolina, and 11% were in Georgia. Building trades represented approximately 28% of the direct premiums in force in our retail produced workers’ compensation book in 2018. Other significant industry groups include healthcare employees (16%), goods and services (15%), manufacturing (11%), specialty transportation (11%) and agriculture (6%). We view our retail produced workers’ compensation business as a core competency and seek to make consistent underwriting profits from it. We recognize the cyclical nature of this line and are prepared to contract the business rapidly when rates decline, or the regulatory or economic environment makes it difficult to contain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Fronting &amp; Program Business</w:t>
      </w:r>
    </w:p>
    <w:p>
      <w:pPr>
        <w:spacing w:after="0" w:line="11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our fronting business we issue insurance policies for another insurance company which may not have the licensure, product suite or rating to serve its desired market, or for a program supported by reinsurance or alternative capital provider(s). We generally retain 10% or less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their desired segment of property-casualty, workers compensation or automobile business. Underwriting, claims and financial performance is subject to regular review by our staff, and we hold appropriate collateral to manage counterparty credit risk. We specifically grant limited authority for underwriting and claims administration and employ a rigorous review process to ensure the authority is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112" w:right="279" w:bottom="1440" w:gutter="0" w:footer="0" w:header="0"/>
        </w:sectPr>
      </w:pPr>
    </w:p>
    <w:bookmarkStart w:id="15" w:name="page16"/>
    <w:bookmarkEnd w:id="1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appropriately used within the terms of our contract, and that collateral held by us is appropriate as determined by our personnel. We charge fees as a percentage of gross written premiums for issuing these policies. We establish fronting opportunities through a variety of sources, including direct carrier relationships, MGAs and reinsurance brokers.</w:t>
      </w:r>
    </w:p>
    <w:p>
      <w:pPr>
        <w:spacing w:after="0" w:line="68"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Due to our broad licensure and product filings, we are positioned to support this business on a broad basis throughout the U.S. Because of the limited capital allocation required to support it, we believe the fronting business represents an efficient use of capital, and we continued to expand this business in 2018. One fronting program (Atlas General Insurance Services) produced $201.7 million of gross written premiums in 2018 representing 17.3% of consolidated gross written premiums and 53.9% of the Specialty Admitted Insurance segment's gross written premiums.</w:t>
      </w:r>
    </w:p>
    <w:p>
      <w:pPr>
        <w:spacing w:after="0" w:line="72" w:lineRule="exact"/>
        <w:rPr>
          <w:sz w:val="20"/>
          <w:szCs w:val="20"/>
          <w:color w:val="auto"/>
        </w:rPr>
      </w:pPr>
    </w:p>
    <w:p>
      <w:pPr>
        <w:jc w:val="both"/>
        <w:ind w:right="120" w:firstLine="351"/>
        <w:spacing w:after="0" w:line="266" w:lineRule="auto"/>
        <w:rPr>
          <w:sz w:val="20"/>
          <w:szCs w:val="20"/>
          <w:color w:val="auto"/>
        </w:rPr>
      </w:pPr>
      <w:r>
        <w:rPr>
          <w:rFonts w:ascii="Times New Roman" w:cs="Times New Roman" w:eastAsia="Times New Roman" w:hAnsi="Times New Roman"/>
          <w:sz w:val="18"/>
          <w:szCs w:val="18"/>
          <w:color w:val="auto"/>
        </w:rPr>
        <w:t>Our objective over time is to utilize the combination of fee income and underwriting profits from our Specialty Admitted Insurance segment to leverage our capital and enhance returns on tangible equity. Additionally, we expect that this fee income, which was $14.8 million in 2018 and $11.3 million in 2017, will be increasingly material in future periods and provide us with a steady revenue stream.</w:t>
      </w:r>
    </w:p>
    <w:p>
      <w:pPr>
        <w:spacing w:after="0" w:line="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 program arrangement, we give selected MGAs authority to act on our behalf to produce, underwrite and administer policies that meet our strict underwriting and pricing guidelines. We enter into these arrangements selectively with agents who have significant experience and market presence in specialty classes of property-casualty and automobile risks. Underwriting, claims and financial performance is subject to regular review by our staff. We only work with MGAs who permit us to actively engage with them through a combination of onsite and offsite resources to facilitate our real-time supervision of their work. We specifically grant limited authority for underwriting and claims administration and employ a rigorous review process to ensure the authority is appropriately used.</w:t>
      </w:r>
    </w:p>
    <w:p>
      <w:pPr>
        <w:spacing w:after="0" w:line="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focus our coverage on casualty risks in our program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to third-party administrators for the first $50,000 of a claim, and then provide supervisory control above this amount.</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these program agreements, we pay fixed commissions with a profit contingency. In addition, we typically build in a “margin” between the commission we earn from our reinsurers and the commissions paid to the MGAs. This spread enhances our net underwriting returns and profitability. Our program business is distributed primarily through MGAs and program managers.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Excluding our Atlas program, we have seven active fronting arrangements as of December 31, 2018. During 2018, these arrangements represented 25.6% of the segment’s gross written premium.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Casualty Reinsurance Segment</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report our business of writing reinsurance for third party insurance companies in our Casualty Reinsurance segment (representing 11.6% of consolidated gross written premiums for the year ended December 31, 2018). We participate in the reinsurance business through our Bermuda domiciled reinsurance subsidiary, JRG Re, which is a Class 3B reinsurer. JRG Re provides proportional and working layer treaty reinsurance to third parties and, through December 31, 2017, also to our U.S.-based insurance subsidiaries. For purposes of management evaluation, this segment’s underwriting results only include premiums ceded by, and losses incurred with respect to, business assumed from unaffiliated companies and does not include premiums and losses ceded under the internal reinsurance arrangements. In response to the Tax Act, we made changes to our structure in 2018 that included the formation of Carolina Re, a Bermuda-domiciled, wholly-owned subsidiary of James River Group, Inc. Carolina Re is a Class 3A reinsurer and made an irrevocable election to be taxed as a U.S. domestic corporation under Section 953(d) of the Code effective January 1, 2018. We generally discontinued ceding 70% of our U.S.-written premiums to JRG Re and instead ceded 70% of our U.S.-written premiums to Carolina Re as of January 1, 2018. Carolina Re also entered into a stop loss reinsurance agreement with JRG Re.</w:t>
      </w:r>
    </w:p>
    <w:p>
      <w:pPr>
        <w:spacing w:after="0" w:line="7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2018, our Casualty Reinsurance segment had underwriting income of $5.1 million as a stand-alone entity. We underwrote $135.9 million in gross written premiums for the year ended December 31, 2018, 97.3% of which consisted of E&amp;S risks. Of those third-party premiums written by JRG Re, 85.8% was for general liability and 8.4% was for non-medical professional liability, with the balance primarily related to excess casualty and commercial auto coverages. We typically structure our reinsurance treaties as quota share arrangements with loss and risk mitigating features that align our interest with that of the ceding companies. On a premium volume basis, treaties with loss mitigation features including sliding scale ceding commissions represented 81.7% of the third-party gross written premiums during 2018 and treaties written as “proportional” arrangements represented</w:t>
      </w:r>
    </w:p>
    <w:p>
      <w:pPr>
        <w:ind w:right="60"/>
        <w:spacing w:after="0" w:line="261" w:lineRule="auto"/>
        <w:rPr>
          <w:sz w:val="20"/>
          <w:szCs w:val="20"/>
          <w:color w:val="auto"/>
        </w:rPr>
      </w:pPr>
      <w:r>
        <w:rPr>
          <w:rFonts w:ascii="Times New Roman" w:cs="Times New Roman" w:eastAsia="Times New Roman" w:hAnsi="Times New Roman"/>
          <w:sz w:val="18"/>
          <w:szCs w:val="18"/>
          <w:color w:val="auto"/>
        </w:rPr>
        <w:t>96.9%. We purchase very little retrocessional coverage in this segment. Almost all of the segment’s premiums are for casualty lines of business. The Casualty Reinsurance segment writes virtually no reinsurance designed to respond specifically to natural catastrophes.</w:t>
      </w:r>
    </w:p>
    <w:p>
      <w:pPr>
        <w:spacing w:after="0" w:line="7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Casualty Reinsurance segment’s two largest brokers generated $54.0 million and $42.3 million, respectively, representing 70.9% of the segment’s gross written premiums in the year ended December 31, 2018. The Casualty Reinsurance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segment’s three largest relationships with unaffiliated ceding companies generated $126.3 million ($83.4 million, $22.1 million, and $20.8 million, respectively) representing 10.8% of consolidated gross written premiums and 92.9% of the Casualty Reinsurance segment's gross written premiums for the year ended December 31, 2018.</w:t>
      </w:r>
    </w:p>
    <w:p>
      <w:pPr>
        <w:spacing w:after="0" w:line="6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Underwriting profits and investment income earned by JRG Re are exempt from U.S. taxation. We do, however, pay a 1% U.S. Federal excise tax on premiums ceded to JRG Re. At December 31, 2018, JRG Re cash and invested assets made up 54.9% of our total cash and invested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21" w:lineRule="exact"/>
        <w:rPr>
          <w:sz w:val="20"/>
          <w:szCs w:val="20"/>
          <w:color w:val="auto"/>
        </w:rPr>
      </w:pPr>
    </w:p>
    <w:p>
      <w:pPr>
        <w:ind w:right="120" w:firstLine="351"/>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our Chief Financial Officer and other holding company employees are part of the Corporate and Other segment. This is where we set and direct strategy for the group as a whole as well as high level objectives for each of the three operating segments. We make all capital management, capital allocation, treasury functions, information technology and group wide risk management decisions in this segment. Our decisions at this level also include reinsurance purchasing.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Reinsurance</w:t>
      </w:r>
    </w:p>
    <w:p>
      <w:pPr>
        <w:spacing w:after="0" w:line="12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We routinely purchase reinsurance for our Excess and Surplus Lines and Specialty Admitted Insurance segments and, less frequently purchase retrocessional coverage for our Casualty Reinsurance segment. The purchase of reinsurance reduces volatility by limiting our exposure to large losses and provides capacity for growth. In a reinsurance transaction, an insurance company transfers, or cedes, all or part of its exposure in return for a portion of the premium. In a retrocession transaction, a reinsurer transfers, or cedes, all or part of its exposure in return for a portion of the premium. Our companies remain legally responsible for the entire obligation to policyholders and ceding companies, irrespective of any reinsurance or retrocession coverage we may purchase. Typically, we pay claims from our own funds and then seek reimbursement from the reinsurer or retrocessionaire, as applicable. There is credit exposure with respect to losses ceded to the extent that any reinsurer or retrocessionaire is unable or unwilling to meet the obligations ceded by us under reinsurance or retrocessional treaties. The ability to collect on reinsurance or retrocessional reinsurance is subject to many factors, including the solvency of the counterparty and their interpretation of contract language and other factors. We currently have no disputes with any reinsurer or retrocessionaire, and we are not aware of any credit quality issues with any of our reinsurers or retrocessionaires at December 31,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Property Reinsurance</w:t>
      </w:r>
    </w:p>
    <w:p>
      <w:pPr>
        <w:spacing w:after="0" w:line="121"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Our focus on return on tangible equity leads us to avoid lines of business that we know are exposed to high degrees of volatility. The Excess and Surplus Lines segment writes a limited book of excess property risks (approximately $17.0 million direct written premiums in 2018). The risks assumed in this book are geographically dispersed and significantly reinsured to limit losses. The Excess and Surplus Lines segment may retain up to $5.0 million per risk on our excess property book; however, the average retained amount per risk is approximately $2.5 million. In our Specialty Admitted Insurance segment, we focus on casualty business, but we do write a limited amount of property insurance, principally through our fronting and programs business. The focus in our Casualty Reinsurance segment is also primarily casualty business, but we do have a relatively small amount of assumed business with property exposure.</w:t>
      </w:r>
    </w:p>
    <w:p>
      <w:pPr>
        <w:spacing w:after="0" w:line="8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our Excess and Surplus Lines segment, we purchased a surplus share reinsurance treaty specifically designed to cover property risks. The surplus share treaty along with facultative reinsurance helps ensure that our net retained limit per risk will be $5.0 million or less. Additionally, we purchased catastrophe reinsurance of $40.0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program book of business, the segment has purchased coverage for $4.0 million in excess of $1.0 million per occurrence, in addition to the protection provided under the corporate $40.0 million in excess of $5.0 million catastrophe treaty. This is also intended to cover the 1 in 1,000 year modeled aggregate PML on any property exposures the Specialty Admitted Insurance segment assumes. In our Casualty Reinsurance segment, we believe that our maximum loss from a catastrophic event is approximately $2.0 million and, as a result, we do not currently purchase retrocessional reinsurance coverage for property-catastrophe risks. In the aggregate, we believe our pre-tax group-wide PML from a 1 in 1,000 year catastrophic event is approximately $10.0 million, inclusive of reinstatement premiums payable.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Casualty Reinsurance</w:t>
      </w:r>
    </w:p>
    <w:p>
      <w:pPr>
        <w:spacing w:after="0" w:line="121" w:lineRule="exact"/>
        <w:rPr>
          <w:sz w:val="20"/>
          <w:szCs w:val="20"/>
          <w:color w:val="auto"/>
        </w:rPr>
      </w:pPr>
    </w:p>
    <w:p>
      <w:pPr>
        <w:ind w:right="100" w:firstLine="351"/>
        <w:spacing w:after="0" w:line="289" w:lineRule="auto"/>
        <w:rPr>
          <w:sz w:val="20"/>
          <w:szCs w:val="20"/>
          <w:color w:val="auto"/>
        </w:rPr>
      </w:pPr>
      <w:r>
        <w:rPr>
          <w:rFonts w:ascii="Times New Roman" w:cs="Times New Roman" w:eastAsia="Times New Roman" w:hAnsi="Times New Roman"/>
          <w:sz w:val="17"/>
          <w:szCs w:val="17"/>
          <w:color w:val="auto"/>
        </w:rPr>
        <w:t>In our Excess and Surplus Lines segment, there are five divisions where we only write $1.0 million per occurrence limits (Commercial Auto, Manufacturers and Contractors, General Casualty, Small Business and Sports and Entertainment), and therefore, we do not purchase any specific reinsurance for these policies. In the other divisions, where we issue policies with larger limits, we purchase reinsurance in excess of $1.0 million per occurrence.</w:t>
      </w:r>
    </w:p>
    <w:p>
      <w:pPr>
        <w:spacing w:after="0" w:line="5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our Specialty Admitted Insurance segment, there are two distinct reinsurance strategies. For individual risk workers' compensation, we purchase $29.4 million excess of $600,000 per occurrence; and, effective October 1, 2017, we also purchased a 50% quota share coverage of the primary $600,000. For our fronting and program business, we purchase proportional reinsurance and excess of loss reinsurance to limit our exposure to no more than $500,000 per occurrence.</w:t>
      </w:r>
    </w:p>
    <w:p>
      <w:pPr>
        <w:spacing w:after="0" w:line="72" w:lineRule="exact"/>
        <w:rPr>
          <w:sz w:val="20"/>
          <w:szCs w:val="20"/>
          <w:color w:val="auto"/>
        </w:rPr>
      </w:pPr>
    </w:p>
    <w:p>
      <w:pPr>
        <w:jc w:val="both"/>
        <w:ind w:right="80" w:firstLine="351"/>
        <w:spacing w:after="0" w:line="266" w:lineRule="auto"/>
        <w:rPr>
          <w:sz w:val="20"/>
          <w:szCs w:val="20"/>
          <w:color w:val="auto"/>
        </w:rPr>
      </w:pPr>
      <w:r>
        <w:rPr>
          <w:rFonts w:ascii="Times New Roman" w:cs="Times New Roman" w:eastAsia="Times New Roman" w:hAnsi="Times New Roman"/>
          <w:sz w:val="18"/>
          <w:szCs w:val="18"/>
          <w:color w:val="auto"/>
        </w:rPr>
        <w:t>For both our Excess and Surplus Lines segment and our Specialty Admitted Insurance segment, we purchase a clash and contingency reinsurance treaty that covers all casualty business for $10.0 million in excess of $2.0 million per occurrence. This coverage is intended to respond in a situation where we have multiple insured losses from the same event.</w:t>
      </w:r>
    </w:p>
    <w:p>
      <w:pPr>
        <w:spacing w:after="0" w:line="68" w:lineRule="exact"/>
        <w:rPr>
          <w:sz w:val="20"/>
          <w:szCs w:val="20"/>
          <w:color w:val="auto"/>
        </w:rPr>
      </w:pPr>
    </w:p>
    <w:p>
      <w:pPr>
        <w:ind w:right="660" w:firstLine="351"/>
        <w:spacing w:after="0" w:line="282" w:lineRule="auto"/>
        <w:rPr>
          <w:sz w:val="20"/>
          <w:szCs w:val="20"/>
          <w:color w:val="auto"/>
        </w:rPr>
      </w:pPr>
      <w:r>
        <w:rPr>
          <w:rFonts w:ascii="Times New Roman" w:cs="Times New Roman" w:eastAsia="Times New Roman" w:hAnsi="Times New Roman"/>
          <w:sz w:val="18"/>
          <w:szCs w:val="18"/>
          <w:color w:val="auto"/>
        </w:rPr>
        <w:t>In our Casualty Reinsurance segment, we currently do not purchase any material retrocessional reinsurance. In prior periods, we have purchased proportional and excess of loss retrocessional coverage for particular situations related to specific treaties, but have only done so on a limited basis.</w:t>
      </w:r>
    </w:p>
    <w:p>
      <w:pPr>
        <w:spacing w:after="0" w:line="54" w:lineRule="exact"/>
        <w:rPr>
          <w:sz w:val="20"/>
          <w:szCs w:val="20"/>
          <w:color w:val="auto"/>
        </w:rPr>
      </w:pPr>
    </w:p>
    <w:p>
      <w:pPr>
        <w:ind w:right="280" w:firstLine="351"/>
        <w:spacing w:after="0" w:line="261" w:lineRule="auto"/>
        <w:rPr>
          <w:sz w:val="20"/>
          <w:szCs w:val="20"/>
          <w:color w:val="auto"/>
        </w:rPr>
      </w:pPr>
      <w:r>
        <w:rPr>
          <w:rFonts w:ascii="Times New Roman" w:cs="Times New Roman" w:eastAsia="Times New Roman" w:hAnsi="Times New Roman"/>
          <w:sz w:val="18"/>
          <w:szCs w:val="18"/>
          <w:color w:val="auto"/>
        </w:rPr>
        <w:t>For 2018, our top ten reinsurers represented 79.4% of our total ceded reinsurance recoverables, and all of these reinsurance recoverables were from reinsurers with an A.M. Best rating of “A-” (Excellent) or better or are collateralized with letters of credit or by a trust agreement. The following table sets forth our ten most significant reinsurers by amount of reinsurance recoverables on unpaid losses and the amount of reinsurance recoverables pertaining to each such reinsurer as well as its A.M. Best rating as of December 31,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 Rating</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180" w:type="dxa"/>
            <w:vAlign w:val="bottom"/>
          </w:tcPr>
          <w:p>
            <w:pPr>
              <w:spacing w:after="0"/>
              <w:rPr>
                <w:sz w:val="12"/>
                <w:szCs w:val="12"/>
                <w:color w:val="auto"/>
              </w:rPr>
            </w:pPr>
          </w:p>
        </w:tc>
        <w:tc>
          <w:tcPr>
            <w:tcW w:w="14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Recoverable as of</w:t>
            </w: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151,590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Berkley Insurance Company</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47,867</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 National Casualty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44,130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341"/>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Carolina Reinsurance Facility</w:t>
            </w:r>
          </w:p>
        </w:tc>
        <w:tc>
          <w:tcPr>
            <w:tcW w:w="180" w:type="dxa"/>
            <w:vAlign w:val="bottom"/>
          </w:tcPr>
          <w:p>
            <w:pPr>
              <w:spacing w:after="0"/>
              <w:rPr>
                <w:sz w:val="24"/>
                <w:szCs w:val="24"/>
                <w:color w:val="auto"/>
              </w:rPr>
            </w:pPr>
          </w:p>
        </w:tc>
        <w:tc>
          <w:tcPr>
            <w:tcW w:w="14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Unrated</w:t>
            </w:r>
            <w:r>
              <w:rPr>
                <w:rFonts w:ascii="Times New Roman" w:cs="Times New Roman" w:eastAsia="Times New Roman" w:hAnsi="Times New Roman"/>
                <w:sz w:val="25"/>
                <w:szCs w:val="25"/>
                <w:color w:val="auto"/>
                <w:w w:val="92"/>
                <w:vertAlign w:val="superscript"/>
              </w:rPr>
              <w:t>(1)</w:t>
            </w:r>
          </w:p>
        </w:tc>
        <w:tc>
          <w:tcPr>
            <w:tcW w:w="0" w:type="dxa"/>
            <w:vAlign w:val="bottom"/>
          </w:tcPr>
          <w:p>
            <w:pPr>
              <w:spacing w:after="0"/>
              <w:rPr>
                <w:sz w:val="1"/>
                <w:szCs w:val="1"/>
                <w:color w:val="auto"/>
              </w:rPr>
            </w:pPr>
          </w:p>
        </w:tc>
      </w:tr>
      <w:tr>
        <w:trPr>
          <w:trHeight w:val="118"/>
        </w:trPr>
        <w:tc>
          <w:tcPr>
            <w:tcW w:w="8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Munich Reinsurance America</w:t>
            </w: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shd w:val="clear" w:color="auto" w:fill="CCEEFF"/>
          </w:tcPr>
          <w:p>
            <w:pPr>
              <w:spacing w:after="0"/>
              <w:rPr>
                <w:sz w:val="21"/>
                <w:szCs w:val="21"/>
                <w:color w:val="auto"/>
              </w:rPr>
            </w:pP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Endurance Assurance Corporation</w:t>
            </w:r>
          </w:p>
        </w:tc>
        <w:tc>
          <w:tcPr>
            <w:tcW w:w="180" w:type="dxa"/>
            <w:vAlign w:val="bottom"/>
          </w:tcPr>
          <w:p>
            <w:pPr>
              <w:spacing w:after="0"/>
              <w:rPr>
                <w:sz w:val="21"/>
                <w:szCs w:val="21"/>
                <w:color w:val="auto"/>
              </w:rPr>
            </w:pPr>
          </w:p>
        </w:tc>
        <w:tc>
          <w:tcPr>
            <w:tcW w:w="14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22,405</w:t>
            </w:r>
          </w:p>
        </w:tc>
        <w:tc>
          <w:tcPr>
            <w:tcW w:w="100" w:type="dxa"/>
            <w:vAlign w:val="bottom"/>
          </w:tcPr>
          <w:p>
            <w:pPr>
              <w:spacing w:after="0"/>
              <w:rPr>
                <w:sz w:val="21"/>
                <w:szCs w:val="21"/>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Donegal Mutual Insurance Company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Cincinnati Insurance Company</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American European Insurance Company</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Partner Reinsurance Company Limited</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Top 10 Total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371,296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96,075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467,371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076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76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231775</wp:posOffset>
            </wp:positionV>
            <wp:extent cx="1800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260"/>
        <w:spacing w:after="0" w:line="446" w:lineRule="auto"/>
        <w:rPr>
          <w:sz w:val="20"/>
          <w:szCs w:val="20"/>
          <w:color w:val="auto"/>
        </w:rPr>
      </w:pPr>
      <w:r>
        <w:rPr>
          <w:rFonts w:ascii="Times New Roman" w:cs="Times New Roman" w:eastAsia="Times New Roman" w:hAnsi="Times New Roman"/>
          <w:sz w:val="18"/>
          <w:szCs w:val="18"/>
          <w:color w:val="auto"/>
        </w:rPr>
        <w:t xml:space="preserve">(1) These reinsurers are unrated, or below “A-”. All material reinsurance recoverables from these reinsurers are collateralized. </w:t>
      </w:r>
      <w:r>
        <w:rPr>
          <w:rFonts w:ascii="Times New Roman" w:cs="Times New Roman" w:eastAsia="Times New Roman" w:hAnsi="Times New Roman"/>
          <w:sz w:val="18"/>
          <w:szCs w:val="18"/>
          <w:b w:val="1"/>
          <w:bCs w:val="1"/>
          <w:i w:val="1"/>
          <w:iCs w:val="1"/>
          <w:color w:val="auto"/>
        </w:rPr>
        <w:t>Amounts Recoverable from an Indemnifying Party</w:t>
      </w:r>
    </w:p>
    <w:p>
      <w:pPr>
        <w:spacing w:after="0" w:line="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December 31, 2018, the cash equivalent collateral held in the</w:t>
      </w:r>
    </w:p>
    <w:p>
      <w:pPr>
        <w:sectPr>
          <w:pgSz w:w="11900" w:h="16838" w:orient="portrait"/>
          <w:cols w:equalWidth="0" w:num="1">
            <w:col w:w="11420"/>
          </w:cols>
          <w:pgMar w:left="240" w:top="122"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collateral trust arrangement was approximately $1,099.2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Policy</w:t>
      </w:r>
    </w:p>
    <w:p>
      <w:pPr>
        <w:spacing w:after="0" w:line="121" w:lineRule="exact"/>
        <w:rPr>
          <w:sz w:val="20"/>
          <w:szCs w:val="20"/>
          <w:color w:val="auto"/>
        </w:rPr>
      </w:pPr>
    </w:p>
    <w:p>
      <w:pPr>
        <w:ind w:right="500" w:firstLine="351"/>
        <w:spacing w:after="0" w:line="282" w:lineRule="auto"/>
        <w:rPr>
          <w:sz w:val="20"/>
          <w:szCs w:val="20"/>
          <w:color w:val="auto"/>
        </w:rPr>
      </w:pPr>
      <w:r>
        <w:rPr>
          <w:rFonts w:ascii="Times New Roman" w:cs="Times New Roman" w:eastAsia="Times New Roman" w:hAnsi="Times New Roman"/>
          <w:sz w:val="18"/>
          <w:szCs w:val="18"/>
          <w:color w:val="auto"/>
        </w:rPr>
        <w:t>We seek to establish reserves that will adequately meet our obligations. We have seven credentialed actuaries on staff, and we engage independent actuarial consultants to review our decisions regarding reserves twice a year.</w:t>
      </w:r>
    </w:p>
    <w:p>
      <w:pPr>
        <w:spacing w:after="0" w:line="5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We maintain reserves for specific claims incurred and reported, reserves for claims incurred but not reported (“IBNR”) and reserves for uncollectible reinsurance when appropriate. Our ultimate liability may be greater or less than current reserves. In the insurance industry, there is always the risk that reserves may prove inadequate. We continually monitor reserves using new information on reported claims and a variety of statistical techniques and adjust our estimates as necessary as experience develops or new information becomes known. Such adjustments (referred to as reserve development) are included in current operations. Anticipated inflation is reflected implicitly in the reserving process through analysis of cost trends and the review of historical development. We do not discount our reserves for losses and loss adjustment expenses to reflect estimated present value.</w:t>
      </w:r>
    </w:p>
    <w:p>
      <w:pPr>
        <w:spacing w:after="0" w:line="80"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When setting our reserves, we use a blend of actuarial techniques that are chosen to reflect the nature of the lines of insurance we underwrite. We seek to be consistent and transparent in establishing our reserves.</w:t>
      </w:r>
    </w:p>
    <w:p>
      <w:pPr>
        <w:spacing w:after="0" w:line="54"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spacing w:after="0" w:line="11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emergence and insured reporting patterns;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policy terms and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exposure mix;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claim frequency and severity;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economic and social trends;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and litigation environments;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third-party actuarial consultants.</w:t>
      </w:r>
    </w:p>
    <w:p>
      <w:pPr>
        <w:spacing w:after="0" w:line="131"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spacing w:after="0" w:line="68" w:lineRule="exact"/>
        <w:rPr>
          <w:sz w:val="20"/>
          <w:szCs w:val="20"/>
          <w:color w:val="auto"/>
        </w:rPr>
      </w:pPr>
    </w:p>
    <w:p>
      <w:pPr>
        <w:ind w:right="20" w:firstLine="351"/>
        <w:spacing w:after="0" w:line="261" w:lineRule="auto"/>
        <w:rPr>
          <w:sz w:val="20"/>
          <w:szCs w:val="20"/>
          <w:color w:val="auto"/>
        </w:rPr>
      </w:pPr>
      <w:r>
        <w:rPr>
          <w:rFonts w:ascii="Times New Roman" w:cs="Times New Roman" w:eastAsia="Times New Roman" w:hAnsi="Times New Roman"/>
          <w:sz w:val="18"/>
          <w:szCs w:val="18"/>
          <w:color w:val="auto"/>
        </w:rPr>
        <w:t>Our Reserve Committee consists of our Chief Actuary, Chief Executive Officer, Chief Financial Officer, and Chief Accounting Officer. Additionally, the presidents and chief actuaries of each of our three insurance segments assist in the evaluation of reserves in their respective segments. The Reserve Committee meets quarterly to review the actuarial recommendations made by each chief actuary and uses its best judgment to determine the best estimate to be recorded for the reserve for losses and loss adjustment expenses on our quarterly balance sheet.</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reflects our reserve development by segment during the calendar years 2018 to 2009 individually and in aggregate.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40" w:type="dxa"/>
            <w:vAlign w:val="bottom"/>
          </w:tcPr>
          <w:p>
            <w:pPr>
              <w:spacing w:after="0"/>
              <w:rPr>
                <w:sz w:val="13"/>
                <w:szCs w:val="13"/>
                <w:color w:val="auto"/>
              </w:rPr>
            </w:pPr>
          </w:p>
        </w:tc>
        <w:tc>
          <w:tcPr>
            <w:tcW w:w="12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Casualty</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Grand Total</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Calendar Year</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24,079</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25,424</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27,283</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40,734</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20,122</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3"/>
                <w:szCs w:val="13"/>
                <w:color w:val="auto"/>
                <w:w w:val="92"/>
              </w:rPr>
              <w:t>(8)</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21,034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19,911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10,922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3,193</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Cumulative Development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137,756</w:t>
            </w:r>
          </w:p>
        </w:tc>
        <w:tc>
          <w:tcPr>
            <w:tcW w:w="3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97,679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-2100580</wp:posOffset>
            </wp:positionV>
            <wp:extent cx="214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-2100580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1852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right="440" w:hanging="332"/>
        <w:spacing w:after="0" w:line="34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$20.7 million of adverse development in the commercial auto line of business that was primarily related to the 2016 contract year with one insured, partially offset by $5.7 million of favorable development from other divisions.</w:t>
      </w:r>
    </w:p>
    <w:p>
      <w:pPr>
        <w:spacing w:after="0" w:line="41" w:lineRule="exact"/>
        <w:rPr>
          <w:rFonts w:ascii="Times New Roman" w:cs="Times New Roman" w:eastAsia="Times New Roman" w:hAnsi="Times New Roman"/>
          <w:sz w:val="18"/>
          <w:szCs w:val="18"/>
          <w:color w:val="auto"/>
        </w:rPr>
      </w:pPr>
    </w:p>
    <w:p>
      <w:pPr>
        <w:ind w:left="340" w:right="440" w:hanging="332"/>
        <w:spacing w:after="0" w:line="34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$38.7 million of adverse development in the commercial auto line of business that was primarily related to the 2016 contract year with one insured, partially offset by $18.6 million of favorable development from other divisions primarily from the 2014 through 2016 accident years.</w:t>
      </w:r>
    </w:p>
    <w:p>
      <w:pPr>
        <w:spacing w:after="0" w:line="41" w:lineRule="exact"/>
        <w:rPr>
          <w:rFonts w:ascii="Times New Roman" w:cs="Times New Roman" w:eastAsia="Times New Roman" w:hAnsi="Times New Roman"/>
          <w:sz w:val="18"/>
          <w:szCs w:val="18"/>
          <w:color w:val="auto"/>
        </w:rPr>
      </w:pPr>
    </w:p>
    <w:p>
      <w:pPr>
        <w:ind w:left="340" w:right="100" w:hanging="332"/>
        <w:spacing w:after="0" w:line="34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million of favorable development from the 2015 accident year, $10.7 million from the 2014 accident year and $4.5 million from the 2013 accident year.</w:t>
      </w:r>
    </w:p>
    <w:p>
      <w:pPr>
        <w:spacing w:after="0" w:line="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$17.3 million and $10.5 million of favorable development from the 2014 and 2013 accident year, respectively.</w:t>
      </w:r>
    </w:p>
    <w:p>
      <w:pPr>
        <w:spacing w:after="0" w:line="130"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 million of favorable development from the 2011 accident year, $4.2 million from the 2007 accident year and $5.0 million from the 2009 accident year.</w:t>
      </w:r>
    </w:p>
    <w:p>
      <w:pPr>
        <w:spacing w:after="0" w:line="80" w:lineRule="exact"/>
        <w:rPr>
          <w:rFonts w:ascii="Times New Roman" w:cs="Times New Roman" w:eastAsia="Times New Roman" w:hAnsi="Times New Roman"/>
          <w:sz w:val="18"/>
          <w:szCs w:val="18"/>
          <w:color w:val="auto"/>
        </w:rPr>
      </w:pPr>
    </w:p>
    <w:p>
      <w:pPr>
        <w:ind w:left="340" w:right="280" w:hanging="332"/>
        <w:spacing w:after="0" w:line="329"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$11.8 million of favorable development from the 2009 accident year, $7.3 million of favorable development from the 2007 accident year and $5.8 million of favorable development from the 2008 accident year.</w:t>
      </w:r>
    </w:p>
    <w:p>
      <w:pPr>
        <w:spacing w:after="0" w:line="53" w:lineRule="exact"/>
        <w:rPr>
          <w:rFonts w:ascii="Times New Roman" w:cs="Times New Roman" w:eastAsia="Times New Roman" w:hAnsi="Times New Roman"/>
          <w:sz w:val="18"/>
          <w:szCs w:val="18"/>
          <w:color w:val="auto"/>
        </w:rPr>
      </w:pPr>
    </w:p>
    <w:p>
      <w:pPr>
        <w:ind w:left="340" w:hanging="332"/>
        <w:spacing w:after="0" w:line="329"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 million of favorable development from the 2009 accident year, $4.3 million of favorable development from the 2008 accident year and $4.1 million of favorable development from the 2007 accident year.</w:t>
      </w:r>
    </w:p>
    <w:p>
      <w:pPr>
        <w:spacing w:after="0" w:line="53" w:lineRule="exact"/>
        <w:rPr>
          <w:rFonts w:ascii="Times New Roman" w:cs="Times New Roman" w:eastAsia="Times New Roman" w:hAnsi="Times New Roman"/>
          <w:sz w:val="18"/>
          <w:szCs w:val="18"/>
          <w:color w:val="auto"/>
        </w:rPr>
      </w:pPr>
    </w:p>
    <w:p>
      <w:pPr>
        <w:ind w:left="340" w:right="680" w:hanging="332"/>
        <w:spacing w:after="0" w:line="329"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 million of adverse development on assumed crop business almost entirely from the 2011 accident year and $7.6 million of adverse development on other assumed business.</w:t>
      </w:r>
    </w:p>
    <w:p>
      <w:pPr>
        <w:spacing w:after="0" w:line="27" w:lineRule="exact"/>
        <w:rPr>
          <w:sz w:val="20"/>
          <w:szCs w:val="20"/>
          <w:color w:val="auto"/>
        </w:rPr>
      </w:pPr>
    </w:p>
    <w:p>
      <w:pPr>
        <w:ind w:right="240" w:firstLine="351"/>
        <w:spacing w:after="0" w:line="261" w:lineRule="auto"/>
        <w:rPr>
          <w:sz w:val="20"/>
          <w:szCs w:val="20"/>
          <w:color w:val="auto"/>
        </w:rPr>
      </w:pPr>
      <w:r>
        <w:rPr>
          <w:rFonts w:ascii="Times New Roman" w:cs="Times New Roman" w:eastAsia="Times New Roman" w:hAnsi="Times New Roman"/>
          <w:sz w:val="18"/>
          <w:szCs w:val="18"/>
          <w:color w:val="auto"/>
        </w:rPr>
        <w:t>Among the indicators of reserve strength that we monitor closely are the number of claims outstanding from a given year and the amount of IBNR reserves held on our balance sheet for claims that have been incurred but not yet reported to us. As a general rule, every known claim has a specific case reserve established against it which management believes is adequate to resolve the claim and pay attendant expenses based on information available at the time.</w:t>
      </w:r>
    </w:p>
    <w:p>
      <w:pPr>
        <w:spacing w:after="0" w:line="72"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A significant portion of reported claims from prior policy years were closed at December 31, 2018. The table below sets forth the percentage of claims closed by policy year for our Excess and Surplus Lines and Specialty Admitted Insurance segments for the policy years indicated.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Claims Closed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Surplus Lines</w:t>
            </w: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Surplus Lines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 Excluding</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Fronting</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Policy Year</w:t>
            </w:r>
          </w:p>
        </w:tc>
        <w:tc>
          <w:tcPr>
            <w:tcW w:w="120" w:type="dxa"/>
            <w:vAlign w:val="bottom"/>
            <w:vMerge w:val="restart"/>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Risk Workers’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95"/>
        </w:trPr>
        <w:tc>
          <w:tcPr>
            <w:tcW w:w="4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Auto</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Auto</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-2392045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-2392045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Another indicator of reserve strength that we monitor closely is the percentage of our gross and net loss reserves that are comprised of IBNR reserves. The table below sets forth our IBNR, total gross reserves and the percentage that IBNR represents of the total gross reserves, in each case by segment and in the aggregate, at December 31, 2018. The percentage that IBNR represents of total gross reserves at December 31, 2018 is 62.4%.</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Gross Reserves at December 31, 2018</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114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608,548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960,563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264,399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426,315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164,242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274,581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1,037,189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1,661,459</w:t>
            </w: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351"/>
        <w:spacing w:after="0" w:line="282" w:lineRule="auto"/>
        <w:rPr>
          <w:sz w:val="20"/>
          <w:szCs w:val="20"/>
          <w:color w:val="auto"/>
        </w:rPr>
      </w:pPr>
      <w:r>
        <w:rPr>
          <w:rFonts w:ascii="Times New Roman" w:cs="Times New Roman" w:eastAsia="Times New Roman" w:hAnsi="Times New Roman"/>
          <w:sz w:val="18"/>
          <w:szCs w:val="18"/>
          <w:color w:val="auto"/>
        </w:rPr>
        <w:t>The table below sets forth our IBNR, total net reserves and the percentage that IBNR represents of the total net reserves, in each case by segment and in the aggregate, at December 31, 2018. The percentage that IBNR represents of total net reserves at December 31, 2018 is 61.5%.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Net Reserves at December 31, 2018</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18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514,160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834,943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56,951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163,152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269,847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734,263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1,194,088</w:t>
            </w: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21" w:lineRule="exact"/>
        <w:rPr>
          <w:sz w:val="20"/>
          <w:szCs w:val="20"/>
          <w:color w:val="auto"/>
        </w:rPr>
      </w:pPr>
    </w:p>
    <w:p>
      <w:pPr>
        <w:ind w:right="360" w:firstLine="351"/>
        <w:spacing w:after="0" w:line="266" w:lineRule="auto"/>
        <w:rPr>
          <w:sz w:val="20"/>
          <w:szCs w:val="20"/>
          <w:color w:val="auto"/>
        </w:rPr>
      </w:pPr>
      <w:r>
        <w:rPr>
          <w:rFonts w:ascii="Times New Roman" w:cs="Times New Roman" w:eastAsia="Times New Roman" w:hAnsi="Times New Roman"/>
          <w:sz w:val="18"/>
          <w:szCs w:val="18"/>
          <w:color w:val="auto"/>
        </w:rPr>
        <w:t>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loss of capital. The vast majority of our investment portfolio is managed by third party, independent investment managers.</w:t>
      </w:r>
    </w:p>
    <w:p>
      <w:pPr>
        <w:spacing w:after="0" w:line="117"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The majority of our investment portfolio is invested in what we refer to as our Core Portfolio of investment grade fixed income securities. This portfolio provides predictable income with low risk of principal loss. We seek to augment the return on the Core Portfolio by investing in bank loans, higher yielding securities and private investments. We designed these strategies to improve our investment return and are focused on opportunistic investing in areas where we believe our management, directors or employees have expertise or understanding of the risk and return of the investment.</w:t>
      </w:r>
    </w:p>
    <w:p>
      <w:pPr>
        <w:spacing w:after="0" w:line="72" w:lineRule="exact"/>
        <w:rPr>
          <w:sz w:val="20"/>
          <w:szCs w:val="20"/>
          <w:color w:val="auto"/>
        </w:rPr>
      </w:pPr>
    </w:p>
    <w:p>
      <w:pPr>
        <w:jc w:val="both"/>
        <w:ind w:right="180" w:firstLine="351"/>
        <w:spacing w:after="0" w:line="266" w:lineRule="auto"/>
        <w:rPr>
          <w:sz w:val="20"/>
          <w:szCs w:val="20"/>
          <w:color w:val="auto"/>
        </w:rPr>
      </w:pPr>
      <w:r>
        <w:rPr>
          <w:rFonts w:ascii="Times New Roman" w:cs="Times New Roman" w:eastAsia="Times New Roman" w:hAnsi="Times New Roman"/>
          <w:sz w:val="18"/>
          <w:szCs w:val="18"/>
          <w:color w:val="auto"/>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generally focus on securities that provide some current income.</w:t>
      </w:r>
    </w:p>
    <w:p>
      <w:pPr>
        <w:spacing w:after="0" w:line="68" w:lineRule="exact"/>
        <w:rPr>
          <w:sz w:val="20"/>
          <w:szCs w:val="20"/>
          <w:color w:val="auto"/>
        </w:rPr>
      </w:pPr>
    </w:p>
    <w:p>
      <w:pPr>
        <w:jc w:val="both"/>
        <w:ind w:right="480" w:firstLine="324"/>
        <w:spacing w:after="0" w:line="282" w:lineRule="auto"/>
        <w:rPr>
          <w:sz w:val="20"/>
          <w:szCs w:val="20"/>
          <w:color w:val="auto"/>
        </w:rPr>
      </w:pPr>
      <w:r>
        <w:rPr>
          <w:rFonts w:ascii="Times New Roman" w:cs="Times New Roman" w:eastAsia="Times New Roman" w:hAnsi="Times New Roman"/>
          <w:sz w:val="18"/>
          <w:szCs w:val="18"/>
          <w:color w:val="auto"/>
        </w:rPr>
        <w:t>As a result of affiliated and third party reinsurance contracts, we have been able to grow our asset base at JRG Reinsurance Company Ltd, which is domiciled in Bermuda and is not subject to U.S. corporate taxation. At December 31, 2018, 54.9% of our cash and invested assets were held at JRG Re.</w:t>
      </w:r>
    </w:p>
    <w:p>
      <w:pPr>
        <w:spacing w:after="0" w:line="54"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The prolonged low interest rate environment made it difficult for insurance companies to earn attractive returns on capital because of reduced investment income. If sustained, recent increases in interest rates will slowly improve investment income from fixed income investments. Our premium growth has allowed us to build our asset base. Cash and invested assets now represent 3.8 times our tangible equity.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investment portfolio at December 31, 2018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60" w:type="dxa"/>
            <w:vAlign w:val="bottom"/>
          </w:tcPr>
          <w:p>
            <w:pPr>
              <w:spacing w:after="0"/>
              <w:rPr>
                <w:sz w:val="12"/>
                <w:szCs w:val="12"/>
                <w:color w:val="auto"/>
              </w:rPr>
            </w:pPr>
          </w:p>
        </w:tc>
        <w:tc>
          <w:tcPr>
            <w:tcW w:w="12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00" w:type="dxa"/>
            <w:vAlign w:val="bottom"/>
          </w:tcPr>
          <w:p>
            <w:pPr>
              <w:spacing w:after="0"/>
              <w:rPr>
                <w:sz w:val="12"/>
                <w:szCs w:val="12"/>
                <w:color w:val="auto"/>
              </w:rPr>
            </w:pPr>
          </w:p>
        </w:tc>
        <w:tc>
          <w:tcPr>
            <w:tcW w:w="13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80" w:type="dxa"/>
            <w:vAlign w:val="bottom"/>
          </w:tcPr>
          <w:p>
            <w:pPr>
              <w:spacing w:after="0"/>
              <w:rPr>
                <w:sz w:val="12"/>
                <w:szCs w:val="12"/>
                <w:color w:val="auto"/>
              </w:rPr>
            </w:pPr>
          </w:p>
        </w:tc>
        <w:tc>
          <w:tcPr>
            <w:tcW w:w="13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7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Book Yield</w:t>
            </w:r>
          </w:p>
        </w:tc>
        <w:tc>
          <w:tcPr>
            <w:tcW w:w="15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 of Carrying</w:t>
            </w:r>
          </w:p>
        </w:tc>
        <w:tc>
          <w:tcPr>
            <w:tcW w:w="0" w:type="dxa"/>
            <w:vAlign w:val="bottom"/>
          </w:tcPr>
          <w:p>
            <w:pPr>
              <w:spacing w:after="0"/>
              <w:rPr>
                <w:sz w:val="1"/>
                <w:szCs w:val="1"/>
                <w:color w:val="auto"/>
              </w:rPr>
            </w:pPr>
          </w:p>
        </w:tc>
      </w:tr>
      <w:tr>
        <w:trPr>
          <w:trHeight w:val="195"/>
        </w:trPr>
        <w:tc>
          <w:tcPr>
            <w:tcW w:w="3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5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1,243,616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1,226,946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1,226,946</w:t>
            </w:r>
          </w:p>
        </w:tc>
        <w:tc>
          <w:tcPr>
            <w:tcW w:w="17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 Loans</w:t>
            </w:r>
          </w:p>
        </w:tc>
        <w:tc>
          <w:tcPr>
            <w:tcW w:w="2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299,086</w:t>
            </w:r>
          </w:p>
        </w:tc>
        <w:tc>
          <w:tcPr>
            <w:tcW w:w="30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288,740</w:t>
            </w: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299,014</w:t>
            </w:r>
          </w:p>
        </w:tc>
        <w:tc>
          <w:tcPr>
            <w:tcW w:w="17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6.97%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Incremental Yield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124,838</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127,606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127,606</w:t>
            </w:r>
          </w:p>
        </w:tc>
        <w:tc>
          <w:tcPr>
            <w:tcW w:w="17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6.46%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Private Investments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73,571</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1,727,137</w:t>
            </w:r>
          </w:p>
        </w:tc>
        <w:tc>
          <w:tcPr>
            <w:tcW w:w="17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Less cash and cash equivalents in Core and</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Bank Loans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(49,291)</w:t>
            </w: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Invested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1,677,846</w:t>
            </w:r>
          </w:p>
        </w:tc>
        <w:tc>
          <w:tcPr>
            <w:tcW w:w="17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126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2126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70" w:lineRule="exact"/>
        <w:rPr>
          <w:sz w:val="20"/>
          <w:szCs w:val="20"/>
          <w:color w:val="auto"/>
        </w:rPr>
      </w:pPr>
    </w:p>
    <w:p>
      <w:pPr>
        <w:ind w:right="220" w:firstLine="351"/>
        <w:spacing w:after="0" w:line="282" w:lineRule="auto"/>
        <w:rPr>
          <w:sz w:val="20"/>
          <w:szCs w:val="20"/>
          <w:color w:val="auto"/>
        </w:rPr>
      </w:pPr>
      <w:r>
        <w:rPr>
          <w:rFonts w:ascii="Times New Roman" w:cs="Times New Roman" w:eastAsia="Times New Roman" w:hAnsi="Times New Roman"/>
          <w:sz w:val="18"/>
          <w:szCs w:val="18"/>
          <w:color w:val="auto"/>
        </w:rPr>
        <w:t>We have generally managed our overall portfolio to a duration of 3 to 5 years. At December 31, 2018, the average duration of our investment portfolio was 3.4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Portfolio</w:t>
      </w:r>
    </w:p>
    <w:p>
      <w:pPr>
        <w:spacing w:after="0" w:line="121" w:lineRule="exact"/>
        <w:rPr>
          <w:sz w:val="20"/>
          <w:szCs w:val="20"/>
          <w:color w:val="auto"/>
        </w:rPr>
      </w:pPr>
    </w:p>
    <w:p>
      <w:pPr>
        <w:ind w:right="220" w:firstLine="351"/>
        <w:spacing w:after="0" w:line="282" w:lineRule="auto"/>
        <w:rPr>
          <w:sz w:val="20"/>
          <w:szCs w:val="20"/>
          <w:color w:val="auto"/>
        </w:rPr>
      </w:pPr>
      <w:r>
        <w:rPr>
          <w:rFonts w:ascii="Times New Roman" w:cs="Times New Roman" w:eastAsia="Times New Roman" w:hAnsi="Times New Roman"/>
          <w:sz w:val="18"/>
          <w:szCs w:val="18"/>
          <w:color w:val="auto"/>
        </w:rPr>
        <w:t>The Core Portfolio consists of cash and investment grade fixed income securities. Our objective in the Core Portfolio is to earn attractive risk-adjusted returns with a low risk of loss of principal. We use a third-party manager to manage the Core Portfolio.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Loans</w:t>
      </w:r>
    </w:p>
    <w:p>
      <w:pPr>
        <w:spacing w:after="0" w:line="121"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The Bank Loan portfolio primarily consists of investments in participations in syndicated bank loans, but may also include a small allocation of bonds. Bank loans in our portfolio are generally senior secured loans with an average credit quality of “B” as of December 31, 2018 and floating interest rates based on spreads over LIBOR.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5 years). We invest in this asset class by owning individual loan participations that are carried at amortized cost less any loan loss allowance. We have over nine years of experience in investing in this asset class through a third-party manager.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Yield Portfolio</w:t>
      </w:r>
    </w:p>
    <w:p>
      <w:pPr>
        <w:spacing w:after="0" w:line="121" w:lineRule="exact"/>
        <w:rPr>
          <w:sz w:val="20"/>
          <w:szCs w:val="20"/>
          <w:color w:val="auto"/>
        </w:rPr>
      </w:pPr>
    </w:p>
    <w:p>
      <w:pPr>
        <w:jc w:val="both"/>
        <w:ind w:right="140" w:firstLine="351"/>
        <w:spacing w:after="0" w:line="266" w:lineRule="auto"/>
        <w:rPr>
          <w:sz w:val="20"/>
          <w:szCs w:val="20"/>
          <w:color w:val="auto"/>
        </w:rPr>
      </w:pPr>
      <w:r>
        <w:rPr>
          <w:rFonts w:ascii="Times New Roman" w:cs="Times New Roman" w:eastAsia="Times New Roman" w:hAnsi="Times New Roman"/>
          <w:sz w:val="18"/>
          <w:szCs w:val="18"/>
          <w:color w:val="auto"/>
        </w:rPr>
        <w:t>The Incremental Yield Portfolio consists of investments in low investment grade and below investment grade bonds, preferred stocks, dividend paying common equities and exchange traded funds. The average credit quality of the fixed income securities in this portfolio as of December 31, 2018 is BBB. We generally invest in fixed income securities where we believe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that risk of default is low relative to the potential yield on the securities. We own preferred stocks, generally in the financial services industry. In some instances, we will purchase common equity securities and exchange traded funds. However, these purchases are generally used as an effective means to get access to a high yielding asset class. As of December 31, 2018, only $9.5 million of the Incremental Yield Portfolio is invested in common equities and exchange traded funds.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Portfolio</w:t>
      </w:r>
    </w:p>
    <w:p>
      <w:pPr>
        <w:spacing w:after="0" w:line="12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We make selective investments in private debt or equity securities in areas where we see significant opportunity or attractive risk and return characteristics. We focus on investments where we believe we have an understanding of the risk and opportunity and have the ability to monitor them closely. At December 31, 2018, we held 11 private investments with a total carrying value of $73.6 million. Our portfolio consists of investments in wind and solar energy, banking, small cap equities, loans of middle market private equity sponsored companies, equity tranches of collateralized loan obligations (CLOs), and tranches of distressed home loans. We are opportunistic in our private investment strategy and our portfolio may grow or shrink based on the opportunities available to us. Despite being only 4.3% of our portfolio, we believe our Private Investment Portfolio has added meaningful returns to our tangible equity. Our Private Investment strategy has significant risk and not all investments are successful. As a result, we intentionally keep this portfolio as a small portion of the overall investment portfolio.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total returns on our portfolio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15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15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Trailing 3 years</w:t>
            </w:r>
          </w:p>
        </w:tc>
        <w:tc>
          <w:tcPr>
            <w:tcW w:w="0" w:type="dxa"/>
            <w:vAlign w:val="bottom"/>
          </w:tcPr>
          <w:p>
            <w:pPr>
              <w:spacing w:after="0"/>
              <w:rPr>
                <w:sz w:val="1"/>
                <w:szCs w:val="1"/>
                <w:color w:val="auto"/>
              </w:rPr>
            </w:pPr>
          </w:p>
        </w:tc>
      </w:tr>
      <w:tr>
        <w:trPr>
          <w:trHeight w:val="195"/>
        </w:trPr>
        <w:tc>
          <w:tcPr>
            <w:tcW w:w="49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Ended 2018</w:t>
            </w: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14.09%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Incremental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returns are calculated as the realized or unrealized gain or loss of an asset plus interest and dividends paid while the asset is held.</w:t>
      </w:r>
    </w:p>
    <w:p>
      <w:pPr>
        <w:spacing w:after="0" w:line="11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We consider a portion of our investment portfolio to be invested in non-traditional investments. We consider non-traditional investments to include investments that are (1) not rated bond or fixed income securities (2) non-listed equities or (3) investments that generally have less liquidity than rated bond or fixed income securities or listed equities. Non-traditional investments held at December 31, 2018 and their respective percentage of our total invested assets at such date consist of syndicated bank loans (15.6%), interests in limited liability companies that invest in renewable energy opportunities (1.8%), limited partnerships that invest in debt or equity securities (1.7%), notes receivable for renewable energy projects (0.5%), and a private debt security (0.3%). We will continue to actively review opportunities to invest in non-traditional assets and may invest in additional non-traditional assets in the future.</w:t>
      </w:r>
    </w:p>
    <w:p>
      <w:pPr>
        <w:spacing w:after="0" w:line="80"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Our invested assets totaled $1,677.8 million as of December 31, 2018. The weighted average credit rating of our portfolio of fixed maturity securities, bank loans and redeemable preferred stocks as of December 31, 2018 was “A”. We have intentionally maintained a cautious interest rate risk position by having an average duration of 3.4 years at December 31, 2018. This compares to an average duration at December 31, 2017 of 3.5 years. Based on the current duration of 3.4 years, a 1.0% increase in interest rates would result in a pre-tax decline in the market value of our portfolio of approximately $55.1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Cycle Management and Growth</w:t>
      </w:r>
    </w:p>
    <w:p>
      <w:pPr>
        <w:spacing w:after="0" w:line="121"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The insurance and reinsurance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need to raise insurance prices to improve underwriting results in order to offset loss of investment income.</w:t>
      </w:r>
    </w:p>
    <w:p>
      <w:pPr>
        <w:spacing w:after="0" w:line="80" w:lineRule="exact"/>
        <w:rPr>
          <w:sz w:val="20"/>
          <w:szCs w:val="20"/>
          <w:color w:val="auto"/>
        </w:rPr>
      </w:pPr>
    </w:p>
    <w:p>
      <w:pPr>
        <w:ind w:right="200" w:firstLine="351"/>
        <w:spacing w:after="0" w:line="266" w:lineRule="auto"/>
        <w:rPr>
          <w:sz w:val="20"/>
          <w:szCs w:val="20"/>
          <w:color w:val="auto"/>
        </w:rPr>
      </w:pPr>
      <w:r>
        <w:rPr>
          <w:rFonts w:ascii="Times New Roman" w:cs="Times New Roman" w:eastAsia="Times New Roman" w:hAnsi="Times New Roman"/>
          <w:sz w:val="18"/>
          <w:szCs w:val="18"/>
          <w:color w:val="auto"/>
        </w:rPr>
        <w:t>We are currently in a growth phase for our U.S. primary operations. In both our Excess and Surplus Lines and Specialty Admitted Insurance segments, we are experiencing growth in premiums driven by stable rates as well as increases in policy count and exposures. The table below shows the changes in gross written premiums we have experienced in our operating segments from 2016 through 2018.</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Written Premiums</w:t>
            </w:r>
          </w:p>
        </w:tc>
        <w:tc>
          <w:tcPr>
            <w:tcW w:w="320" w:type="dxa"/>
            <w:vAlign w:val="bottom"/>
          </w:tcPr>
          <w:p>
            <w:pPr>
              <w:spacing w:after="0"/>
              <w:rPr>
                <w:sz w:val="22"/>
                <w:szCs w:val="22"/>
                <w:color w:val="auto"/>
              </w:rPr>
            </w:pPr>
          </w:p>
        </w:tc>
        <w:tc>
          <w:tcPr>
            <w:tcW w:w="10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22"/>
                <w:szCs w:val="22"/>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22"/>
                <w:szCs w:val="22"/>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2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5"/>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656,538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530,120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370,844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374,346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182,221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135,889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235,355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184,333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4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1,166,773</w:t>
            </w:r>
          </w:p>
        </w:tc>
        <w:tc>
          <w:tcPr>
            <w:tcW w:w="100" w:type="dxa"/>
            <w:vAlign w:val="bottom"/>
            <w:tcBorders>
              <w:top w:val="single" w:sz="8" w:color="CCEEFF"/>
            </w:tcBorders>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1,081,905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737,398</w:t>
            </w:r>
          </w:p>
        </w:tc>
        <w:tc>
          <w:tcPr>
            <w:tcW w:w="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-891540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-891540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20" w:firstLine="351"/>
        <w:spacing w:after="0" w:line="266" w:lineRule="auto"/>
        <w:rPr>
          <w:sz w:val="20"/>
          <w:szCs w:val="20"/>
          <w:color w:val="auto"/>
        </w:rPr>
      </w:pPr>
      <w:r>
        <w:rPr>
          <w:rFonts w:ascii="Times New Roman" w:cs="Times New Roman" w:eastAsia="Times New Roman" w:hAnsi="Times New Roman"/>
          <w:sz w:val="18"/>
          <w:szCs w:val="18"/>
          <w:color w:val="auto"/>
        </w:rPr>
        <w:t>In years prior to those presented, the business written at our U.S. primary operations has, at times, been subject to “soft” market conditions, reflected both in price decreases and reduced underlying exposures. The recession in the United States from 2008 to 2010 was a significant driver of these soft market conditions.</w:t>
      </w:r>
    </w:p>
    <w:p>
      <w:pPr>
        <w:spacing w:after="0" w:line="68" w:lineRule="exact"/>
        <w:rPr>
          <w:sz w:val="20"/>
          <w:szCs w:val="20"/>
          <w:color w:val="auto"/>
        </w:rPr>
      </w:pPr>
    </w:p>
    <w:p>
      <w:pPr>
        <w:ind w:right="40" w:firstLine="351"/>
        <w:spacing w:after="0" w:line="276" w:lineRule="auto"/>
        <w:rPr>
          <w:sz w:val="20"/>
          <w:szCs w:val="20"/>
          <w:color w:val="auto"/>
        </w:rPr>
      </w:pPr>
      <w:r>
        <w:rPr>
          <w:rFonts w:ascii="Times New Roman" w:cs="Times New Roman" w:eastAsia="Times New Roman" w:hAnsi="Times New Roman"/>
          <w:sz w:val="17"/>
          <w:szCs w:val="17"/>
          <w:color w:val="auto"/>
        </w:rPr>
        <w:t>Our Excess and Surplus Lines segment is the most sensitive to hard and soft markets. We have, therefore, sought to diversify this business by geography, line of business and revenue stream. From 2006 to 2010, we reduced the gross written premiums in this business from $249.1 million to $116.1 million, or</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53.4%. While we have been growing this business and achieving increasing or stable rates for several periods through December 31, 2018, there will likely be periods in the future where our growth moderates, stagnates or turns negative.</w:t>
      </w:r>
    </w:p>
    <w:p>
      <w:pPr>
        <w:spacing w:after="0" w:line="72" w:lineRule="exact"/>
        <w:rPr>
          <w:sz w:val="20"/>
          <w:szCs w:val="20"/>
          <w:color w:val="auto"/>
        </w:rPr>
      </w:pPr>
    </w:p>
    <w:p>
      <w:pPr>
        <w:ind w:right="240" w:firstLine="351"/>
        <w:spacing w:after="0" w:line="282" w:lineRule="auto"/>
        <w:rPr>
          <w:sz w:val="20"/>
          <w:szCs w:val="20"/>
          <w:color w:val="auto"/>
        </w:rPr>
      </w:pPr>
      <w:r>
        <w:rPr>
          <w:rFonts w:ascii="Times New Roman" w:cs="Times New Roman" w:eastAsia="Times New Roman" w:hAnsi="Times New Roman"/>
          <w:sz w:val="18"/>
          <w:szCs w:val="18"/>
          <w:color w:val="auto"/>
        </w:rPr>
        <w:t>The Excess and Surplus Lines segment has historically been able to make an underwriting profit regardless of the state of the underwriting cycle. This segment's weighted average combined ratio for 2010 through 2018 is 86.7%.</w:t>
      </w:r>
    </w:p>
    <w:p>
      <w:pPr>
        <w:spacing w:after="0" w:line="54" w:lineRule="exact"/>
        <w:rPr>
          <w:sz w:val="20"/>
          <w:szCs w:val="20"/>
          <w:color w:val="auto"/>
        </w:rPr>
      </w:pPr>
    </w:p>
    <w:p>
      <w:pPr>
        <w:ind w:right="120" w:firstLine="351"/>
        <w:spacing w:after="0" w:line="266" w:lineRule="auto"/>
        <w:rPr>
          <w:sz w:val="20"/>
          <w:szCs w:val="20"/>
          <w:color w:val="auto"/>
        </w:rPr>
      </w:pPr>
      <w:r>
        <w:rPr>
          <w:rFonts w:ascii="Times New Roman" w:cs="Times New Roman" w:eastAsia="Times New Roman" w:hAnsi="Times New Roman"/>
          <w:sz w:val="18"/>
          <w:szCs w:val="18"/>
          <w:color w:val="auto"/>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spacing w:after="0" w:line="68"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A material portion of the profitability we seek to achieve from our fronting business will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We have $319.1 million of gross written premiums for fronting and program business for 2018 ($30.5 million on a net basis), and we expect our fee income will continue to grow in future periods and provide us with a steady revenue stream that will be relatively insulated from conditions in the admitted insurance market.</w:t>
      </w:r>
    </w:p>
    <w:p>
      <w:pPr>
        <w:spacing w:after="0" w:line="76" w:lineRule="exact"/>
        <w:rPr>
          <w:sz w:val="20"/>
          <w:szCs w:val="20"/>
          <w:color w:val="auto"/>
        </w:rPr>
      </w:pPr>
    </w:p>
    <w:p>
      <w:pPr>
        <w:jc w:val="both"/>
        <w:ind w:right="140" w:firstLine="351"/>
        <w:spacing w:after="0" w:line="261" w:lineRule="auto"/>
        <w:rPr>
          <w:sz w:val="20"/>
          <w:szCs w:val="20"/>
          <w:color w:val="auto"/>
        </w:rPr>
      </w:pPr>
      <w:r>
        <w:rPr>
          <w:rFonts w:ascii="Times New Roman" w:cs="Times New Roman" w:eastAsia="Times New Roman" w:hAnsi="Times New Roman"/>
          <w:sz w:val="18"/>
          <w:szCs w:val="18"/>
          <w:color w:val="auto"/>
        </w:rPr>
        <w:t>In the Casualty Reinsurance segment, we have the ability to manage the cycle by growing or shrinking our business according to market conditions and the corresponding prices and terms being offered for the assumption of specific risks. We have a small team of nine people in Bermuda who underwrite and administer the business written by JRG Re in Bermuda. Accordingly, our overhead is low and does not necessitate us growing this business from its current size.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We compete in a variety of markets against a variety of competitors depending on the nature of the risk and coverage being underwritten. The competition for any one account may range from large international firms to smaller regional companies in the domiciles in which we operate. To remain competitive, our strategy includes, among other measures: (1) focusing on rate adequacy and underwriting discipline, (2) leveraging our distribution network,</w:t>
      </w:r>
    </w:p>
    <w:p>
      <w:pPr>
        <w:spacing w:after="0" w:line="2" w:lineRule="exact"/>
        <w:rPr>
          <w:sz w:val="20"/>
          <w:szCs w:val="20"/>
          <w:color w:val="auto"/>
        </w:rPr>
      </w:pPr>
    </w:p>
    <w:p>
      <w:pPr>
        <w:ind w:right="860"/>
        <w:spacing w:after="0" w:line="365" w:lineRule="auto"/>
        <w:rPr>
          <w:sz w:val="20"/>
          <w:szCs w:val="20"/>
          <w:color w:val="auto"/>
        </w:rPr>
      </w:pPr>
      <w:r>
        <w:rPr>
          <w:rFonts w:ascii="Times New Roman" w:cs="Times New Roman" w:eastAsia="Times New Roman" w:hAnsi="Times New Roman"/>
          <w:sz w:val="18"/>
          <w:szCs w:val="18"/>
          <w:color w:val="auto"/>
        </w:rPr>
        <w:t xml:space="preserve">(3) controlling expenses, (4) maintaining financial strength and issuer credit ratings and (5) providing quality services to agents and policyholders. </w:t>
      </w:r>
      <w:r>
        <w:rPr>
          <w:rFonts w:ascii="Times New Roman" w:cs="Times New Roman" w:eastAsia="Times New Roman" w:hAnsi="Times New Roman"/>
          <w:sz w:val="18"/>
          <w:szCs w:val="18"/>
          <w:b w:val="1"/>
          <w:bCs w:val="1"/>
          <w:i w:val="1"/>
          <w:iCs w:val="1"/>
          <w:color w:val="auto"/>
        </w:rPr>
        <w:t>Excess and Surplus Lines</w:t>
      </w: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Competition within the E&amp;S lines marketplace comes from a wide range of carriers. In addition to mature E&amp;S companies that operate nationwide, there is competition from carriers formed in recent years. The Excess and Surplus Lines segment may also compete with national and regional carriers from the standard market willing to underwrite selected accounts on an admitted basis. Competitors in this segment include ACE Westchester Specialty Group, Admiral Insurance Company (W. R. Berkley Corporation), AmRisc Insurance Company (BB&amp;T - Branch Banking &amp; Trust Company), Apollo Syndicate, Arrowhead General Insurance Agency, Inc., Axis Insurance Company (Axis Capital Holdings Limited), Beazley Group (Lloyd’s), Brit Insurance (Lloyd’s), Colony Specialty Insurance Company (Argo Group International Holdings, Ltd.), Evanston Insurance Company (Markel Corporation), First Mercury Insurance Company (Fairfax Financial Holdings, Ltd.), Gemini Insurance Company (W. R. Berkley Corporation), Hiscox Insurance Company (Lloyd’s), Houston Casualty Company (a subsidiary of Tokio Marine HCC), Integrity Insurance, Kinsale Capital Group, Landmark American Insurance Company (RSUI Group - Alleghany Corporation), Lexington Insurance Company (American International Group, Inc.), Markel Corporation, Mt. Hawley Insurance Company (RLI Corp.), Navigators Insurance Company, OneBeacon (Intact Financial Corporation), RLI Corp., RSUI Group, Inc. (Alleghany Corporation), Scottsdale Insurance Company (Nationwide Mutual Group), Starr Insurance Company (C.V. Starr &amp; Company), United Specialty Insurance Company, Ventus Risk Management (utilizing XL Catlin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640"/>
        <w:spacing w:after="0" w:line="375" w:lineRule="auto"/>
        <w:rPr>
          <w:sz w:val="20"/>
          <w:szCs w:val="20"/>
          <w:color w:val="auto"/>
        </w:rPr>
      </w:pPr>
      <w:r>
        <w:rPr>
          <w:rFonts w:ascii="Times New Roman" w:cs="Times New Roman" w:eastAsia="Times New Roman" w:hAnsi="Times New Roman"/>
          <w:sz w:val="18"/>
          <w:szCs w:val="18"/>
          <w:color w:val="auto"/>
        </w:rPr>
        <w:t xml:space="preserve">Insurance Company paper - hedge fund and private investors for capital), and other large national and multi-national insurance carriers. </w:t>
      </w:r>
      <w:r>
        <w:rPr>
          <w:rFonts w:ascii="Times New Roman" w:cs="Times New Roman" w:eastAsia="Times New Roman" w:hAnsi="Times New Roman"/>
          <w:sz w:val="18"/>
          <w:szCs w:val="18"/>
          <w:b w:val="1"/>
          <w:bCs w:val="1"/>
          <w:i w:val="1"/>
          <w:iCs w:val="1"/>
          <w:color w:val="auto"/>
        </w:rPr>
        <w:t>Specialty Admitted Insurance</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Due to the diverse nature of the products offered by the Specialty Admitted Insurance segment, competition comes from various sources. The majority of the competition for our workers’ compensation business comes from regional companies or regional subsidiaries of national carriers in the domiciles in which they operate. National carriers tend to compete for fronting and program accounts along all product lines. Competitors in our workers’ compensation business include Builders Mutual Insurance Company, Accident Fund Insurance Company of America, W. R. Berkley Corporation, American Interstate Insurance Company (AMERISAFE, Inc.), and Amtrust Group. Competition for our fronting business includes State National (now part of Markel), Argo Group, Clear Blue, Spinnaker, Trisura, Red Point, Equity Insurance Company, Worth Insurance, Amtrust, and various Texas based county mutual insurance companies.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Casualty Reinsurance</w:t>
      </w:r>
    </w:p>
    <w:p>
      <w:pPr>
        <w:spacing w:after="0" w:line="121"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The reinsurance industry is highly competitive. We expect to compete with major reinsurers, most of which are well-established, have a significant operating history and strong financial strength ratings and have developed long-standing client relationships. Competitors in this segment include AXA XL, Hamilton Re, MS Amlin, Odyssey Re, Sompo International Re, Tokio Millenium Re, Transatlantic Re, and various LLoyd's syndicates.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Insurance Regulation</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Insurance Act 1978 and related rules and regulations (the “Insurance Act”), which regulates the insurance business of both Carolina Re and JRG Re, provides that no person shall carry on insurance business in or from within Bermuda unless registered as an insurer under the Insurance Act by the Bermuda Monetary Authority (the “BMA”). The BMA, in deciding whether to grant registration,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its complying with the terms of its registration and such other conditions as the BMA may impose at any time.</w:t>
      </w:r>
    </w:p>
    <w:p>
      <w:pPr>
        <w:spacing w:after="0" w:line="8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It is not necessary that the insurance company be incorporated in Bermuda. A foreign corporation may obtain a permit under the Companies Act of Bermuda, 1981 (the “Companies Act”) to carry on business in Bermuda and then be registered as an insurer in Bermuda under the Insurance Act.</w:t>
      </w:r>
    </w:p>
    <w:p>
      <w:pPr>
        <w:spacing w:after="0" w:line="5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Insurance Act does not distinguish between insurers and reinsurers; companies are registered (licensed) under the Insurance Act as “insurers” (although in certain circumstances a condition to registration may be imposed to the effect that the company may carry on only reinsurance business). The Insurance Act uses the defined term “insurance business” to include reinsurance business.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Insurance Act also grants to the BMA powers to supervise, investigate and intervene in the affairs of insurance companies.</w:t>
      </w:r>
    </w:p>
    <w:p>
      <w:pPr>
        <w:spacing w:after="0" w:line="11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An Insurance Advisory Committee appointed by the Bermuda Minister of Finance advises the BMA on matters connected with the discharge of the BMA’s functions and subcommittees thereof supervise, investigate and review the law and practice of insurance in Bermuda, including reviews of accounting and administrative procedures.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Insurance Act imposes solvency and liquidity standards on Bermuda insurance companies, as well as auditing and reporting requirements.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significant aspects of the Bermuda insurance regulatory framework applicable to Class 3A insurers and/or Class 3B insurers are set forth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Insurers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Insurance Act distinguishes between insurers carrying on long-term business, insurers carrying on general business and insurers carrying on special purpose business. There are six classifications of insurers carrying on general business, ranging from Class 1 insurers (pure captives) to Class 4 insurers (large commercial underwriters). Carolina Re is licensed as a Class 3A insurer and JRG Re is licensed as a Class 3B insurer and each is regulated as such under the Insurance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Paid-Up Share Capital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Class 3A insurer and a Class 3B insurer are each required to maintain fully paid up share capital of at least $120,000.</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Representative and Principal Office</w:t>
      </w:r>
    </w:p>
    <w:p>
      <w:pPr>
        <w:spacing w:after="0" w:line="121" w:lineRule="exact"/>
        <w:rPr>
          <w:sz w:val="20"/>
          <w:szCs w:val="20"/>
          <w:color w:val="auto"/>
        </w:rPr>
      </w:pPr>
    </w:p>
    <w:p>
      <w:pPr>
        <w:ind w:right="120" w:firstLine="324"/>
        <w:spacing w:after="0" w:line="228" w:lineRule="auto"/>
        <w:rPr>
          <w:sz w:val="20"/>
          <w:szCs w:val="20"/>
          <w:color w:val="auto"/>
        </w:rPr>
      </w:pPr>
      <w:r>
        <w:rPr>
          <w:rFonts w:ascii="Times New Roman" w:cs="Times New Roman" w:eastAsia="Times New Roman" w:hAnsi="Times New Roman"/>
          <w:sz w:val="18"/>
          <w:szCs w:val="18"/>
          <w:color w:val="auto"/>
        </w:rPr>
        <w:t>A Class 3A insurer and a Class 3B insurer are each required to maintain a principal office and to appoint and maintain a principal representative in Bermuda. For the purposes of the Insurance Act, the principal office of Carolina Re and JRG Re is located at Wellesley House,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Floor, 90 Pitts Bay Road, Pembroke, HM 08, Bermuda. Carolina Re’s and JRG Re’s principal representative is Helen Gillis, the Chief Financial Officer of JRG Re.</w:t>
      </w:r>
    </w:p>
    <w:p>
      <w:pPr>
        <w:spacing w:after="0" w:line="9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Without a reason acceptable to the BMA, an insurer may not terminate the appointment of its principal representative, and the principal representative may not cease to act as such, unless 30 days’ prior notice in writing to the BMA is given of the intention to do so.</w:t>
      </w:r>
    </w:p>
    <w:p>
      <w:pPr>
        <w:spacing w:after="0" w:line="54" w:lineRule="exact"/>
        <w:rPr>
          <w:sz w:val="20"/>
          <w:szCs w:val="20"/>
          <w:color w:val="auto"/>
        </w:rPr>
      </w:pPr>
    </w:p>
    <w:p>
      <w:pPr>
        <w:jc w:val="both"/>
        <w:ind w:right="120" w:firstLine="324"/>
        <w:spacing w:after="0" w:line="256" w:lineRule="auto"/>
        <w:rPr>
          <w:sz w:val="20"/>
          <w:szCs w:val="20"/>
          <w:color w:val="auto"/>
        </w:rPr>
      </w:pPr>
      <w:r>
        <w:rPr>
          <w:rFonts w:ascii="Times New Roman" w:cs="Times New Roman" w:eastAsia="Times New Roman" w:hAnsi="Times New Roman"/>
          <w:sz w:val="18"/>
          <w:szCs w:val="18"/>
          <w:color w:val="auto"/>
        </w:rPr>
        <w:t>It is the duty of the principal representative to forthwith notify the BMA where the principal representative reaches the view that there is a likelihood of the insurer (for which the principal representative acts) becoming insolvent, or on it coming to the knowledge of the principal representative, or the principal representative has reasonable grounds for believing, that a reportable “event” has occurred. Examples of a reportable “event” include a failure by the insurer to comply substantially with a condition imposed upon it by the BMA relating to a solvency margin or a liquidity or other ratio, a significant loss reasonably likely to cause the insurer to fail to comply with its enhanced capital requirement (discussed below) and the occurrence of a material change (as such term is defined under the Insurance Act) in its business operations.</w:t>
      </w:r>
    </w:p>
    <w:p>
      <w:pPr>
        <w:spacing w:after="0" w:line="80"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Within 14 days of such notification to the BMA, the principal representative must furnish the BMA with a written report setting out all the particulars of the case that are available to the principal representative.</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Where there has been a significant loss which is reasonably likely to cause the insurer to fail to comply with its enhanced capital requirement, the principal representative must also furnish the BMA with a capital and solvency return reflecting an enhanced capital requirement prepared using post-loss data. The principal representative must provide this within 45 days of notifying the BMA regarding the loss.</w:t>
      </w:r>
    </w:p>
    <w:p>
      <w:pPr>
        <w:spacing w:after="0" w:line="6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Furthermore, where a notification has been made to the BMA regarding a material change, the principal representative has 30 days from the date of such notification to furnish the BMA with unaudited interim statutory financial statements in relation to such period as the BMA may require, together with a general business solvency certificate in respect of those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 Office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Class 3A insurer and a Class 3B insurer shall each maintain its head office in Bermuda. In determining whether the insurer satisfies this requirement, the BMA shall consider,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following factors: (i) where the underwriting, risk management and operational decision making of the insurer occurs;</w:t>
      </w:r>
    </w:p>
    <w:p>
      <w:pPr>
        <w:ind w:firstLine="8"/>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presence of senior executives who are responsible for, and involved in, the decision making related to the insurance business of the insurer are located in Bermuda; and (iii) where meetings of the board of directors of the insurer occur. In making its determination, the BMA may also have regard to (a) the location where management of the insurer meets to effect policy decisions of the insurer; (b) the residence of the officers, insurance managers or employees of the insurer; and (c) the residence of one or more directors of the insurer in Bermuda. This provision does not apply to an insurer that has a permit to conduct business in Bermuda under the Companies Act or the Non-Resident Insurance Undertakings Act 1967.</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Reserve Specialist</w:t>
      </w:r>
    </w:p>
    <w:p>
      <w:pPr>
        <w:spacing w:after="0" w:line="121" w:lineRule="exact"/>
        <w:rPr>
          <w:sz w:val="20"/>
          <w:szCs w:val="20"/>
          <w:color w:val="auto"/>
        </w:rPr>
      </w:pPr>
    </w:p>
    <w:p>
      <w:pPr>
        <w:jc w:val="both"/>
        <w:ind w:right="160" w:firstLine="351"/>
        <w:spacing w:after="0" w:line="266" w:lineRule="auto"/>
        <w:rPr>
          <w:sz w:val="20"/>
          <w:szCs w:val="20"/>
          <w:color w:val="auto"/>
        </w:rPr>
      </w:pPr>
      <w:r>
        <w:rPr>
          <w:rFonts w:ascii="Times New Roman" w:cs="Times New Roman" w:eastAsia="Times New Roman" w:hAnsi="Times New Roman"/>
          <w:sz w:val="18"/>
          <w:szCs w:val="18"/>
          <w:color w:val="auto"/>
        </w:rPr>
        <w:t>A Class 3A insurer and a Class 3B insurer are each required to appoint an individual approved by the BMA to be its loss reserve specialist. In order to qualify as an approved loss reserve specialist, the applicant must be an individual qualified to provide an opinion in accordance with the requirements of the Insurance Act and the BMA must be satisfied that the individual is fit and proper to hold such an appointment.</w:t>
      </w:r>
    </w:p>
    <w:p>
      <w:pPr>
        <w:spacing w:after="0" w:line="6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 Class 3A insurer and a Class 3B insurer are each required to submit annually an opinion of its approved loss reserve specialist with its capital and solvency return in respect of its total general business insurance technical provisions (i.e. the aggregate of its net premium provisions, net loss and loss expense provisions and risk margin, as each is reported in the insurer’s statutory economic balance sheet). The loss reserve specialist’s opinion must state, among other things, whether or not the aggregate amount of technical provisions shown in the statutory economic balance sheet as at the end of the relevant financial year (i) meets the requirements of the Insurance Act and (ii) makes reasonable provision for the total technical provisions of the insurer under the terms of its insurance contracts and agreements.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Financial Statements</w:t>
      </w:r>
    </w:p>
    <w:p>
      <w:pPr>
        <w:spacing w:after="0" w:line="121" w:lineRule="exact"/>
        <w:rPr>
          <w:sz w:val="20"/>
          <w:szCs w:val="20"/>
          <w:color w:val="auto"/>
        </w:rPr>
      </w:pPr>
    </w:p>
    <w:p>
      <w:pPr>
        <w:ind w:right="140" w:firstLine="351"/>
        <w:spacing w:after="0" w:line="266" w:lineRule="auto"/>
        <w:rPr>
          <w:sz w:val="20"/>
          <w:szCs w:val="20"/>
          <w:color w:val="auto"/>
        </w:rPr>
      </w:pPr>
      <w:r>
        <w:rPr>
          <w:rFonts w:ascii="Times New Roman" w:cs="Times New Roman" w:eastAsia="Times New Roman" w:hAnsi="Times New Roman"/>
          <w:sz w:val="18"/>
          <w:szCs w:val="18"/>
          <w:color w:val="auto"/>
        </w:rPr>
        <w:t>A Class 3A insurer and Class 3B insurer are each required to prepare and submit to the BMA, on an annual basis, audited financial statements which have been prepared under generally accepted accounting principles or international financial reporting standards (“GAAP financial statements”) and audited statutory financial statements.</w:t>
      </w:r>
    </w:p>
    <w:p>
      <w:pPr>
        <w:spacing w:after="0" w:line="68" w:lineRule="exact"/>
        <w:rPr>
          <w:sz w:val="20"/>
          <w:szCs w:val="20"/>
          <w:color w:val="auto"/>
        </w:rPr>
      </w:pPr>
    </w:p>
    <w:p>
      <w:pPr>
        <w:ind w:right="120" w:firstLine="351"/>
        <w:spacing w:after="0" w:line="282" w:lineRule="auto"/>
        <w:rPr>
          <w:sz w:val="20"/>
          <w:szCs w:val="20"/>
          <w:color w:val="auto"/>
        </w:rPr>
      </w:pPr>
      <w:r>
        <w:rPr>
          <w:rFonts w:ascii="Times New Roman" w:cs="Times New Roman" w:eastAsia="Times New Roman" w:hAnsi="Times New Roman"/>
          <w:sz w:val="18"/>
          <w:szCs w:val="18"/>
          <w:color w:val="auto"/>
        </w:rPr>
        <w:t>The Insurance Act prescribes rules for the preparation and substance of statutory financial statements (which include, in statutory form, a balance sheet, an income statement, a statement of capital and surplus and notes thereto). The statutory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include detailed information and analysis regarding premiums, claims, reinsurance and investments of the insurer.</w:t>
      </w:r>
    </w:p>
    <w:p>
      <w:pPr>
        <w:spacing w:after="0" w:line="11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insurer’s annual GAAP financial statements, and the auditor’s report thereon, and the statutory financial statements are required to be filed with the BMA within four months from the end of the relevant financial year (unless specifically extended with the approval of the BMA). The statutory financial statements do not form a part of the public records maintained by the BMA but the GAAP financial statements are available for public inspection.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Compliance</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At the time of filing its statutory financial statements, a Class 3A insurer and a Class 3B insurer are each also required to deliver to the BMA a declaration of compliance, in such form and with such content as may be prescribed by the BMA, declaring whether or not the insurer has, with respect to the preceding financial year (i) complied with all requirements of the minimum criteria applicable to it, (ii) complied with the minimum margin of solvency as at its financial year end, (iii) complied with the applicable enhanced capital requirements as at its financial year end, (iv) complied with applicable conditions, directions and restrictions imposed on, or approvals granted to, the insurer and (v) complied with the minimum liquidity ratio for general business as at its financial year end. The declaration of compliance is required to be signed by two directors of the insurer, and if the insurer has failed to comply with any of the requirements referenced in (i) through (v) above or observe any limitations, restrictions or conditions imposed upon the issuance of its license, if applicable, the insurer will be required to provide the BMA with particulars of such failure in writing. A Class 3A insurer and a Class 3B insurer shall be liable to a civil penalty by way of a fine for failure to comply with a duty imposed on it in connection with the delivery of the declaration of compliance.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Statutory Financial Return and Annual Capital and Solvency Return</w:t>
      </w:r>
    </w:p>
    <w:p>
      <w:pPr>
        <w:spacing w:after="0" w:line="121"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A Class 3A insurer and a Class 3B insurer are each required to file with the BMA a statutory financial return no later than four months after its financial year end (unless specifically extended with the approval of the BMA).</w:t>
      </w:r>
    </w:p>
    <w:p>
      <w:pPr>
        <w:spacing w:after="0" w:line="54" w:lineRule="exact"/>
        <w:rPr>
          <w:sz w:val="20"/>
          <w:szCs w:val="20"/>
          <w:color w:val="auto"/>
        </w:rPr>
      </w:pPr>
    </w:p>
    <w:p>
      <w:pPr>
        <w:ind w:right="100" w:firstLine="351"/>
        <w:spacing w:after="0" w:line="282" w:lineRule="auto"/>
        <w:rPr>
          <w:sz w:val="20"/>
          <w:szCs w:val="20"/>
          <w:color w:val="auto"/>
        </w:rPr>
      </w:pPr>
      <w:r>
        <w:rPr>
          <w:rFonts w:ascii="Times New Roman" w:cs="Times New Roman" w:eastAsia="Times New Roman" w:hAnsi="Times New Roman"/>
          <w:sz w:val="18"/>
          <w:szCs w:val="18"/>
          <w:color w:val="auto"/>
        </w:rPr>
        <w:t>The statutory financial return of an insurer shall consist of (i) an insurer information sheet, (ii) an auditor’s report, (iii) the statutory financial statements and (iv) notes to the statutory financial statements.</w:t>
      </w:r>
    </w:p>
    <w:p>
      <w:pPr>
        <w:spacing w:after="0" w:line="54" w:lineRule="exact"/>
        <w:rPr>
          <w:sz w:val="20"/>
          <w:szCs w:val="20"/>
          <w:color w:val="auto"/>
        </w:rPr>
      </w:pPr>
    </w:p>
    <w:p>
      <w:pPr>
        <w:ind w:right="240" w:firstLine="351"/>
        <w:spacing w:after="0" w:line="261" w:lineRule="auto"/>
        <w:rPr>
          <w:sz w:val="20"/>
          <w:szCs w:val="20"/>
          <w:color w:val="auto"/>
        </w:rPr>
      </w:pPr>
      <w:r>
        <w:rPr>
          <w:rFonts w:ascii="Times New Roman" w:cs="Times New Roman" w:eastAsia="Times New Roman" w:hAnsi="Times New Roman"/>
          <w:sz w:val="18"/>
          <w:szCs w:val="18"/>
          <w:color w:val="auto"/>
        </w:rPr>
        <w:t>The insurer information sheet shall state, among other matters, (i) whether the general purpose financial statements of the insurer for the relevant year have been audited and an unqualified opinion issued, (ii) the minimum margin of solvency applying to the insurer and whether such margin was met,</w:t>
      </w:r>
    </w:p>
    <w:p>
      <w:pPr>
        <w:jc w:val="both"/>
        <w:ind w:firstLine="8"/>
        <w:spacing w:after="0" w:line="254"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minimum liquidity ratio applying to the insurer for the relevant year was met and (iv) whether or not the insurer has complied with every condition attached to its certificate of registration. The insurer information sheet shall state if any of the questions identified in items (ii), (iii) or (iv) above is answered in the negative, whether or not the insurer has taken corrective action in any case and, where the insurer has taken such action, describe the action in an attached statement.</w:t>
      </w:r>
    </w:p>
    <w:p>
      <w:pPr>
        <w:spacing w:after="0" w:line="78" w:lineRule="exact"/>
        <w:rPr>
          <w:sz w:val="20"/>
          <w:szCs w:val="20"/>
          <w:color w:val="auto"/>
        </w:rPr>
      </w:pPr>
    </w:p>
    <w:p>
      <w:pPr>
        <w:ind w:right="420" w:firstLine="351"/>
        <w:spacing w:after="0" w:line="282" w:lineRule="auto"/>
        <w:rPr>
          <w:sz w:val="20"/>
          <w:szCs w:val="20"/>
          <w:color w:val="auto"/>
        </w:rPr>
      </w:pPr>
      <w:r>
        <w:rPr>
          <w:rFonts w:ascii="Times New Roman" w:cs="Times New Roman" w:eastAsia="Times New Roman" w:hAnsi="Times New Roman"/>
          <w:sz w:val="18"/>
          <w:szCs w:val="18"/>
          <w:color w:val="auto"/>
        </w:rPr>
        <w:t>The directors are required to certify whether the minimum solvency margin has been met, and the independent approved auditor is required to state whether in its opinion it was reasonable for the directors to make this certification.</w:t>
      </w:r>
    </w:p>
    <w:p>
      <w:pPr>
        <w:spacing w:after="0" w:line="54" w:lineRule="exact"/>
        <w:rPr>
          <w:sz w:val="20"/>
          <w:szCs w:val="20"/>
          <w:color w:val="auto"/>
        </w:rPr>
      </w:pPr>
    </w:p>
    <w:p>
      <w:pPr>
        <w:ind w:right="300" w:firstLine="351"/>
        <w:spacing w:after="0" w:line="282" w:lineRule="auto"/>
        <w:rPr>
          <w:sz w:val="20"/>
          <w:szCs w:val="20"/>
          <w:color w:val="auto"/>
        </w:rPr>
      </w:pPr>
      <w:r>
        <w:rPr>
          <w:rFonts w:ascii="Times New Roman" w:cs="Times New Roman" w:eastAsia="Times New Roman" w:hAnsi="Times New Roman"/>
          <w:sz w:val="18"/>
          <w:szCs w:val="18"/>
          <w:color w:val="auto"/>
        </w:rPr>
        <w:t>Where an insurer’s accounts have been audited for any purpose other than compliance with the Insurance Act, a statement to that effect must be filed with the statutory financial return.</w:t>
      </w:r>
    </w:p>
    <w:p>
      <w:pPr>
        <w:spacing w:after="0" w:line="54"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addition, each year the insurer is required to file with the BMA a capital and solvency return along with its annual statutory financial return. The prescribed form of capital and solvency return comprises the insurer’s Bermuda Solvency Capital Requirement (“BSCR”) model or an approved internal capital model in lieu thereof, together with such schedules as prescribed by the Insurance (Prudential Standards) (Class 3A Solvency Requirement) Rules 2011 for Class 3A insurers and the Insurance (Prudential Standards) (Class 4 and 3B Solvency Requirement) Rules 2008 for Class 3B insurers, respectively, as each are amended from time to time.</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the statutory financial return nor the capital and solvency return is available for public inspection.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Financial Return</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Class 3B insurer, not otherwise subject to group supervision, is required to prepare and file quarterly financial returns with the BMA on or before the last day of the months of May, August and November of each year. The quarterly financial returns consist of (i) quarterly unaudited financial statements for each financial quarter (which must minimally include a balance sheet and income statement and must also be recent and not reflect a financial position that exceeds two months), (ii) a list and details of material intra-group transactions that the Class 3B insurer is a party to and the Class 3B insurer’s risk concentrations that have materialized since the most recent quarterly or annual financial returns, details surrounding all intra-group reinsurance and retrocession arrangements and other intra-group risk transfer insurance business arrangements that have materialized since the most recent quarterly or annual financial returns and (iii) details of the ten largest exposures to</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820"/>
        <w:spacing w:after="0" w:line="375" w:lineRule="auto"/>
        <w:rPr>
          <w:sz w:val="20"/>
          <w:szCs w:val="20"/>
          <w:color w:val="auto"/>
        </w:rPr>
      </w:pPr>
      <w:r>
        <w:rPr>
          <w:rFonts w:ascii="Times New Roman" w:cs="Times New Roman" w:eastAsia="Times New Roman" w:hAnsi="Times New Roman"/>
          <w:sz w:val="18"/>
          <w:szCs w:val="18"/>
          <w:color w:val="auto"/>
        </w:rPr>
        <w:t xml:space="preserve">unaffiliated counterparties and any other unaffiliated counterparty exposures exceeding 10% of the Class 3B insurer’s statutory capital and surplus. </w:t>
      </w:r>
      <w:r>
        <w:rPr>
          <w:rFonts w:ascii="Times New Roman" w:cs="Times New Roman" w:eastAsia="Times New Roman" w:hAnsi="Times New Roman"/>
          <w:sz w:val="18"/>
          <w:szCs w:val="18"/>
          <w:b w:val="1"/>
          <w:bCs w:val="1"/>
          <w:i w:val="1"/>
          <w:iCs w:val="1"/>
          <w:color w:val="auto"/>
        </w:rPr>
        <w:t>Public Disclosures</w:t>
      </w:r>
    </w:p>
    <w:p>
      <w:pPr>
        <w:spacing w:after="0" w:line="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Pursuant to recent amendments to the Insurance Act, all commercial insurers and insurance groups are required to prepare and file with the BMA, and also publish on their web site, a financial condition report. The BMA has discretion to approve modifications and exemptions to the public disclosure rules on application by the insurer if, among other things, the BMA is satisfied that the disclosure of certain information will result in a competitive disadvantage or compromise confidentiality obligations of the insurer.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Approved Auditor</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Class 3A insurer and a Class 3B insurer must each appoint an independent auditor who will audit and report on the insurer’s GAAP financial statements and statutory financial statements,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Non-insurance Business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 Class 3A insurer or Class 3B insurer may engage in non-insurance business unless that non-insurance business is ancillary to its core business. Non-insurance business means any business other than insurance business and includes carrying on investment business, managing an investment fund as operator, carrying on business as a fund administrator, carrying on banking business, underwriting debt or securities or otherwise engaging in investment banking, engaging in commercial or industrial activities and carrying on the business of management, sales or leasing of real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Liquidity Ratio</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Insurance Act provides a minimum liquidity ratio for general business insurers. A Class 3A insurer and a Class 3B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reinsurance balances receivable, funds held by ceding reinsurers and any other assets which the BMA, on application in any particular case made to it with reasons, accepts in that case.</w:t>
      </w:r>
    </w:p>
    <w:p>
      <w:pPr>
        <w:spacing w:after="0" w:line="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relevant liabilities are total general business insurance reserves and total other liabilities less deferred income taxes and letters of credit, guarantees and other instruments.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Solvency Margin and Enhanced Capital Requirements</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Insurance Act provides that the value of the statutory assets of an insurer must exceed the value of its statutory liabilities by an amount greater than its prescribed minimum solvency margin (“MSM”).</w:t>
      </w:r>
    </w:p>
    <w:p>
      <w:pPr>
        <w:spacing w:after="0" w:line="5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MSM that must be maintained by a Class 3A insurer and a Class 3B insurer with respect to its general business is the greater of (i) $1,000,000, (ii) 20% of the first $6,000,000 of net premiums written (but if the net premiums written are in excess of $6,000,000, the figure is $1,200,000 plus 15% of net premiums written in excess of $6,000,000) or (iii) 15% of the aggregate of net loss and loss expense provisions and other insurance reserves or (iv) 25% of the ECR (as defined below) as reported at the end of the relevant year.</w:t>
      </w:r>
    </w:p>
    <w:p>
      <w:pPr>
        <w:spacing w:after="0" w:line="7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Class 3A insurers and Class 3B insurers are also required to maintain available statutory economic capital and surplus at a level equal to or in excess of its enhanced capital requirement (“ECR”) which is established by reference to either the BSCR model or an approved internal capital model.</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BSCR model is a risk-based capital model which provides a method for determining an insurer’s capital requirements (statutory economic capital and surplus) by taking into account the risk characteristics of different aspects of the insurer’s business. The BSCR formula establishes capital requirements for ten categories of risk: fixed income investment risk, equity investment risk, interest rate/liquidity risk, currency risk, concentration risk, premium risk, reserve risk, credit risk, catastrophe risk and operational risk. For each category, the capital requirement is determined by applying factors to asset, premium, reserve, creditor, probable maximum loss and operation items, with higher factors applied to items with greater underlying risk and lower factors for less risky items.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While not specifically referred to in the Insurance Act (or required thereunder), the BMA has also established a target capital level (“TCL”) for each Class 3A insurer and Class 3B insurer equal to 120% of its ECR. The TCL serves as an early warning tool for the BMA, and failure to maintain statutory capital at least equal to the TCL will likely result in increased regulatory oversight.</w:t>
      </w:r>
    </w:p>
    <w:p>
      <w:pPr>
        <w:spacing w:after="0" w:line="6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Any insurer which at any time fails to meet its MSM requirements must, upon becoming aware of such failure, immediately notify the BMA and, within 14 days thereafter, file a written report with the BMA containing particulars of the circumstances that gave rise to the failure and setting out its plan detailing specific actions to be taken and the expected timeframe in which the insurer intends to rectify the failure.</w:t>
      </w:r>
    </w:p>
    <w:p>
      <w:pPr>
        <w:spacing w:after="0" w:line="6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Any insurer which at any time fails to meet its applicable enhanced capital requirement shall, upon becoming aware of that failure or of having reason to believe that such a failure has occurred, immediately notify the BMA in writing and within 14 days of such notification file with the BMA a written report containing particulars of the circumstances leading to the failure, and a plan detailing the manner, specific actions to be taken and time within which the insurer intends to rectify the failure, and within 45 days of becoming aware of that failure or of having reason to believe that such a failure has occurred, furnish the BMA with (i) unaudited statutory economic balance sheets and unaudited interim statutory financial statements prepared in accordance with GAAP covering such period as the BMA may require; (ii) the opinion of a loss reserve specialist in relation to the total general business insurance technical provisions as set out in the economic balance sheet, where applicable; (iii) a general business solvency certificate in respect of the financial statements; and (iv) a capital and solvency return reflecting an enhanced capital requirement prepared using post failure data where applicable.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Eligible Capital</w:t>
      </w:r>
    </w:p>
    <w:p>
      <w:pPr>
        <w:spacing w:after="0" w:line="121"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To enable the BMA to better assess the quality of an insurer’s capital resources, a Class 3A insurer and a Class 3B insurer are each required to disclose the makeup of its capital in accordance with the recently introduced “3-tiered eligible capital system”. Under this system, all of the insurer’s capital instruments will be classified as either basic or ancillary capital which in turn will be classified into one of three tiers based on their “loss absorbency” characteristics. Highest quality capital will be classified Tier 1 Capital, and lesser quality capital will be classified as either Tier 2 Capital or Tier 3 Capital. Under this regime, up to certain specified percentages of Tier 1, Tier 2 and Tier 3 Capital may be used to support the insurer’s MSM, ECR and TCL.</w:t>
      </w:r>
    </w:p>
    <w:p>
      <w:pPr>
        <w:spacing w:after="0" w:line="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characteristics of the capital instruments that must be satisfied to qualify as Tier 1, Tier 2 and Tier 3 Capital are set out in the Insurance (Eligible Capital) Rules 2012, and amendments thereto. Under these rules, Tier 1, Tier 2 and Tier 3 Capital may, until January 1, 2026, include capital instruments that do not satisfy the requirement that the instrument be non-redeemable or settled only with the issuance of an instrument of equal or higher quality upon a breach, or if it would cause a breach, of the ECR.</w:t>
      </w:r>
    </w:p>
    <w:p>
      <w:pPr>
        <w:spacing w:after="0" w:line="7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Where the BMA has previously approved the use of certain instruments for capital purposes, the BMA’s consent will need to be obtained if such instruments are to remain eligible for use in satisfying the MSM and the ECR.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Insurance Code of Conduct (the “Insurance Code”) prescribes the duties, standards, procedures and sound business principles that must be complied with by all insurers registered under the Insurance Act. The BMA will assess an insurer’s compliance with the Insurance Code in a proportional manner relative to the nature, scale and complexity of its business. Failure to comply with the requirements of the Insurance Code will be taken into account by the BMA in determining whether an insurer is conducting its business in a sound and prudent manner as prescribed by the Insurance Act, may result in the BMA exercising its powers of intervention and investigation (see below) and will be a factor in calculating the operational risk charge under the insurer’s BSCR or approved internal model.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Dividends and Distributions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 Class 3A insurer and a Class 3B insurer are each prohibited from declaring or paying a dividend if it is in breach of its MSM, ECR or minimum liquidity ratio or if the declaration or payment of such dividend would cause such a breach. Where an insurer fails to meet its MSM or minimum liquidity ratio on the last day of any financial year, it will be prohibited from declaring or paying any dividends during the next financial year without the approval of the BMA.</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Class 3A insurer and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of Capital</w:t>
      </w:r>
    </w:p>
    <w:p>
      <w:pPr>
        <w:spacing w:after="0" w:line="121" w:lineRule="exact"/>
        <w:rPr>
          <w:sz w:val="20"/>
          <w:szCs w:val="20"/>
          <w:color w:val="auto"/>
        </w:rPr>
      </w:pPr>
    </w:p>
    <w:p>
      <w:pPr>
        <w:ind w:right="180" w:firstLine="351"/>
        <w:spacing w:after="0" w:line="266" w:lineRule="auto"/>
        <w:rPr>
          <w:sz w:val="20"/>
          <w:szCs w:val="20"/>
          <w:color w:val="auto"/>
        </w:rPr>
      </w:pPr>
      <w:r>
        <w:rPr>
          <w:rFonts w:ascii="Times New Roman" w:cs="Times New Roman" w:eastAsia="Times New Roman" w:hAnsi="Times New Roman"/>
          <w:sz w:val="18"/>
          <w:szCs w:val="18"/>
          <w:color w:val="auto"/>
        </w:rPr>
        <w:t>No Class 3A insurer or Class 3B insurer may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 (such as letters of credit).</w:t>
      </w:r>
    </w:p>
    <w:p>
      <w:pPr>
        <w:spacing w:after="0" w:line="68"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 Class 3A insurer or Class 3B insurer seeking to reduce its respective statutory capital by 15% or more, as set out in its previous year’s financial statements, is also required to submit an affidavit signed by at least two directors (one of whom must be a Bermuda-resident director if any of the insurer’s directors are resident in Bermuda) and the principal representative stating that the proposed reduction will not cause it to fail its relevant margins and such other information as the BMA may require. Where such an affidavit is filed, it shall be available for public inspection at the offices of the BMA.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Priority</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July 30, 2018, the Insurance Amendment (No. 2) Act 2018 amended the Insurance Act to provide for the prior payment of policyholders’ liabilities ahead of general unsecured creditors in the event of the liquidation or winding up of an insurer. The amendments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subject to the prior payment of preferential debts under the Employment Act 2000 and the Companies Act, the insurance debts of an insurer must be paid in priority to all other unsecured debts of the insurer. Insurance debt is defined as a debt to which an insurer is or may become liable pursuant to an insurance contract, excluding debts owed to an insurer under an insurance contract where the insurer is the person insured. Insurance contract is defined as any contract of insurance, capital redemption contract or a contract that has been recorded as insurance business in the financial statements of the insurer pursuant to the Insurance Accounts 1981 or the Insurance Account Rules 2016, as applicable. The provisions became effective on January 1,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Fit and Proper Controller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BMA maintains supervision over the controllers of all registered insurers in Bermuda.</w:t>
      </w:r>
    </w:p>
    <w:p>
      <w:pPr>
        <w:spacing w:after="0" w:line="117"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A controller includes (i) the managing director of the registered insurer or its parent company, (ii) the chief executive of the registered insurer or of its parent company, (iii) a shareholder controller, and (iv) any person in accordance with whose directions or instructions the directors of the registered insurer or of its parent company are accustomed to act.</w:t>
      </w:r>
    </w:p>
    <w:p>
      <w:pPr>
        <w:spacing w:after="0" w:line="68"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The definition of shareholder controller is set out in the Insurance Act, but generally refers to (i) a person who holds 10% or more of the shares carrying rights to vote at a shareholders’ meeting of the registered insurer or its parent company, (ii) a person who is entitled to exercise 10% or more of the voting power at any shareholders’ meeting of such registered insurer or its parent company, or (iii) a person who is able to exercise significant influence over the management of the registered insurer or its parent company by virtue of its shareholding or its entitlement to exercise, or control the exercise of, the voting power at any shareholders’ meeting.</w:t>
      </w:r>
    </w:p>
    <w:p>
      <w:pPr>
        <w:spacing w:after="0" w:line="76"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A shareholder controller that owns 10% or more, but less than 20% of the shares as described above is defined as a 10% shareholder controller. A shareholder controller that owns 20% or more, but less than 33% of the shares as described above is defined as a 20% shareholder controller. A shareholder controller that owns 33% or more but less than 50% of the shares as described above is defined as a 33% shareholder controller. A shareholder controller that owns 50% or more of the shares as described above is defined as a 50% shareholder controller.</w:t>
      </w:r>
    </w:p>
    <w:p>
      <w:pPr>
        <w:spacing w:after="0" w:line="72"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As the shares of Carolina Re’s and JRG Re’s parent company are traded on a recognized stock exchange, a person who becomes a 10%, 20%, 33% or 50% shareholder controller of the insurer, shall, within 45 days, notify the BMA in writing that he or she has become such a controller. In addition, a person who is a shareholder controller of Carolina Re or JRG Re must serve on the BMA a notice in writing that he or she has reduced or disposed of his or her holding in the insurer where the proportion of voting rights in the insurer held by him or her will have reached or has fallen below 10%, 20%, 33% or 50% as the case may be, not later than 45 days after such disposal.</w:t>
      </w:r>
    </w:p>
    <w:p>
      <w:pPr>
        <w:spacing w:after="0" w:line="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Any person who contravenes the Insurance Act by failing to give notice or knowingly becomes a controller of any description before the required 45 days has elapsed is guilty of an offence and liable to a fine of $25,000 on summary conviction.</w:t>
      </w:r>
    </w:p>
    <w:p>
      <w:pPr>
        <w:spacing w:after="0" w:line="5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BMA may file a notice of objection to any person who has become a controller of any description where it appears that such person is not or is no longer, a fit and proper person to be a controller of the registered insurer. Before issuing a notice of objection, the BMA is required to serve upon the person concerned a preliminary written notice stating the BMA’s intention to issue formal notice of objection. Upon receipt of the preliminary written notice, the person served may, within 28 days, file written representations with the BMA, which shall be taken into account by the BMA in making their final determination. Any person who continues to be a controller of any description after having received a notice of objection shall be guilty of an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offense and shall be liable on summary conviction to a fine of $25,000 (and a continuing fine of $500 per day for each day that the offense is continuing) or, if convicted on indictment, to a fine of $100,000 and/or two years in prison.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by Registered Person of Change of Controllers and Officers</w:t>
      </w:r>
    </w:p>
    <w:p>
      <w:pPr>
        <w:spacing w:after="0" w:line="12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All registered insurers are required to give written notice to the BMA of the fact that a person has become, or ceased to be, a controller or officer of the insurer within 45 days of becoming aware of such fact. An officer in relation to a registered insurer means a director, chief executive or senior executive performing duties of underwriting, actuarial, risk management, compliance, internal audit, finance or investment matters.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of Material Changes</w:t>
      </w:r>
    </w:p>
    <w:p>
      <w:pPr>
        <w:spacing w:after="0" w:line="12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All registered insurers are required to give notice to the BMA of their intention to effect a material change within the meaning of the Insurance Act. For the purposes of the Insurance Act, the following changes are material: (i) the transfer or acquisition of insurance business being part of a scheme falling under Section 25 of the Insurance Act or Section 99 of the Companies Act, (ii) the amalgamation with or acquisition of another firm, (iii) engaging in unrelated business that is retail business, (iv) the acquisition of a controlling interest in an undertaking that is engaged in non-insurance business which offers services and products to persons who are not affiliates of the insurer, (v) outsourcing all or substantially all of the company’s actuarial, risk management compliance or internal audit functions, (vi) outsourcing all or a material part of an insurer’s underwriting activity, (vii) the transfer other than by way of reinsurance of all or substantially all of a line of business, (viii) expansion into a material new line of business, (ix) the sale of an insurer, and (x) outsourcing of an officer role.</w:t>
      </w:r>
    </w:p>
    <w:p>
      <w:pPr>
        <w:spacing w:after="0" w:line="81"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No registered insurer shall take any steps to give effect to a material change unless it has first served notice on the BMA that it intends to effect such material change, and before the end of 30 days, either the BMA has notified such company in writing that it has no objection to such change or that period has lapsed without the BMA having issued a notice of objection.</w:t>
      </w:r>
    </w:p>
    <w:p>
      <w:pPr>
        <w:spacing w:after="0" w:line="6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Supervision</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BMA may, in respect of an insurance group, determine whether it is appropriate for it to act as its group supervisor. An insurance group is defined as a group of companies that conducts insurance business. The BMA may make such determination where it ascertains that (i) the group is headed by a “specified insurer” (that is to say, it is headed by either a Class 3A, Class 3B or Class 4 general business insurer or a Class C, Class D or Class E long term insurer or another class of insurer designated by order of the BMA); or (ii) where the insurance group is not headed by a “specified insurer”, where it is headed by a parent company which is incorporated in Bermuda or (iii) where the parent company of the group is not a Bermuda company, in circumstances where the BMA is satisfied that the insurance group is directed and managed from Bermuda or the insurer with the largest balance sheet total is a specified insurer.</w:t>
      </w:r>
    </w:p>
    <w:p>
      <w:pPr>
        <w:spacing w:after="0" w:line="8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Where the BMA determines that it should act as the group supervisor, it shall designate a specified insurer that is a member of the insurance group to be the designated insurer (the “Designated Insurer”) and it shall give to the Designated Insurer and other applicable insurance regulatory authority written notice of its intention to act as group supervisor. Before the BMA makes a final determination whether or not to act as group supervisor, it shall take into account any written representations made by the Designated Insurer submitted within such period as is specified in the notice.</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BMA may exclude any company that is a member of an insurance group from group supervision on the application of the Designated Insurer, or on its own initiative, provided the BMA is satisfied that (i) the company is situated in a country or territory where there are legal impediments to cooperation and exchange of information, (ii) the financial operations of the company have a negligible impact on insurance group operations or (iii) the inclusion of the company would be inappropriate with respect to the objectives of group supervision.</w:t>
      </w:r>
    </w:p>
    <w:p>
      <w:pPr>
        <w:spacing w:after="0" w:line="72"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The BMA may, on its own initiative or on the application of the relevant Designated Insurer, include within group supervision a company that is a member of the group that is not on the Register of Group Particulars (described below) if it is satisfied the financial operations of the company in question may have a material impact on the insurance group’s operations and its inclusion would be appropriate having regard to the objectives of group supervision.</w:t>
      </w:r>
    </w:p>
    <w:p>
      <w:pPr>
        <w:spacing w:after="0" w:line="5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Once the BMA has been designated as group supervisor, the Designated Insurer must ensure that the insurance group of which it is a member appoints (i) an individual approved by the BMA who is qualified as a group actuary to provide an opinion on the insurance group’s insurance technical provisions in accordance with the requirements of Schedule XIV “Group Statutory Economic Balance Sheet” of the Insurance (Prudential Standards) (Insurance Group Solvency Requirement) Rules 2011 and (ii) an auditor approved by the BMA to audit the financial statements of the group.</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Pursuant to its powers under the Insurance Act, the BMA will maintain a register of particulars for every insurance group (the “Register of Group Particulars”) for which it acts as the group supervisor, detailing the names and addresses of (i) the Designated Insurer; (ii) each member company of the insurance group falling within the scope of group supervision; (iii) the principal representative of the insurance group in Bermuda; (iv) other competent authorities supervising other member companies of the insurance group; and (v) the insurance group auditors. The Designated Insurer must immediately notify the BMA of any changes to the above details entered on the Register of Group Particulars.</w:t>
      </w:r>
    </w:p>
    <w:p>
      <w:pPr>
        <w:spacing w:after="0" w:line="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group supervisor, the BMA will perform a number of supervisory functions including (i) coordinating the gathering and dissemination of relevant or essential information for going concerns and emergency situations, including the dissemination of information which is of importance for the supervisory task of other competent authorities; (ii) carrying out supervisory reviews and assessments of the insurance group; (iii) carrying out assessments of the insurance group’s compliance with the rules on solvency, risk concentration, intra-group transactions and good governance procedures; (iv) planning and coordinating through regular meetings held at least annually (or by other appropriate means) with other competent authorities, supervisory activities in respect of the insurance group, both as a going concern and in emergency situations; (v) coordinating enforcement actions that may need to be taken against the insurance group or any of its members; and (vi) planning and coordinating meetings of colleges of supervisors in order to facilitate the carrying out of the functions described above.</w:t>
      </w:r>
    </w:p>
    <w:p>
      <w:pPr>
        <w:spacing w:after="0" w:line="7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BMA may, for the purposes of group supervision, make rules applying to Designated Insurers which take into account any activities of the insurance group of which they are members or of other members of the insurance group. Such rules may make provision for the assessment of the financial situation of the insurance group; the solvency position of the insurance group (including the imposition of prudential standards in relation to enhanced capital requirements, capital and solvency returns, insurance reserves and eligible capital that must be complied with by the Designated Insurers); the system of governance and risk management of the insurance group; intra-group transactions and risk concentrations; and supervisory reporting and disclosure in respect of the insurance group.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Supervision, Investigation, Intervention and Disclosure</w:t>
      </w:r>
    </w:p>
    <w:p>
      <w:pPr>
        <w:spacing w:after="0" w:line="12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The BMA may, by notice in writing served on a registered person or a designated insurer, require the registered person or designated insurer to provide such information and/or documentation as the BMA may reasonably require with respect to matters that are likely to be material to the performance of its supervisory functions under the Insurance Act. In addition, it may require such person’s auditor, underwriter, accountant or any other person with relevant professional skill of such registered person or designated insurer to prepare a report on any aspect pertaining thereto. In the case of a report, the person so appointed shall immediately give the BMA written notice of any fact or matter of which he becomes aware or which indicates to him that any condition attaching to his registration under the Insurance Act is not or has not, or may not be or may not have, been fulfilled and that such matters are likely to be material to the performance of its functions under the Insurance Act. If it appears to the BMA to be desirable in the interests of the clients of a registered person or relevant insurance group, the BMA may also exercise these powers in relation to subsidiaries, parent companies and other affiliates of the registered person or designated insurer.</w:t>
      </w:r>
    </w:p>
    <w:p>
      <w:pPr>
        <w:spacing w:after="0" w:line="8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If the BMA deems it necessary to protect the interests of the policyholders or potential policyholders of an insurer or insurance group, it may appoint one or more competent persons to investigate and report on the nature, conduct or state of the insurer’s or the insurance group’s business, or any aspect thereof, or the ownership or control of the insurer or insurance group. If the person so appointed thinks it necessary for the purposes of the investigation, such person may also investigate the business of any person who is or has been, at any relevant time, a member of the insurance group or of a partnership of which the person being investigated is a member. In this regard, it shall be the duty of every person who is or was a controller, officer, employee, agent, banker, auditor, accountant, barrister and attorney or insurance manager to produce to the person appointed such documentation as the appointed person may reasonably require for purposes of the investigation, and to attend and answer questions relevant to the investigation and to otherwise provide such assistance as may be necessary in connection therewith.</w:t>
      </w:r>
    </w:p>
    <w:p>
      <w:pPr>
        <w:spacing w:after="0" w:line="7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Where the BMA suspects that a person has failed to properly register under the Insurance Act or that a registered person or designated insurer has failed to comply with a requirement of the Insurance Act or that a person is not, or is no longer, a fit and proper person to perform functions in relation to a regulated activity, it may, by notice in writing, carry out an investigation into such person (or any other person connected thereto). In connection therewith, the BMA may require every person who is or was a controller, officer, employee, agent, banker, auditor, accountant, barrister and attorney or insurance manager to make a report and produce such documents in his care, custody and control and to attend before the BMA to answer questions relevant to the BMA’s investigation and to take such actions as the BMA may direct. The BMA may also enter any premises for the purposes of carrying out its investigation and may petition the court for a warrant if it believes a person has failed to comply with a notice served on him, there are reasonable grounds for suspecting the information or documentation produced in response to such notice is incomplete, or that its directions will not be complied with or that any relevant documents would be removed, tampered with or destroyed.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0" w:firstLine="351"/>
        <w:spacing w:after="0" w:line="268" w:lineRule="auto"/>
        <w:rPr>
          <w:sz w:val="20"/>
          <w:szCs w:val="20"/>
          <w:color w:val="auto"/>
        </w:rPr>
      </w:pPr>
      <w:r>
        <w:rPr>
          <w:rFonts w:ascii="Times New Roman" w:cs="Times New Roman" w:eastAsia="Times New Roman" w:hAnsi="Times New Roman"/>
          <w:sz w:val="17"/>
          <w:szCs w:val="17"/>
          <w:color w:val="auto"/>
        </w:rPr>
        <w:t>If it appears to the BMA that the business of the registered insurer is being conducted in a way that there is a significant risk of the insurer becoming insolvent or being unable to meet its obligations to policyholders, or that the insurer is in breach of the Insurance Act or any conditions imposed upon its registration, or the minimum criteria stipulated in the Insurance Act is not or has not been fulfilled in respect of a registered insurer, or that a person has become a controller without providing the BMA with the appropriate notice or in contravention of a notice of objection, or the registered insurer is in breach of its ECR, or that a designated insurer is in breach of any provision of the Insurance Act or the regulations or rules applicable to it, the BMA may issue such directions as it deems desirable for safeguarding the interests of policyholders or potential policyholders of the insurer or the insurance group. The BMA may, among other things, direct an insurer, for itself and in its capacity as designated insurer of the insurance group of which it is a member, (i) not to take on any new insurance business, (ii) not to vary any insurance contract if the effect would be to increase the insurer’s liabilities, (iii) not to make certain investments,</w:t>
      </w:r>
    </w:p>
    <w:p>
      <w:pPr>
        <w:spacing w:after="0" w:line="1" w:lineRule="exact"/>
        <w:rPr>
          <w:sz w:val="20"/>
          <w:szCs w:val="20"/>
          <w:color w:val="auto"/>
        </w:rPr>
      </w:pPr>
    </w:p>
    <w:p>
      <w:pPr>
        <w:ind w:right="220" w:firstLine="8"/>
        <w:spacing w:after="0" w:line="253"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realize certain investments, (v) to maintain in or transfer to the custody of a specified bank, certain assets, (vi) not to declare or pay any dividends or other distributions or to restrict the making of such payments, (vii) to limit its premium income, (viii) not to enter into specified transactions with any specified person or persons of a specified class, (ix) to provide such written particulars relating to the financial circumstances of the insurer as the BMA thinks fit, (x) as an individual insurer only, and not in its capacity as designated insurer, to obtain the opinion of a loss reserve specialist and submit it to the BMA, and/or (xi) to remove a controller or officer.</w:t>
      </w:r>
    </w:p>
    <w:p>
      <w:pPr>
        <w:spacing w:after="0" w:line="7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BMA has the power to assist other regulatory authorities, including foreign insurance regulatory authorities, with their investigations involving insurance and reinsurance companies in Bermuda if it is satisfied that the assistance being requested is in connection with the discharge of regulatory responsibilities and that such cooperation is in the public interest. The grounds for disclosure by the BMA to a foreign regulatory authority without consent of the insurer are limited and the Insurance Act provides for sanctions for breach of the statutory duty of confidentiality.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Insurer’s Registration</w:t>
      </w:r>
    </w:p>
    <w:p>
      <w:pPr>
        <w:spacing w:after="0" w:line="12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An insurer’s registration may be cancelled by the BMA at the request of the insurer or on certain grounds specified in the Insurance Act. Failure by the insurer to comply with its obligations under the Insurance Act, or if the BMA believes that the insurer has not been carrying on business in accordance with sound insurance principles, would be examples of such grounds.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Other Bermuda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Bermuda Law Considerations</w:t>
      </w:r>
    </w:p>
    <w:p>
      <w:pPr>
        <w:spacing w:after="0" w:line="121" w:lineRule="exact"/>
        <w:rPr>
          <w:sz w:val="20"/>
          <w:szCs w:val="20"/>
          <w:color w:val="auto"/>
        </w:rPr>
      </w:pPr>
    </w:p>
    <w:p>
      <w:pPr>
        <w:ind w:right="140" w:firstLine="351"/>
        <w:spacing w:after="0" w:line="261" w:lineRule="auto"/>
        <w:rPr>
          <w:sz w:val="20"/>
          <w:szCs w:val="20"/>
          <w:color w:val="auto"/>
        </w:rPr>
      </w:pPr>
      <w:r>
        <w:rPr>
          <w:rFonts w:ascii="Times New Roman" w:cs="Times New Roman" w:eastAsia="Times New Roman" w:hAnsi="Times New Roman"/>
          <w:sz w:val="18"/>
          <w:szCs w:val="18"/>
          <w:color w:val="auto"/>
        </w:rPr>
        <w:t>Although James River Group Holdings, Ltd. is incorporated in Bermuda, it is designated as a non-resident for Bermuda exchange control purposes by the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spacing w:after="0" w:line="7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of James River Group Holdings, Ltd., Carolina Re and JRG Re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 . Generally, it is not permitted without a special license granted by the Minister of Finance to insure Bermuda domestic risks or risks of persons of, in or based in Bermuda. Each of Carolina Re and JRG Re is a licensed insurer in Bermuda, and so it may carry on activities from Bermuda that are related to and in support of its insurance business.</w:t>
      </w:r>
    </w:p>
    <w:p>
      <w:pPr>
        <w:spacing w:after="0" w:line="83" w:lineRule="exact"/>
        <w:rPr>
          <w:sz w:val="20"/>
          <w:szCs w:val="20"/>
          <w:color w:val="auto"/>
        </w:rPr>
      </w:pPr>
    </w:p>
    <w:p>
      <w:pPr>
        <w:ind w:right="180" w:firstLine="351"/>
        <w:spacing w:after="0" w:line="282" w:lineRule="auto"/>
        <w:rPr>
          <w:sz w:val="20"/>
          <w:szCs w:val="20"/>
          <w:color w:val="auto"/>
        </w:rPr>
      </w:pPr>
      <w:r>
        <w:rPr>
          <w:rFonts w:ascii="Times New Roman" w:cs="Times New Roman" w:eastAsia="Times New Roman" w:hAnsi="Times New Roman"/>
          <w:sz w:val="18"/>
          <w:szCs w:val="18"/>
          <w:color w:val="auto"/>
        </w:rPr>
        <w:t>Each of James River Group Holdings, Ltd., Carolina Re and JRG Re must comply with the provisions of the Companies Act regulating the payment of dividends and making distributions from contributed surplus. A company may not declare or pay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 In addition, certain provisions of the Insurance Act will limit our ability to pay dividends.</w:t>
      </w:r>
    </w:p>
    <w:p>
      <w:pPr>
        <w:spacing w:after="0" w:line="68"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Under the Companies Act, where a Bermuda company issues shares at a premium (that is, for a price above the par value), whether for cash or otherwise, a sum equal to the aggregate amount or value of the premium on those shares must be transferred 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w:t>
      </w:r>
    </w:p>
    <w:p>
      <w:pPr>
        <w:spacing w:after="0" w:line="3" w:lineRule="exact"/>
        <w:rPr>
          <w:sz w:val="20"/>
          <w:szCs w:val="20"/>
          <w:color w:val="auto"/>
        </w:rPr>
      </w:pPr>
    </w:p>
    <w:p>
      <w:pPr>
        <w:jc w:val="both"/>
        <w:ind w:firstLine="8"/>
        <w:spacing w:after="0" w:line="255"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 See “- Restrictions on Dividends and Distributions”.</w:t>
      </w:r>
    </w:p>
    <w:p>
      <w:pPr>
        <w:spacing w:after="0" w:line="7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spacing w:after="0" w:line="7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Work Permit Considerations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Under Bermuda law, non-Bermudians (other than spouses of Bermudians and individuals holding permanent resident’s certificates) may not engage in any gainful occupation in Bermuda without the appropriate government standard work permit.</w:t>
      </w:r>
    </w:p>
    <w:p>
      <w:pPr>
        <w:spacing w:after="0" w:line="5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Standard work permits can be obtained for a one-, two-, three-, four- or five-year period. Where a standard work permit is being applied for, it is a requirement that the job must be advertised for three days (within an eight-day period) in the local newspaper in addition to the Bermuda Government Job Board. Should no Bermudian (or spouse of a Bermudian or holder of a permanent resident’s certificate) meet the minimum standards as stipulated in the advertisements, the employer may then apply for a standard work permit for the non-Bermudian. Employers must complete a Recruitment Disclosure Form and provide information, including the qualifications of all applicants.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also many other documents that are required prior to the Department of Immigration making its decision.</w:t>
      </w:r>
    </w:p>
    <w:p>
      <w:pPr>
        <w:spacing w:after="0" w:line="7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If the position for which the standard work permit is being applied is that of a Chief Executive Officer or other chief officer post, the Minister of Home Affairs will waive the requirement to advertise the job and on occasion may waive the requirement to advertise for other senior executive positions.</w:t>
      </w:r>
    </w:p>
    <w:p>
      <w:pPr>
        <w:spacing w:after="0" w:line="5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If an employer wishes to change an employee’s job title, provided that the job description, duties, remuneration and benefits remain unchanged, the employer does not need to advertise or obtain the permission of the Minister of Home Affairs to do this, but it must inform the Department of Immigration and pay the necessary fee after the change has occurred.</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an employer wishes to promote an employee currently on a work permit from his current job to another within the same business, the permission of the Minister of Home Affairs must first be obtained. The employer will need to provide evidence of internal recruitment efforts and consideration of internal Bermudian candidates.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temporary work permit can take up to 10 working days to process and a standard work permit can take up to four weeks to process.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Insurance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w:t>
      </w:r>
    </w:p>
    <w:p>
      <w:pPr>
        <w:spacing w:after="0" w:line="121"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spacing w:after="0" w:line="80"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and Falls Lake National Insurance Company (formerly Stonewood National Insurance Company)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Company, this limitation is the greater of statutory net income excluding realized capital gains of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Moreover, as a condition to obtaining its license in California, Falls Lake Fire and Casualty Company provided a commitment to the California Department of Insurance that it would not pay any shareholder dividends for a five-year period commencing January 1, 2016. In addition, insurance regulators have broad powers to prevent reduction of statutory surplus to inadequate levels and could refuse to permit the payment of dividends calculated under any applicable formula.</w:t>
      </w:r>
    </w:p>
    <w:p>
      <w:pPr>
        <w:spacing w:after="0" w:line="88" w:lineRule="exact"/>
        <w:rPr>
          <w:sz w:val="20"/>
          <w:szCs w:val="20"/>
          <w:color w:val="auto"/>
        </w:rPr>
      </w:pPr>
    </w:p>
    <w:p>
      <w:pPr>
        <w:ind w:right="240" w:firstLine="351"/>
        <w:spacing w:after="0" w:line="266" w:lineRule="auto"/>
        <w:rPr>
          <w:sz w:val="20"/>
          <w:szCs w:val="20"/>
          <w:color w:val="auto"/>
        </w:rPr>
      </w:pPr>
      <w:r>
        <w:rPr>
          <w:rFonts w:ascii="Times New Roman" w:cs="Times New Roman" w:eastAsia="Times New Roman" w:hAnsi="Times New Roman"/>
          <w:sz w:val="18"/>
          <w:szCs w:val="18"/>
          <w:color w:val="auto"/>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spacing w:after="0" w:line="68" w:lineRule="exact"/>
        <w:rPr>
          <w:sz w:val="20"/>
          <w:szCs w:val="20"/>
          <w:color w:val="auto"/>
        </w:rPr>
      </w:pPr>
    </w:p>
    <w:p>
      <w:pPr>
        <w:ind w:right="60" w:firstLine="351"/>
        <w:spacing w:after="0" w:line="266" w:lineRule="auto"/>
        <w:rPr>
          <w:sz w:val="20"/>
          <w:szCs w:val="20"/>
          <w:color w:val="auto"/>
        </w:rPr>
      </w:pPr>
      <w:r>
        <w:rPr>
          <w:rFonts w:ascii="Times New Roman" w:cs="Times New Roman" w:eastAsia="Times New Roman" w:hAnsi="Times New Roman"/>
          <w:sz w:val="18"/>
          <w:szCs w:val="18"/>
          <w:color w:val="auto"/>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spacing w:after="0" w:line="68"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spacing w:after="0" w:line="72"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liquidity of the insurer or its insurance holding company system as a whole. Other changes include (i) requiring a controlling person to submit prior notice to its domiciliary insurance regulator of its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In addition, in 2012, the NAIC adopted the Risk Management and Own Risk and Solvency Assessment Model Act (the “ORSA Model Act”). The ORSA Model Act, when adopted by the various states, will require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66"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In addition to insurance holding company laws and regulations, under the organizational permit issued by the California Department of Insurance to Falls Lake Fire and Casualty Company, Falls Lake Fire and Casualty Company, as a new insurer, was required to enter into an agreement with Falls Lake National restricting the transfer of Falls Lake Fire and Casualty Company’s shares (the “Agreement Restricting Shares”) for a five-year period commencing January 1, 2016. Specifically, under the agreement, the restriction on share transfer is released automatically without further approval or consent by the California Department of Insurance, or any other party, at the following respective times: 5% at the end of the first year of the 5-year restriction period; an additional 5% at the end of the second year; an additional 10% at the end of the third year; an additional 20% at the end of the fourth year; and the remainder at the end of the fifth year. Therefore, under the organizational permit and the Agreement Restricting Shares, Falls Lake National’s ability to directly or indirectly transfer the shares of Falls Lake Fire and Casualty Company to anyone without the prior written approval of the California Department of Insurance is limited. These laws and the similar conditions applicable to Falls Lake Fire and Casualty Company’s shares may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spacing w:after="0" w:line="88" w:lineRule="exact"/>
        <w:rPr>
          <w:sz w:val="20"/>
          <w:szCs w:val="20"/>
          <w:color w:val="auto"/>
        </w:rPr>
      </w:pPr>
    </w:p>
    <w:p>
      <w:pPr>
        <w:ind w:right="20" w:firstLine="351"/>
        <w:spacing w:after="0" w:line="261" w:lineRule="auto"/>
        <w:rPr>
          <w:sz w:val="20"/>
          <w:szCs w:val="20"/>
          <w:color w:val="auto"/>
        </w:rPr>
      </w:pPr>
      <w:r>
        <w:rPr>
          <w:rFonts w:ascii="Times New Roman" w:cs="Times New Roman" w:eastAsia="Times New Roman" w:hAnsi="Times New Roman"/>
          <w:sz w:val="18"/>
          <w:szCs w:val="18"/>
          <w:color w:val="auto"/>
        </w:rPr>
        <w:t>Under state insurance guaranty fund laws, insurance companies doing business in a state can be assessed for certain obligations of insolvent insurance companies to such insolvent companies’ policyholders and claimants. Maximum assessments 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spacing w:after="0" w:line="72"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2018, the Company’s U.S.-based insurance subsidiaries had total adjusted statutory capital of $241.7 million, which is in excess of the minimum risk-based capital requirement.</w:t>
      </w:r>
    </w:p>
    <w:p>
      <w:pPr>
        <w:spacing w:after="0" w:line="77"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model legislation for states to enact in order to govern cybersecurity and data protection practices of insurers, insurance agents, and other licensed entities registered under state insurance laws. The New York Department of Financial Services issued new regulations governing cybersecurity requirements for financial services companies, which became effective on March 1, 2017. Ohio’s governor signed Substitute Senate Bill 273 (“SSB 273”) on December 19, 2018, which adopted cybersecurity requirements in Ohio that are similar to the NAIC Insurance Data Security Model Law. SSB 273 will become effective in early 2019. We are currently monitoring whether the other states in which we conduct business adopt the NAIC’s Insurance Data Security Model Law.</w:t>
      </w:r>
    </w:p>
    <w:p>
      <w:pPr>
        <w:spacing w:after="0" w:line="76" w:lineRule="exact"/>
        <w:rPr>
          <w:sz w:val="20"/>
          <w:szCs w:val="20"/>
          <w:color w:val="auto"/>
        </w:rPr>
      </w:pPr>
    </w:p>
    <w:p>
      <w:pPr>
        <w:ind w:right="320" w:firstLine="351"/>
        <w:spacing w:after="0" w:line="281" w:lineRule="auto"/>
        <w:rPr>
          <w:sz w:val="20"/>
          <w:szCs w:val="20"/>
          <w:color w:val="auto"/>
        </w:rPr>
      </w:pPr>
      <w:r>
        <w:rPr>
          <w:rFonts w:ascii="Times New Roman" w:cs="Times New Roman" w:eastAsia="Times New Roman" w:hAnsi="Times New Roman"/>
          <w:sz w:val="17"/>
          <w:szCs w:val="17"/>
          <w:color w:val="auto"/>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w:t>
      </w:r>
    </w:p>
    <w:p>
      <w:pPr>
        <w:spacing w:after="0" w:line="121"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spacing w:after="0" w:line="83"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On January 12, 2015, the Terrorism Risk Insurance Act of 2002 and its successors, the Terrorism Risk Insurance Extension Act of 2005 and the Terrorism Risk Insurance Program Reauthorization Act of 2007 (collectively, the “Terrorism Acts”), were extended until 2020.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spacing w:after="0" w:line="76"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order for a loss to be covered under the Terrorism Acts, the loss must meet the aggregate industry loss minimum and must be the result of an act of terrorism as certified by the Secretary of the Treasury. Beginning in 2016,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300" w:firstLine="351"/>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2018, 2017 and 2016, 100% of our gross written premiums and net earned premiums were generated from policies issued to U.S.-based insureds.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As of December 31, 2018, we had 750 employees located in the United States and Bermuda. All of our employees are full time. Our employees are not subject to any collective bargaining agreement and we are not aware of any current efforts to implement such an agreement. We believe we have good working relations with our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0" w:firstLine="351"/>
        <w:spacing w:after="0" w:line="282" w:lineRule="auto"/>
        <w:rPr>
          <w:sz w:val="20"/>
          <w:szCs w:val="20"/>
          <w:color w:val="auto"/>
        </w:rPr>
      </w:pPr>
      <w:r>
        <w:rPr>
          <w:rFonts w:ascii="Times New Roman" w:cs="Times New Roman" w:eastAsia="Times New Roman" w:hAnsi="Times New Roman"/>
          <w:sz w:val="18"/>
          <w:szCs w:val="18"/>
          <w:color w:val="auto"/>
        </w:rPr>
        <w:t>We use licensed and proprietary systems and technologies in our underwriting. The licenses have terms that expire at various times through 2028. We believe that we can utilize other available systems and technologies in the event that the licenses are not renewed upon their expiration.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351"/>
        <w:spacing w:after="0"/>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http://www.jrgh.net, as soon as reasonably practicable after they are filed electronically with the SEC. Copies are also available, without charge, by writing to us at James River Group Holdings, Ltd., Wellesley House,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Floor, 90 Pitts Bay Road, Pembroke, HM 08, Bermuda. The information on our web site is not a part of this Annual Report.</w:t>
      </w: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60"/>
          </w:cols>
          <w:pgMar w:left="240" w:top="122" w:right="499" w:bottom="1440" w:gutter="0" w:footer="0" w:header="0"/>
        </w:sectPr>
      </w:pPr>
    </w:p>
    <w:bookmarkStart w:id="38" w:name="page39"/>
    <w:bookmarkEnd w:id="3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5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81" w:lineRule="exact"/>
        <w:rPr>
          <w:sz w:val="20"/>
          <w:szCs w:val="20"/>
          <w:color w:val="auto"/>
        </w:rPr>
      </w:pPr>
    </w:p>
    <w:p>
      <w:pPr>
        <w:ind w:right="220" w:firstLine="351"/>
        <w:spacing w:after="0" w:line="266" w:lineRule="auto"/>
        <w:rPr>
          <w:sz w:val="20"/>
          <w:szCs w:val="20"/>
          <w:color w:val="auto"/>
        </w:rPr>
      </w:pPr>
      <w:r>
        <w:rPr>
          <w:rFonts w:ascii="Times New Roman" w:cs="Times New Roman" w:eastAsia="Times New Roman" w:hAnsi="Times New Roman"/>
          <w:sz w:val="18"/>
          <w:szCs w:val="18"/>
          <w:color w:val="auto"/>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Among the uncertainties we encounter in establishing our reserves for losses and related expenses in connection with our insurance businesses are:</w:t>
      </w:r>
    </w:p>
    <w:p>
      <w:pPr>
        <w:spacing w:after="0" w:line="144" w:lineRule="exact"/>
        <w:rPr>
          <w:sz w:val="20"/>
          <w:szCs w:val="20"/>
          <w:color w:val="auto"/>
        </w:rPr>
      </w:pPr>
    </w:p>
    <w:p>
      <w:pPr>
        <w:ind w:left="660" w:right="100" w:hanging="328"/>
        <w:spacing w:after="0" w:line="31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write “occurrence” policies in our Excess and Surplus Lines segment,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93% of our net casualty loss reserves in this segment are associated with “occurrence form” policies at December 31, 2018.</w:t>
      </w:r>
    </w:p>
    <w:p>
      <w:pPr>
        <w:spacing w:after="0" w:line="68" w:lineRule="exact"/>
        <w:rPr>
          <w:rFonts w:ascii="Times New Roman" w:cs="Times New Roman" w:eastAsia="Times New Roman" w:hAnsi="Times New Roman"/>
          <w:sz w:val="18"/>
          <w:szCs w:val="18"/>
          <w:color w:val="auto"/>
        </w:rPr>
      </w:pPr>
    </w:p>
    <w:p>
      <w:pPr>
        <w:ind w:left="660" w:right="200" w:hanging="328"/>
        <w:spacing w:after="0" w:line="32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60" w:lineRule="exact"/>
        <w:rPr>
          <w:rFonts w:ascii="Times New Roman" w:cs="Times New Roman" w:eastAsia="Times New Roman" w:hAnsi="Times New Roman"/>
          <w:sz w:val="18"/>
          <w:szCs w:val="18"/>
          <w:color w:val="auto"/>
        </w:rPr>
      </w:pPr>
    </w:p>
    <w:p>
      <w:pPr>
        <w:ind w:left="660" w:right="200" w:hanging="328"/>
        <w:spacing w:after="0" w:line="34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theories of liability are enforced retroactively from time to time by courts. See also “The effect of emerging claim and coverage issues on our business is uncertain” risk factor herein.</w:t>
      </w:r>
    </w:p>
    <w:p>
      <w:pPr>
        <w:spacing w:after="0" w:line="41" w:lineRule="exact"/>
        <w:rPr>
          <w:rFonts w:ascii="Times New Roman" w:cs="Times New Roman" w:eastAsia="Times New Roman" w:hAnsi="Times New Roman"/>
          <w:sz w:val="18"/>
          <w:szCs w:val="18"/>
          <w:color w:val="auto"/>
        </w:rPr>
      </w:pPr>
    </w:p>
    <w:p>
      <w:pPr>
        <w:ind w:left="660" w:right="220" w:hanging="328"/>
        <w:spacing w:after="0" w:line="34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41" w:lineRule="exact"/>
        <w:rPr>
          <w:rFonts w:ascii="Times New Roman" w:cs="Times New Roman" w:eastAsia="Times New Roman" w:hAnsi="Times New Roman"/>
          <w:sz w:val="18"/>
          <w:szCs w:val="18"/>
          <w:color w:val="auto"/>
        </w:rPr>
      </w:pPr>
    </w:p>
    <w:p>
      <w:pPr>
        <w:ind w:left="660" w:right="160" w:hanging="328"/>
        <w:spacing w:after="0" w:line="32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60" w:lineRule="exact"/>
        <w:rPr>
          <w:rFonts w:ascii="Times New Roman" w:cs="Times New Roman" w:eastAsia="Times New Roman" w:hAnsi="Times New Roman"/>
          <w:sz w:val="18"/>
          <w:szCs w:val="18"/>
          <w:color w:val="auto"/>
        </w:rPr>
      </w:pPr>
    </w:p>
    <w:p>
      <w:pPr>
        <w:ind w:left="660" w:right="200" w:hanging="328"/>
        <w:spacing w:after="0" w:line="34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enter new lines of insurance, and as a consequence, we sometimes have to make estimates of future losses for risk classes with which we do not have a great deal of experience. This lack of experience may contribute to making errors of judgment when establishing reserves.</w:t>
      </w:r>
    </w:p>
    <w:p>
      <w:pPr>
        <w:spacing w:after="0" w:line="14" w:lineRule="exact"/>
        <w:rPr>
          <w:sz w:val="20"/>
          <w:szCs w:val="20"/>
          <w:color w:val="auto"/>
        </w:rPr>
      </w:pPr>
    </w:p>
    <w:p>
      <w:pPr>
        <w:ind w:right="180" w:firstLine="351"/>
        <w:spacing w:after="0" w:line="261" w:lineRule="auto"/>
        <w:rPr>
          <w:sz w:val="20"/>
          <w:szCs w:val="20"/>
          <w:color w:val="auto"/>
        </w:rPr>
      </w:pPr>
      <w:r>
        <w:rPr>
          <w:rFonts w:ascii="Times New Roman" w:cs="Times New Roman" w:eastAsia="Times New Roman" w:hAnsi="Times New Roman"/>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8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lapse of time from the occurrence of an event to the reporting of the claim and the ultimate resolution or settlement of the claim.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diversity of development patterns among different types of reinsurance treaties.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reliance on the ceding company for information regarding claims.</w:t>
      </w:r>
    </w:p>
    <w:p>
      <w:pPr>
        <w:spacing w:after="0" w:line="131" w:lineRule="exact"/>
        <w:rPr>
          <w:sz w:val="20"/>
          <w:szCs w:val="20"/>
          <w:color w:val="auto"/>
        </w:rPr>
      </w:pPr>
    </w:p>
    <w:p>
      <w:pPr>
        <w:ind w:right="20" w:firstLine="351"/>
        <w:spacing w:after="0" w:line="261" w:lineRule="auto"/>
        <w:rPr>
          <w:sz w:val="20"/>
          <w:szCs w:val="20"/>
          <w:color w:val="auto"/>
        </w:rPr>
      </w:pPr>
      <w:r>
        <w:rPr>
          <w:rFonts w:ascii="Times New Roman" w:cs="Times New Roman" w:eastAsia="Times New Roman" w:hAnsi="Times New Roman"/>
          <w:sz w:val="18"/>
          <w:szCs w:val="18"/>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would also have a material adverse effect on future earnings and liquidity and financial rating, which would affect our ability to attract business and could affect our ability to retain or hire qualified personnel.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is based on estimates and judgments that are subject to significant uncertainties.</w:t>
      </w:r>
    </w:p>
    <w:p>
      <w:pPr>
        <w:spacing w:after="0" w:line="121" w:lineRule="exact"/>
        <w:rPr>
          <w:sz w:val="20"/>
          <w:szCs w:val="20"/>
          <w:color w:val="auto"/>
        </w:rPr>
      </w:pPr>
    </w:p>
    <w:p>
      <w:pPr>
        <w:ind w:right="120" w:firstLine="351"/>
        <w:spacing w:after="0" w:line="261"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spacing w:after="0" w:line="72"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future losses that could have a material adverse effect on our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management and employees or recruit other qualified personnel, we may be materially adversely affected.</w:t>
      </w:r>
    </w:p>
    <w:p>
      <w:pPr>
        <w:spacing w:after="0" w:line="12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We believe that our future success depends, in large part, on our ability to retain our experienced management team and key employees.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arrangements to our key management or employees to incentivize them to leave our Company. Furthermore, our competitors may make it more difficult for us to hire their personnel by offering excessive compensation arrangements to certain employees to induce them not to leave their current employment and bringing litigation against employees who do leave (and possibly us as well) to join us. Although we have employment agreements with all of our executive officers, we do not have employment agreements with our senior underwriters or claims personnel. We do not have key person insurance on the lives of any of our key management personnel. Our inability to attract and retain qualified personnel and the loss of services of key personnel could have a material adverse effect on our financial condition and results of operations.</w:t>
      </w:r>
    </w:p>
    <w:p>
      <w:pPr>
        <w:spacing w:after="0" w:line="77"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6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Factors such as business revenue, economic conditions, the volatility and strength of the capital markets and inflation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These outcomes would reduce our underwriting profit to the extent these factors are not reflected in the rates we charge.</w:t>
      </w:r>
    </w:p>
    <w:p>
      <w:pPr>
        <w:spacing w:after="0" w:line="7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underwrite a significant portion of our insurance in (i) the Excess and Surplus Lines segment in California, New York, Florida, Texas, and Illinois, (ii) the individual risk workers’ compensation business of the Specialty Admitted Insurance segment in North Carolina, Virginia, South Carolina and Georgia, and (iii) the fronting and program business of the Specialty Admitted Insurance segment in California, Michigan, North Carolina, New York, Pennsylvania, and New Jersey. Any economic downturn in any such state could have a material adverse effect on our financial condition and results of operations.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result in a reduction of new or renewal business.</w:t>
      </w:r>
    </w:p>
    <w:p>
      <w:pPr>
        <w:spacing w:after="0" w:line="12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Companies, insurers and reinsurance brokers use ratings from independent ratings agencies as an important means of assessing the financial strength and quality of reinsurers. A.M. Best has assigned a financial strength rating of “A” (Excellent), which is the third highest of 15 ratings that A.M. Best issues, to each of James River Insurance, James River Casualty, Falls Lake Fire and Casualty, Falls Lake National, Stonewood Insurance and JRG Re.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spacing w:after="0" w:line="12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our A.M. Best’s rating;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31"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increase collateral required for our assumed reinsurance business, or trigger termination of assumed and/or ceded reinsurance contracts.</w:t>
      </w:r>
    </w:p>
    <w:p>
      <w:pPr>
        <w:spacing w:after="0" w:line="6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recently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or reinsurance contracts. See also “Management’s Discussion and Analysis of Financial Condition and Results of Operations—Ratings.”</w:t>
      </w:r>
    </w:p>
    <w:p>
      <w:pPr>
        <w:spacing w:after="0" w:line="7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distribute products through a select group of brokers and agents, several of which account for a significant portion of our business, and there can be no assurance that such relationships will continue, or if they do continue, that the relationship will be on favorable terms to us. In addition, reliance on brokers and agents subjects us to their credit risk.</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distribute our products through a select group of brokers and agents. In 2018:</w:t>
      </w:r>
    </w:p>
    <w:p>
      <w:pPr>
        <w:spacing w:after="0" w:line="117" w:lineRule="exact"/>
        <w:rPr>
          <w:sz w:val="20"/>
          <w:szCs w:val="20"/>
          <w:color w:val="auto"/>
        </w:rPr>
      </w:pPr>
    </w:p>
    <w:p>
      <w:pPr>
        <w:ind w:left="660" w:right="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conducted business with two brokers that produced an aggregate of $439.7 million in gross written premiums, or 67.0% of that segment’s gross written premiums for the year;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conducted business with one agency that produced $201.7 million in gross written premiums, representing 53.9% of that segment’s gross written premiums for the year; and</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Casualty Reinsurance segment conducted business with two brokers that generated $96.4 million of gross written premiums, or 70.9% of that segment’s gross written premiums for the year.</w:t>
      </w:r>
    </w:p>
    <w:p>
      <w:pPr>
        <w:spacing w:after="0" w:line="54" w:lineRule="exact"/>
        <w:rPr>
          <w:sz w:val="20"/>
          <w:szCs w:val="20"/>
          <w:color w:val="auto"/>
        </w:rPr>
      </w:pPr>
    </w:p>
    <w:p>
      <w:pPr>
        <w:jc w:val="both"/>
        <w:ind w:right="100" w:firstLine="351"/>
        <w:spacing w:after="0" w:line="266" w:lineRule="auto"/>
        <w:rPr>
          <w:sz w:val="20"/>
          <w:szCs w:val="20"/>
          <w:color w:val="auto"/>
        </w:rPr>
      </w:pPr>
      <w:r>
        <w:rPr>
          <w:rFonts w:ascii="Times New Roman" w:cs="Times New Roman" w:eastAsia="Times New Roman" w:hAnsi="Times New Roman"/>
          <w:sz w:val="18"/>
          <w:szCs w:val="18"/>
          <w:color w:val="auto"/>
        </w:rPr>
        <w:t>We cannot assure you that the relationship with any of these brokers will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spacing w:after="0" w:line="68" w:lineRule="exact"/>
        <w:rPr>
          <w:sz w:val="20"/>
          <w:szCs w:val="20"/>
          <w:color w:val="auto"/>
        </w:rPr>
      </w:pPr>
    </w:p>
    <w:p>
      <w:pPr>
        <w:ind w:right="380" w:firstLine="351"/>
        <w:spacing w:after="0" w:line="282" w:lineRule="auto"/>
        <w:rPr>
          <w:sz w:val="20"/>
          <w:szCs w:val="20"/>
          <w:color w:val="auto"/>
        </w:rPr>
      </w:pPr>
      <w:r>
        <w:rPr>
          <w:rFonts w:ascii="Times New Roman" w:cs="Times New Roman" w:eastAsia="Times New Roman" w:hAnsi="Times New Roman"/>
          <w:sz w:val="18"/>
          <w:szCs w:val="18"/>
          <w:color w:val="auto"/>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or agents, are collected directly by the brokers or agents and forwarded to our insurance subsidiaries. In certain jurisdictions, when the insured pays its policy premium to brokers or agents for payment on behalf of our insurance subsidiaries, the premiums might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 material to date, there may be instances where brokers and agents collect premiums but do not remit them to us and we may be required under applicable law to provide the coverage set forth in the policy despite the absence of premiums.</w:t>
      </w:r>
    </w:p>
    <w:p>
      <w:pPr>
        <w:spacing w:after="0" w:line="77" w:lineRule="exact"/>
        <w:rPr>
          <w:sz w:val="20"/>
          <w:szCs w:val="20"/>
          <w:color w:val="auto"/>
        </w:rPr>
      </w:pPr>
    </w:p>
    <w:p>
      <w:pPr>
        <w:ind w:right="140" w:firstLine="351"/>
        <w:spacing w:after="0" w:line="266" w:lineRule="auto"/>
        <w:rPr>
          <w:sz w:val="20"/>
          <w:szCs w:val="20"/>
          <w:color w:val="auto"/>
        </w:rPr>
      </w:pPr>
      <w:r>
        <w:rPr>
          <w:rFonts w:ascii="Times New Roman" w:cs="Times New Roman" w:eastAsia="Times New Roman" w:hAnsi="Times New Roman"/>
          <w:sz w:val="18"/>
          <w:szCs w:val="18"/>
          <w:color w:val="auto"/>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spacing w:after="0" w:line="6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select group of customers for a significant portion of our business, and the loss of any of these customers, or a material reduction in business with any of these customers, would materially adversely affect our rate of growth, results of operations and financial condition.</w:t>
      </w:r>
    </w:p>
    <w:p>
      <w:pPr>
        <w:spacing w:after="0" w:line="51" w:lineRule="exact"/>
        <w:rPr>
          <w:sz w:val="20"/>
          <w:szCs w:val="20"/>
          <w:color w:val="auto"/>
        </w:rPr>
      </w:pPr>
    </w:p>
    <w:p>
      <w:pPr>
        <w:ind w:right="300" w:firstLine="351"/>
        <w:spacing w:after="0" w:line="261" w:lineRule="auto"/>
        <w:rPr>
          <w:sz w:val="20"/>
          <w:szCs w:val="20"/>
          <w:color w:val="auto"/>
        </w:rPr>
      </w:pPr>
      <w:r>
        <w:rPr>
          <w:rFonts w:ascii="Times New Roman" w:cs="Times New Roman" w:eastAsia="Times New Roman" w:hAnsi="Times New Roman"/>
          <w:sz w:val="18"/>
          <w:szCs w:val="18"/>
          <w:color w:val="auto"/>
        </w:rPr>
        <w:t>Our two largest customers accounted for approximately $294.3 million (Rasier LLC and its affiliates) and $201.7 million (Atlas General Insurance Services) of our gross written premium in 2018, representing 25.2% and 17.3% of our gross written premiums in 2018, respectively. No other insured generated 10.0% or more of consolidated gross written premiums for 2018. The loss of any of these customers, or a significant reduction in the amount of business that we conduct with such customers, could have a material adverse effect on our results of operations.</w:t>
      </w:r>
    </w:p>
    <w:p>
      <w:pPr>
        <w:spacing w:after="0" w:line="6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credit risk with regard to our reinsurance counterparties, insurance companies with which we have a fronting arrangement and an indemnification arrangement we have with an insured group of companies.</w:t>
      </w:r>
    </w:p>
    <w:p>
      <w:pPr>
        <w:spacing w:after="0" w:line="5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Although reinsurance makes the assuming reinsurer liable to us to the extent of the risk ceded, we are not relieved of our primary liability to our insureds as the direct insurer. At December 31, 2018, reinsurance recoverables on unpaid losses from our three largest reinsurers was $243.6 million in the aggregate and represented 52.1% of the total balance. Additionally, prepaid reinsurance premiums ceded to three reinsurers at December 31, 2018 was $53.7 million in the aggregate, or 47.8% of the total balance of prepaid reinsurance premiums. At December 31, 2018, all of our material reinsurance recoverable amounts are from companies with A.M. Best ratings of “A-” or better or are collateralized by the reinsurer, but we cannot be sure that our reinsurers will pay all reinsurance claims on a timely basis or at all. For example, reinsurers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to pay us does not lessen our contractual obligations to insureds. If a reinsurer fails to pay the expected portion of a claim or claims, our net losses might increase substantially and materially adversely affect our financial condition. Any disputes with reinsurers regarding coverage under reinsurance contracts could be time-consuming, costly and uncertain of success.</w:t>
      </w:r>
    </w:p>
    <w:p>
      <w:pPr>
        <w:spacing w:after="0" w:line="78"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reserve for uncollectible reinsurance. See also “Business—Purchase of Reinsurance.”</w:t>
      </w:r>
    </w:p>
    <w:p>
      <w:pPr>
        <w:spacing w:after="0" w:line="8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and in situations where we do obtain collateral for the obligations of the other insurance entity, it is possible that the collateral could be insufficient to cover all claims, either as a result of a decline in the value of the collateral, an increase in the obligation being collateralized, or a failure of management to monitor the adequacy of the collateral held. In that event, we would be contractually entitled to recovery from the entity for which we are fronting, but it is possible that, for any of a variety of reasons, the other party could default in its obligations. See also “Business — Business Segments—Specialty Admitted Insurance Segment—Fronting &amp; Program Business.”</w:t>
      </w:r>
    </w:p>
    <w:p>
      <w:pPr>
        <w:spacing w:after="0" w:line="81" w:lineRule="exact"/>
        <w:rPr>
          <w:sz w:val="20"/>
          <w:szCs w:val="20"/>
          <w:color w:val="auto"/>
        </w:rPr>
      </w:pPr>
    </w:p>
    <w:p>
      <w:pPr>
        <w:ind w:right="120" w:firstLine="351"/>
        <w:spacing w:after="0" w:line="266" w:lineRule="auto"/>
        <w:rPr>
          <w:sz w:val="20"/>
          <w:szCs w:val="20"/>
          <w:color w:val="auto"/>
        </w:rPr>
      </w:pPr>
      <w:r>
        <w:rPr>
          <w:rFonts w:ascii="Times New Roman" w:cs="Times New Roman" w:eastAsia="Times New Roman" w:hAnsi="Times New Roman"/>
          <w:sz w:val="18"/>
          <w:szCs w:val="18"/>
          <w:color w:val="auto"/>
        </w:rPr>
        <w:t>In addition, we are exposed to credit risk relating to a set of insurance contracts with an insured group of companies under which the Company pays losses and loss adjustment expenses on the contracts. The insured group of companies are contractually obligated to reimburse us for a significant portion of the losses and loss adjustment expenses paid on behalf of the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insured parties. This reimbursement obligation is supported by collateral posted for our benefit, which cash equivalent collateral had a balance of approximately $1,099.2 million as of December 31, 2018. If the insured group of companies fails to reimburse us, and the collateral posted for our benefit to support the insured group of companies' reimbursement obligations is insufficient, our financial condition and results of operations could be materially adversely affected. See "Business — Purchase of Reinsurance — Amounts Recoverable from an Indemnifying Party."</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of the loss limitations or exclusions we employ, or changes in other claims or coverage issues, could have a material adverse effect on our financial condition or results of operations.</w:t>
      </w:r>
    </w:p>
    <w:p>
      <w:pPr>
        <w:spacing w:after="0" w:line="51" w:lineRule="exact"/>
        <w:rPr>
          <w:sz w:val="20"/>
          <w:szCs w:val="20"/>
          <w:color w:val="auto"/>
        </w:rPr>
      </w:pPr>
    </w:p>
    <w:p>
      <w:pPr>
        <w:ind w:right="100" w:firstLine="351"/>
        <w:spacing w:after="0" w:line="266" w:lineRule="auto"/>
        <w:rPr>
          <w:sz w:val="20"/>
          <w:szCs w:val="20"/>
          <w:color w:val="auto"/>
        </w:rPr>
      </w:pPr>
      <w:r>
        <w:rPr>
          <w:rFonts w:ascii="Times New Roman" w:cs="Times New Roman" w:eastAsia="Times New Roman" w:hAnsi="Times New Roman"/>
          <w:sz w:val="18"/>
          <w:szCs w:val="18"/>
          <w:color w:val="auto"/>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spacing w:after="0" w:line="68"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spacing w:after="0" w:line="6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spacing w:after="0" w:line="7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exposure to losses arising from unpredictable natural disasters, terrorist acts, and other catastrophic events. Claims from these events could reduce our earnings and cause volatility in our results of operations.</w:t>
      </w:r>
    </w:p>
    <w:p>
      <w:pPr>
        <w:spacing w:after="0" w:line="51" w:lineRule="exact"/>
        <w:rPr>
          <w:sz w:val="20"/>
          <w:szCs w:val="20"/>
          <w:color w:val="auto"/>
        </w:rPr>
      </w:pPr>
    </w:p>
    <w:p>
      <w:pPr>
        <w:ind w:right="100" w:firstLine="351"/>
        <w:spacing w:after="0" w:line="266" w:lineRule="auto"/>
        <w:rPr>
          <w:sz w:val="20"/>
          <w:szCs w:val="20"/>
          <w:color w:val="auto"/>
        </w:rPr>
      </w:pPr>
      <w:r>
        <w:rPr>
          <w:rFonts w:ascii="Times New Roman" w:cs="Times New Roman" w:eastAsia="Times New Roman" w:hAnsi="Times New Roman"/>
          <w:sz w:val="18"/>
          <w:szCs w:val="18"/>
          <w:color w:val="auto"/>
        </w:rPr>
        <w:t>We have exposure to losses arising from unpredictable natural disasters, terrorist acts, and other catastrophic events. Natural disasters, terrorist acts, and other catastrophes can cause losses in a variety of our property-casualty lines and generally result in an increase in the number of claims filed as well as the amount of compensation sought by claimants.</w:t>
      </w:r>
    </w:p>
    <w:p>
      <w:pPr>
        <w:spacing w:after="0" w:line="68"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The incidence and severity of catastrophes and terrorist acts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reduce our earnings and cash flows, cause volatility in our results of operations and cash flows for any fiscal period or materially impact our financial condition.</w:t>
      </w:r>
    </w:p>
    <w:p>
      <w:pPr>
        <w:spacing w:after="0" w:line="6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climate conditions may increase the frequency and severity of catastrophic events and thereby adversely affect our financial condition and results.</w:t>
      </w:r>
    </w:p>
    <w:p>
      <w:pPr>
        <w:spacing w:after="0" w:line="5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growing scientific consensus that global warming and other climate changes are increasing the frequency and severity of catastrophic weather events, such as hurricanes,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losses from terrorism for which we are required by law to provide coverage regarding such losses.</w:t>
      </w:r>
    </w:p>
    <w:p>
      <w:pPr>
        <w:spacing w:after="0" w:line="121"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U.S. insurers are required by state and federal law to offer coverage for terrorism in certain commercial lines, including workers’ compensation. As discussed under “Business—Regulation—U.S. Insurance Regulation—Federal Regulation,” the Terrorism Acts require commercial property and casualty insurance companies to offer coverage for acts of terrorism, whether foreign or domestic, and established a federal assistance program through the end of 2020 to help cover claims related to future terrorism-related losses. The impact of any terrorist act is unpredictable, and the ultimate impact on us would depend upon the nature, extent, location and timing of such an act.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emerging claim and coverage issues on our business is uncertain.</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or reinsurance contracts that are affected by the changes. As a result, the full extent of liability under our insurance or reinsurance contracts may not be known for many years after a contract is issued.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Three examples of unanticipated risks that affected the insurance industry are: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 liability applied to manufacturers of products and contractors who installed those products;</w:t>
      </w:r>
    </w:p>
    <w:p>
      <w:pPr>
        <w:spacing w:after="0" w:line="144" w:lineRule="exact"/>
        <w:rPr>
          <w:rFonts w:ascii="Times New Roman" w:cs="Times New Roman" w:eastAsia="Times New Roman" w:hAnsi="Times New Roman"/>
          <w:sz w:val="18"/>
          <w:szCs w:val="18"/>
          <w:color w:val="auto"/>
        </w:rPr>
      </w:pPr>
    </w:p>
    <w:p>
      <w:pPr>
        <w:ind w:left="660" w:right="40" w:hanging="328"/>
        <w:spacing w:after="0" w:line="34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Apportionment of liability for settlement assigned to subcontractors who may have been involved in mundane tasks (such as installing sheetrock in a home); and</w:t>
      </w:r>
    </w:p>
    <w:p>
      <w:pPr>
        <w:spacing w:after="0" w:line="41" w:lineRule="exact"/>
        <w:rPr>
          <w:rFonts w:ascii="Times New Roman" w:cs="Times New Roman" w:eastAsia="Times New Roman" w:hAnsi="Times New Roman"/>
          <w:sz w:val="18"/>
          <w:szCs w:val="18"/>
          <w:color w:val="auto"/>
        </w:rPr>
      </w:pPr>
    </w:p>
    <w:p>
      <w:pPr>
        <w:ind w:left="660" w:right="120" w:hanging="328"/>
        <w:spacing w:after="0" w:line="34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Court decisions, such as the 1995 </w:t>
      </w:r>
      <w:r>
        <w:rPr>
          <w:rFonts w:ascii="Times New Roman" w:cs="Times New Roman" w:eastAsia="Times New Roman" w:hAnsi="Times New Roman"/>
          <w:sz w:val="18"/>
          <w:szCs w:val="18"/>
          <w:u w:val="single" w:color="auto"/>
          <w:color w:val="auto"/>
        </w:rPr>
        <w:t>Montrose</w:t>
      </w:r>
      <w:r>
        <w:rPr>
          <w:rFonts w:ascii="Times New Roman" w:cs="Times New Roman" w:eastAsia="Times New Roman" w:hAnsi="Times New Roman"/>
          <w:sz w:val="18"/>
          <w:szCs w:val="18"/>
          <w:color w:val="auto"/>
        </w:rPr>
        <w:t xml:space="preserve"> decision in California, that read policy exclusions narrowly so as to expand coverage, thereby requiring insurers to create and write new exclusions.</w:t>
      </w:r>
    </w:p>
    <w:p>
      <w:pPr>
        <w:spacing w:after="0" w:line="1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market and credit risks, which could result in a material adverse impact on our financial condition or results of operations.</w:t>
      </w:r>
    </w:p>
    <w:p>
      <w:pPr>
        <w:spacing w:after="0" w:line="51" w:lineRule="exact"/>
        <w:rPr>
          <w:sz w:val="20"/>
          <w:szCs w:val="20"/>
          <w:color w:val="auto"/>
        </w:rPr>
      </w:pPr>
    </w:p>
    <w:p>
      <w:pPr>
        <w:ind w:right="240" w:firstLine="351"/>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spacing w:after="0" w:line="68"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primary market risk exposures are to changes in interest rates and equity prices. See Item 7A, “Quantitative and Qualitative Disclosures About Market Risk.” In recent years, interest rates have been at or near historic lows. A protracted low interest rate environment would continue to place pressure on net investment income, particularly related to fixed income securities and short-term investments, which, in turn, may materially adversely affect our operating results. Future increases in interest rates could cause the values of our fixed income securities portfolios to decline, with the magnitude of the decline depending on the duration of our portfolio and the amount by which interest rates increase. 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spacing w:after="0" w:line="81" w:lineRule="exact"/>
        <w:rPr>
          <w:sz w:val="20"/>
          <w:szCs w:val="20"/>
          <w:color w:val="auto"/>
        </w:rPr>
      </w:pPr>
    </w:p>
    <w:p>
      <w:pPr>
        <w:ind w:right="200" w:firstLine="351"/>
        <w:spacing w:after="0" w:line="261" w:lineRule="auto"/>
        <w:rPr>
          <w:sz w:val="20"/>
          <w:szCs w:val="20"/>
          <w:color w:val="auto"/>
        </w:rPr>
      </w:pPr>
      <w:r>
        <w:rPr>
          <w:rFonts w:ascii="Times New Roman" w:cs="Times New Roman" w:eastAsia="Times New Roman" w:hAnsi="Times New Roman"/>
          <w:sz w:val="18"/>
          <w:szCs w:val="18"/>
          <w:color w:val="auto"/>
        </w:rPr>
        <w:t>The severe downturn in the public debt and equity markets beginning in 2008 resulted in significant realized and unrealized losses in our investment portfolio. In the event of another financial crisis, we could incur substantial realized and unrealized investment losses in future periods, which would have a material adverse impact on our financial condition, results of operations, debt and financial strength ratings, insurance subsidiaries’ capital liquidity and ability to access capital markets.</w:t>
      </w:r>
    </w:p>
    <w:p>
      <w:pPr>
        <w:spacing w:after="0" w:line="72" w:lineRule="exact"/>
        <w:rPr>
          <w:sz w:val="20"/>
          <w:szCs w:val="20"/>
          <w:color w:val="auto"/>
        </w:rPr>
      </w:pPr>
    </w:p>
    <w:p>
      <w:pPr>
        <w:jc w:val="both"/>
        <w:ind w:right="160" w:firstLine="351"/>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spacing w:after="0" w:line="68"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We hold investments in actively-traded syndicated bank loans (15.6% of the carrying value of our invested assets as of December 31, 2018).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2018, the fair value of our investments in actively traded syndicated bank loans was $250.7 million.</w:t>
      </w:r>
    </w:p>
    <w:p>
      <w:pPr>
        <w:spacing w:after="0" w:line="72" w:lineRule="exact"/>
        <w:rPr>
          <w:sz w:val="20"/>
          <w:szCs w:val="20"/>
          <w:color w:val="auto"/>
        </w:rPr>
      </w:pPr>
    </w:p>
    <w:p>
      <w:pPr>
        <w:ind w:right="120" w:firstLine="351"/>
        <w:spacing w:after="0" w:line="261" w:lineRule="auto"/>
        <w:rPr>
          <w:sz w:val="20"/>
          <w:szCs w:val="20"/>
          <w:color w:val="auto"/>
        </w:rPr>
      </w:pPr>
      <w:r>
        <w:rPr>
          <w:rFonts w:ascii="Times New Roman" w:cs="Times New Roman" w:eastAsia="Times New Roman" w:hAnsi="Times New Roman"/>
          <w:sz w:val="18"/>
          <w:szCs w:val="18"/>
          <w:color w:val="auto"/>
        </w:rPr>
        <w:t>As of December 31, 2018, we held equity investments of $29.8 million in non-public limited liability companies that have invested in renewable energy investments. These investments were sponsored and are managed by an entity for which two of our directors serve as officers.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spacing w:after="0" w:line="72"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$42.5 million at December 31, 2018. These investments were designed to provide diversification of risk and enhance the return on the overall portfolio. However, these investments entail substantial risks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carrying amount) does not reflect prices at which actual transactions would occur.</w:t>
      </w:r>
    </w:p>
    <w:p>
      <w:pPr>
        <w:spacing w:after="0" w:line="68"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BMA and various state insurance departments, as applicable.</w:t>
      </w:r>
    </w:p>
    <w:p>
      <w:pPr>
        <w:spacing w:after="0" w:line="68" w:lineRule="exact"/>
        <w:rPr>
          <w:sz w:val="20"/>
          <w:szCs w:val="20"/>
          <w:color w:val="auto"/>
        </w:rPr>
      </w:pPr>
    </w:p>
    <w:p>
      <w:pPr>
        <w:ind w:right="200" w:firstLine="351"/>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which may have a material adverse impact on our business.</w:t>
      </w:r>
    </w:p>
    <w:p>
      <w:pPr>
        <w:spacing w:after="0" w:line="121"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Market disruptions like those experienced during the credit-driven financial market collapse in 2008, as well as the dramatic increase in the capital allocated to alternative asset management during recent years,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and the credit-driven equity market collapse may increase the likelihood that some increased regulation of the industry is mandated.</w:t>
      </w:r>
    </w:p>
    <w:p>
      <w:pPr>
        <w:spacing w:after="0" w:line="76"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spacing w:after="0" w:line="68"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Our business could be materially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spacing w:after="0" w:line="9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The Bermuda insurance and reinsurance regulatory framework has become subject to increased scrutiny in many jurisdictions. The BMA sought “regulatory equivalency” which enables Bermuda’s commercial insurers to transact business with the European Union on a “level playing field”. In connection with its initial efforts to achieve equivalency under Solvency II, the BMA implemented and imposed additional requirements on the companies it regulates, such as JRG Re and Carolina Re. On November 26, 2015, via delegated act, the European Commission granted Bermuda’s commercial insurers full equivalence in all areas of Solvency II for an indefinite period of time. The European Commission’s act was reviewed and approved by the European Parliament and Council. On March 4, 2016, the delegated act was published in the official journal of the European Union. The grant of full equivalence came into force on March 24, 2016 and applies from January 1, 2016.</w:t>
      </w:r>
    </w:p>
    <w:p>
      <w:pPr>
        <w:spacing w:after="0" w:line="81" w:lineRule="exact"/>
        <w:rPr>
          <w:sz w:val="20"/>
          <w:szCs w:val="20"/>
          <w:color w:val="auto"/>
        </w:rPr>
      </w:pPr>
    </w:p>
    <w:p>
      <w:pPr>
        <w:ind w:right="300" w:firstLine="351"/>
        <w:spacing w:after="0" w:line="256" w:lineRule="auto"/>
        <w:rPr>
          <w:sz w:val="20"/>
          <w:szCs w:val="20"/>
          <w:color w:val="auto"/>
        </w:rPr>
      </w:pPr>
      <w:r>
        <w:rPr>
          <w:rFonts w:ascii="Times New Roman" w:cs="Times New Roman" w:eastAsia="Times New Roman" w:hAnsi="Times New Roman"/>
          <w:sz w:val="18"/>
          <w:szCs w:val="18"/>
          <w:color w:val="auto"/>
        </w:rPr>
        <w:t>Additionally, the regulatory environment surrounding information security and privacy is increasingly demanding. We are subject to numerous U.S. federal and state laws governing the protection of personal and confidential information of our clients and employees. We are subject to the New York Department of Financial Services’ Cybersecurity Regulations, which came into effect on March 1, 2017. In addition, the NAIC adopted an Insurance Data Security Model Law on October 24, 2017, which would require licensed insurance entities to comply with detailed information security requirements. To date, Ohio and South Carolina have adopted the Insurance Data and Security Model Law. It is not yet known whether, and to what extent, other state legislatures or insurance regulators where we operate will enact the Insurance Data Security Model Law in whole or</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Any such events could potentially have an adverse impact on our business, financial condition or results of operations.</w:t>
      </w:r>
    </w:p>
    <w:p>
      <w:pPr>
        <w:spacing w:after="0" w:line="68"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spacing w:after="0" w:line="50"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6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and Carolina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w:t>
      </w:r>
    </w:p>
    <w:p>
      <w:pPr>
        <w:spacing w:after="0" w:line="81" w:lineRule="exact"/>
        <w:rPr>
          <w:sz w:val="20"/>
          <w:szCs w:val="20"/>
          <w:color w:val="auto"/>
        </w:rPr>
      </w:pPr>
    </w:p>
    <w:p>
      <w:pPr>
        <w:ind w:firstLine="351"/>
        <w:spacing w:after="0" w:line="273" w:lineRule="auto"/>
        <w:rPr>
          <w:sz w:val="20"/>
          <w:szCs w:val="20"/>
          <w:color w:val="auto"/>
        </w:rPr>
      </w:pPr>
      <w:r>
        <w:rPr>
          <w:rFonts w:ascii="Times New Roman" w:cs="Times New Roman" w:eastAsia="Times New Roman" w:hAnsi="Times New Roman"/>
          <w:sz w:val="17"/>
          <w:szCs w:val="17"/>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64"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See “Business—U.S. Insurance Regulation—State Regulation.”</w:t>
      </w:r>
    </w:p>
    <w:p>
      <w:pPr>
        <w:spacing w:after="0" w:line="80"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spacing w:after="0" w:line="76"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In 2012, the NAIC also adopted the ORSA Model Act. The ORSA Model Act, when adopted by the various states, will require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80"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reinsurance coverage at reasonable prices or on terms that provide us adequate protection.</w:t>
      </w:r>
    </w:p>
    <w:p>
      <w:pPr>
        <w:spacing w:after="0" w:line="121" w:lineRule="exact"/>
        <w:rPr>
          <w:sz w:val="20"/>
          <w:szCs w:val="20"/>
          <w:color w:val="auto"/>
        </w:rPr>
      </w:pPr>
    </w:p>
    <w:p>
      <w:pPr>
        <w:ind w:right="280" w:firstLine="351"/>
        <w:spacing w:after="0" w:line="266" w:lineRule="auto"/>
        <w:rPr>
          <w:sz w:val="20"/>
          <w:szCs w:val="20"/>
          <w:color w:val="auto"/>
        </w:rPr>
      </w:pPr>
      <w:r>
        <w:rPr>
          <w:rFonts w:ascii="Times New Roman" w:cs="Times New Roman" w:eastAsia="Times New Roman" w:hAnsi="Times New Roman"/>
          <w:sz w:val="18"/>
          <w:szCs w:val="18"/>
          <w:color w:val="auto"/>
        </w:rPr>
        <w:t>We purchase reinsurance in many of our lines of business to help manage our exposure to insurance and reinsurance risks that we underwrite and to reduce volatility in our results. In addition, JRG Re has managed its risk through retrocession arrangements with third-party reinsurers. A retrocession is a practice whereby a reinsurer cedes risk to one or more other reinsurers.</w:t>
      </w:r>
    </w:p>
    <w:p>
      <w:pPr>
        <w:spacing w:after="0" w:line="68"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As a result, our ability to manage volatility and avoid significant losses, expand into new markets or grow by offering insurance to new kinds of enterprises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w:t>
      </w:r>
    </w:p>
    <w:p>
      <w:pPr>
        <w:spacing w:after="0" w:line="7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on direct insurers that do not wholly cover the risks written by these direct insurers.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“Business—Purchase of Reinsurance.”</w:t>
      </w:r>
    </w:p>
    <w:p>
      <w:pPr>
        <w:spacing w:after="0" w:line="7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agents we have appointed, may act based on inaccurate or incomplete information regarding the accounts we underwrite, or such agents may exceed their authority or commit fraud when binding policies on our behalf.</w:t>
      </w:r>
    </w:p>
    <w:p>
      <w:pPr>
        <w:spacing w:after="0" w:line="51"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72"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In addition, in the Specialty Admitted Insurance segment, MGAs and other agents have the authority to bind policies on our behalf. If any such agents exceed their authority or engage in fraudulent activities, our financial condition and results of operations could be materially adversely affected.</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6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spacing w:after="0" w:line="76"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72"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We rely on our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could affect our operations and could 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materially adversely affected by significant and widespread disruption to our physical infrastructure or operating systems and those of third-party service providers that support our business.</w:t>
      </w:r>
    </w:p>
    <w:p>
      <w:pPr>
        <w:spacing w:after="0" w:line="83" w:lineRule="exact"/>
        <w:rPr>
          <w:sz w:val="20"/>
          <w:szCs w:val="20"/>
          <w:color w:val="auto"/>
        </w:rPr>
      </w:pPr>
    </w:p>
    <w:p>
      <w:pPr>
        <w:ind w:right="40" w:firstLine="351"/>
        <w:spacing w:after="0" w:line="252" w:lineRule="auto"/>
        <w:rPr>
          <w:sz w:val="20"/>
          <w:szCs w:val="20"/>
          <w:color w:val="auto"/>
        </w:rPr>
      </w:pPr>
      <w:r>
        <w:rPr>
          <w:rFonts w:ascii="Times New Roman" w:cs="Times New Roman" w:eastAsia="Times New Roman" w:hAnsi="Times New Roman"/>
          <w:sz w:val="18"/>
          <w:szCs w:val="18"/>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or reinsured’s confidential, proprietary and other information, or otherwise disrupt our or our insureds’, reinsured’s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91"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21" w:lineRule="exact"/>
        <w:rPr>
          <w:sz w:val="20"/>
          <w:szCs w:val="20"/>
          <w:color w:val="auto"/>
        </w:rPr>
      </w:pPr>
    </w:p>
    <w:p>
      <w:pPr>
        <w:jc w:val="both"/>
        <w:ind w:right="100" w:firstLine="351"/>
        <w:spacing w:after="0" w:line="266"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effectively the components of any businesses we may acquire in our effort to achieve growth. The failure to manage our growth effectively could have a material adverse effect on our business, financial condition and results of operations.</w:t>
      </w:r>
    </w:p>
    <w:p>
      <w:pPr>
        <w:spacing w:after="0" w:line="5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underwrite risks accurately and charge competitive yet profitable rates to our policyholders, our business, financial condition and results of operations will be materially adversely affected.</w:t>
      </w:r>
    </w:p>
    <w:p>
      <w:pPr>
        <w:spacing w:after="0" w:line="51"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spacing w:after="0" w:line="80" w:lineRule="exact"/>
        <w:rPr>
          <w:sz w:val="20"/>
          <w:szCs w:val="20"/>
          <w:color w:val="auto"/>
        </w:rPr>
      </w:pPr>
    </w:p>
    <w:p>
      <w:pPr>
        <w:ind w:right="460" w:firstLine="351"/>
        <w:spacing w:after="0" w:line="282" w:lineRule="auto"/>
        <w:rPr>
          <w:sz w:val="20"/>
          <w:szCs w:val="20"/>
          <w:color w:val="auto"/>
        </w:rPr>
      </w:pPr>
      <w:r>
        <w:rPr>
          <w:rFonts w:ascii="Times New Roman" w:cs="Times New Roman" w:eastAsia="Times New Roman" w:hAnsi="Times New Roman"/>
          <w:sz w:val="18"/>
          <w:szCs w:val="18"/>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spacing w:after="0" w:line="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properly analyze a substantial volume of data from our insureds;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test and apply appropriate actuarial projections and rating formulas;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and timely recognize changes in trends;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both frequency and severity of our insureds’ losses with reasonable accuracy.</w:t>
      </w:r>
    </w:p>
    <w:p>
      <w:pPr>
        <w:spacing w:after="0" w:line="131" w:lineRule="exact"/>
        <w:rPr>
          <w:sz w:val="20"/>
          <w:szCs w:val="20"/>
          <w:color w:val="auto"/>
        </w:rPr>
      </w:pPr>
    </w:p>
    <w:p>
      <w:pPr>
        <w:ind w:right="380" w:firstLine="351"/>
        <w:spacing w:after="0" w:line="282" w:lineRule="auto"/>
        <w:rPr>
          <w:sz w:val="20"/>
          <w:szCs w:val="20"/>
          <w:color w:val="auto"/>
        </w:rPr>
      </w:pPr>
      <w:r>
        <w:rPr>
          <w:rFonts w:ascii="Times New Roman" w:cs="Times New Roman" w:eastAsia="Times New Roman" w:hAnsi="Times New Roman"/>
          <w:sz w:val="18"/>
          <w:szCs w:val="18"/>
          <w:color w:val="auto"/>
        </w:rPr>
        <w:t>We seek to implement our pricing accurately in accordance with our assumptions. Our ability to undertake these efforts successfully and, as a result, accurately price our policies, is subject to a number of risks and uncertainties, including:</w:t>
      </w:r>
    </w:p>
    <w:p>
      <w:pPr>
        <w:spacing w:after="0" w:line="9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unreliable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incomplete analysis of available data;</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generally inherent in estimates and assumptions;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implement appropriate actuarial projections and rating formulas or other pricing methodologies;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on rate increases;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estimate investment yields and the duration of our liability for loss and loss adjustment expenses;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court decisions, legislation or regulatory action.</w:t>
      </w:r>
    </w:p>
    <w:p>
      <w:pPr>
        <w:spacing w:after="0" w:line="11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and reinsurance business is historically cyclical, and we may experience periods with excess underwriting capacity and unfavorable premium rates, which could materially adversely affect our business.</w:t>
      </w:r>
    </w:p>
    <w:p>
      <w:pPr>
        <w:spacing w:after="0" w:line="5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Historically, insurers and reinsurers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during our Company’s short history. The supply of insurance and reinsurance is related to prevailing prices, the level of insured losses and the level of capital available to the industry that, in turn, may fluctuate in response to changes in rates of return on investments being earned in the insurance and reinsurance industry. As a result, the insurance and reinsurance business historically has been a cyclical industry characterized by periods of intense price competition due to excessive underwriting capacity as well as periods when shortages of capacity increased premium levels. Demand for insurance and reinsurance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and reinsurance industry.</w:t>
      </w:r>
    </w:p>
    <w:p>
      <w:pPr>
        <w:spacing w:after="0" w:line="81"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whether market conditions will improve, remain constant or deteriorate. Negative market conditions may impair our ability to underwrite insurance and reinsurance at rates we consider appropriate and commensurate relative to the risk assumed. If we cannot underwrite insurance or reinsurance at appropriate rates, our ability to transact business will be materially adversely affected. Any of these factors could lead to a material adverse effect on our business, financial condition and results of operations.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reinsurance business is subject to loss settlements made by ceding companies and fronting carriers, which could materially adversely affect our performance.</w:t>
      </w:r>
    </w:p>
    <w:p>
      <w:pPr>
        <w:spacing w:after="0" w:line="51"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Where JRG Re enters into assumed reinsurance contracts with third parties, all loss settlements made by the ceding company will be unconditionally binding upon us, provided they are within the terms of the underlying policies and within the terms of the relevant contract. While we believe the ceding companies will settle such claims in good faith, we are bound to accept the claims settlements agreed to by the ceding companies. Under the underlying policies, each ceding company typically bears the burden of proving that a contractual exclusion applies to a loss, and there may be circumstances where the facts of a loss are insufficient to support the application of an exclusion. In such circumstances, we assume such losses under the reinsured policies, which could materially adversely affect our performance.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long-term prospects.</w:t>
      </w:r>
    </w:p>
    <w:p>
      <w:pPr>
        <w:spacing w:after="0" w:line="121"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spacing w:after="0" w:line="72" w:lineRule="exact"/>
        <w:rPr>
          <w:sz w:val="20"/>
          <w:szCs w:val="20"/>
          <w:color w:val="auto"/>
        </w:rPr>
      </w:pPr>
    </w:p>
    <w:p>
      <w:pPr>
        <w:ind w:right="240" w:firstLine="351"/>
        <w:spacing w:after="0" w:line="261" w:lineRule="auto"/>
        <w:rPr>
          <w:sz w:val="20"/>
          <w:szCs w:val="20"/>
          <w:color w:val="auto"/>
        </w:rPr>
      </w:pPr>
      <w:r>
        <w:rPr>
          <w:rFonts w:ascii="Times New Roman" w:cs="Times New Roman" w:eastAsia="Times New Roman" w:hAnsi="Times New Roman"/>
          <w:sz w:val="18"/>
          <w:szCs w:val="18"/>
          <w:color w:val="auto"/>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2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We invest the premiums we receive from our insureds and ceding companies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associates could take excessive risks, which could negatively affect our financial condition and business.</w:t>
      </w:r>
    </w:p>
    <w:p>
      <w:pPr>
        <w:spacing w:after="0" w:line="121"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associates who conduct our business, including executive officers and other members of management, underwriters, sales managers, investment professionals, product managers, sales agents, and other associates, as well as MGAs,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associates incentives to take excessive risks. Associates may, however, take such risks regardless of the structure of our compensation programs and practices. Similarly, although we employ controls and procedures designed to monitor associates’ business decisions and prevent us from taking excessive risks, these controls and procedures may not be effective. If our associates take excessive risks, the impact of those risks could have a material adverse effect on our financial condition and business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available only on unfavorable terms.</w:t>
      </w:r>
    </w:p>
    <w:p>
      <w:pPr>
        <w:spacing w:after="0" w:line="12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and independent rating agencies. To the extent that our existing capital is insufficient to fund our future operating requirements, cover claim losses, or satisfy ratings agencies in order to maintain a satisfactory rating, we may need to raise additional capital in the future through offerings of debt or equity securities or otherwise to:</w:t>
      </w:r>
    </w:p>
    <w:p>
      <w:pPr>
        <w:spacing w:after="0" w:line="11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liquidity needs caused by underwriting or investment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capital lost in the event of significant reinsurance losses or adverse reserve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letters of credit or guarantee bond requirements that may be imposed by our clients or by regulators;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rating agency or regulatory capital requirements; or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Any equity or debt financing, if available at all, may be on terms that are unfavorable to us. Further, any additional capital raised through the sale of equity could dilute shareholders' ownership interest in the Company and would likely cause the value of our shares to decline. Additional capital raised through the issuance of debt would most likely result in creditors having rights, preferences and privileges senior or otherwise superior to those of the holders of our shares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technological advancements in the insurance industry, our ability to compete effectively could be impaired.</w:t>
      </w:r>
    </w:p>
    <w:p>
      <w:pPr>
        <w:spacing w:after="0" w:line="121"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We are committed to developing and maintaining information technology systems that will allow our insurance subsidiaries to compete effectively. There can be no assurance that the development of current technology for future use will not result in our being competitively disadvantaged, especially with those carriers that have greater resources. If we are unable to keep pace with the advancements being made in technology, our ability to compete with other insurance companies who have advanced technological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spacing w:after="0" w:line="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environment and we may not continue to be able to compete effectively against larger or more well-established business rivals.</w:t>
      </w:r>
    </w:p>
    <w:p>
      <w:pPr>
        <w:spacing w:after="0" w:line="51"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spacing w:after="0" w:line="72" w:lineRule="exact"/>
        <w:rPr>
          <w:sz w:val="20"/>
          <w:szCs w:val="20"/>
          <w:color w:val="auto"/>
        </w:rPr>
      </w:pPr>
    </w:p>
    <w:p>
      <w:pPr>
        <w:ind w:right="380" w:firstLine="351"/>
        <w:spacing w:after="0" w:line="261" w:lineRule="auto"/>
        <w:rPr>
          <w:sz w:val="20"/>
          <w:szCs w:val="20"/>
          <w:color w:val="auto"/>
        </w:rPr>
      </w:pPr>
      <w:r>
        <w:rPr>
          <w:rFonts w:ascii="Times New Roman" w:cs="Times New Roman" w:eastAsia="Times New Roman" w:hAnsi="Times New Roman"/>
          <w:sz w:val="18"/>
          <w:szCs w:val="18"/>
          <w:color w:val="auto"/>
        </w:rPr>
        <w:t>In particular, competition in the insurance and reinsurance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 See “Business—Competition.”</w:t>
      </w:r>
    </w:p>
    <w:p>
      <w:pPr>
        <w:spacing w:after="0" w:line="72" w:lineRule="exact"/>
        <w:rPr>
          <w:sz w:val="20"/>
          <w:szCs w:val="20"/>
          <w:color w:val="auto"/>
        </w:rPr>
      </w:pPr>
    </w:p>
    <w:p>
      <w:pPr>
        <w:ind w:right="360" w:firstLine="351"/>
        <w:spacing w:after="0" w:line="282" w:lineRule="auto"/>
        <w:rPr>
          <w:sz w:val="20"/>
          <w:szCs w:val="20"/>
          <w:color w:val="auto"/>
        </w:rPr>
      </w:pPr>
      <w:r>
        <w:rPr>
          <w:rFonts w:ascii="Times New Roman" w:cs="Times New Roman" w:eastAsia="Times New Roman" w:hAnsi="Times New Roman"/>
          <w:sz w:val="18"/>
          <w:szCs w:val="18"/>
          <w:color w:val="auto"/>
        </w:rPr>
        <w:t>A number of new, proposed or potential legislative or industry developments could further increase competition in our industry. These developments include:</w:t>
      </w:r>
    </w:p>
    <w:p>
      <w:pPr>
        <w:spacing w:after="0" w:line="81" w:lineRule="exact"/>
        <w:rPr>
          <w:sz w:val="20"/>
          <w:szCs w:val="20"/>
          <w:color w:val="auto"/>
        </w:rPr>
      </w:pPr>
    </w:p>
    <w:p>
      <w:pPr>
        <w:ind w:left="660" w:right="60" w:hanging="328"/>
        <w:spacing w:after="0" w:line="34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capital-raising by companies in our lines of business, which could result in new entrants to our markets and an excess of capital in the industry;</w:t>
      </w:r>
    </w:p>
    <w:p>
      <w:pPr>
        <w:spacing w:after="0" w:line="41" w:lineRule="exact"/>
        <w:rPr>
          <w:rFonts w:ascii="Times New Roman" w:cs="Times New Roman" w:eastAsia="Times New Roman" w:hAnsi="Times New Roman"/>
          <w:sz w:val="18"/>
          <w:szCs w:val="18"/>
          <w:color w:val="auto"/>
        </w:rPr>
      </w:pPr>
    </w:p>
    <w:p>
      <w:pPr>
        <w:ind w:left="660" w:right="400" w:hanging="328"/>
        <w:spacing w:after="0" w:line="34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deregulation of commercial insurance lines in certain states and the possibility of federal regulatory reform of the insurance industry, which could increase competition from standard carriers for our E&amp;S lines of insurance business; and</w:t>
      </w:r>
    </w:p>
    <w:p>
      <w:pPr>
        <w:spacing w:after="0" w:line="41" w:lineRule="exact"/>
        <w:rPr>
          <w:rFonts w:ascii="Times New Roman" w:cs="Times New Roman" w:eastAsia="Times New Roman" w:hAnsi="Times New Roman"/>
          <w:sz w:val="18"/>
          <w:szCs w:val="18"/>
          <w:color w:val="auto"/>
        </w:rPr>
      </w:pPr>
    </w:p>
    <w:p>
      <w:pPr>
        <w:ind w:left="660" w:right="40" w:hanging="328"/>
        <w:spacing w:after="0" w:line="34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practices facilitated by the Internet may lead to greater competition in the insurance business. Among the possible changes are shifts in the way in which commercial insurance is purchased, which could affect both admitted and E&amp;S lines.</w:t>
      </w:r>
    </w:p>
    <w:p>
      <w:pPr>
        <w:spacing w:after="0" w:line="1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that we will be able to continue to compete successfully in the insurance or reinsurance markets. Increased competition in these markets could result in a change in the supply and/or demand for insurance or reinsurance,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contracts do not meet expectations, our premiums written in future years and our future results of operations could be materially adversely affected.</w:t>
      </w:r>
    </w:p>
    <w:p>
      <w:pPr>
        <w:spacing w:after="0" w:line="51" w:lineRule="exact"/>
        <w:rPr>
          <w:sz w:val="20"/>
          <w:szCs w:val="20"/>
          <w:color w:val="auto"/>
        </w:rPr>
      </w:pPr>
    </w:p>
    <w:p>
      <w:pPr>
        <w:ind w:right="220" w:firstLine="351"/>
        <w:spacing w:after="0" w:line="261" w:lineRule="auto"/>
        <w:rPr>
          <w:sz w:val="20"/>
          <w:szCs w:val="20"/>
          <w:color w:val="auto"/>
        </w:rPr>
      </w:pPr>
      <w:r>
        <w:rPr>
          <w:rFonts w:ascii="Times New Roman" w:cs="Times New Roman" w:eastAsia="Times New Roman" w:hAnsi="Times New Roman"/>
          <w:sz w:val="18"/>
          <w:szCs w:val="18"/>
          <w:color w:val="auto"/>
        </w:rPr>
        <w:t>Most of our contracts are written for a one-year term. In our financial forecasting process, we make assumptions about the renewal of our prior year’s contracts. The insurance and reinsurance industries have historically been cyclical businesses with intense competition, often based on price. If actual renewals do not meet expectations or if we choose not to write a renewal because of pricing conditions, our premiums written in future years and our future operations would be materially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shareholder approval.</w:t>
      </w:r>
    </w:p>
    <w:p>
      <w:pPr>
        <w:spacing w:after="0" w:line="121"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“Business” or elsewhere in this Annual Report.</w:t>
      </w:r>
    </w:p>
    <w:p>
      <w:pPr>
        <w:spacing w:after="0" w:line="6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against our subsidiaries could have a material adverse effect on our business, financial condition and/or results of operations.</w:t>
      </w:r>
    </w:p>
    <w:p>
      <w:pPr>
        <w:spacing w:after="0" w:line="51"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As an insurance and reinsurance holding company, our subsidiaries are named as defendants in various legal actions in the ordinary course of business. We believe that the outcome of presently pending matters, individually and in the aggregate, will not have a material adverse effect on our 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21" w:lineRule="exact"/>
        <w:rPr>
          <w:sz w:val="20"/>
          <w:szCs w:val="20"/>
          <w:color w:val="auto"/>
        </w:rPr>
      </w:pPr>
    </w:p>
    <w:p>
      <w:pPr>
        <w:ind w:right="280" w:firstLine="351"/>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7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Further, our U.S.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spacing w:after="0" w:line="80"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U.S. insurance subsidiaries. Further, we cannot assure that future changes to SAP or components of SAP or the grant of permitted accounting practices to our competitors will not have a negative impact on us.</w:t>
      </w:r>
    </w:p>
    <w:p>
      <w:pPr>
        <w:spacing w:after="0" w:line="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implement our business strategy could be delayed or adversely affected by Bermuda employment restrictions relating to the ability to obtain and retain work permits for key employees in Bermuda.</w:t>
      </w:r>
    </w:p>
    <w:p>
      <w:pPr>
        <w:spacing w:after="0" w:line="5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Bermuda law, non-Bermudians (other than spouses of Bermudians and holders of permanent residents’ certificates) may not engage in any gainful occupation in Bermuda without a valid government work permit. A work permit may be granted or renewed upon showing that, after proper public advertisement, no Bermudian, spouse of a Bermudian or a holder of a permanent resident’s certificate who meets the minimum standards reasonably required by the employer has applied for the job. A work permit is issued with an expiry date (up to five years) and no assurances can be given that any work permit will be issued or, if issued, renewed upon the expiration of the relevant term. If work permits are not obtained or are not renewed for our key employees (other than our Chief Executive Officer, who holds Bermudian and United States citizenship and therefore is not required to have a work permit in Bermuda or in any other jurisdiction in which we operate), we would lose their services, which could materially affect our business.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California, North Carolina, Ohio, or Virginia significantly increase the assessments our insurance companies are required to pay, our financial condition and results of operations will suffer.</w:t>
      </w:r>
    </w:p>
    <w:p>
      <w:pPr>
        <w:spacing w:after="0" w:line="51"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Our insurance companies are subject to assessments in California (the domiciliary state for Falls Lake Fire and Casualty Company), North Carolina (the domiciliary state for Stonewood Insurance), Ohio (the domiciliary state for James River Insurance and Falls Lake National) and Virginia (the domiciliary state for James River Casualty),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U.S.-based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third-party claims administrators in certain lines of business may result in higher losses and loss adjustment expenses.</w:t>
      </w:r>
    </w:p>
    <w:p>
      <w:pPr>
        <w:spacing w:after="0" w:line="121"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Historically, our Excess and Surplus Lines and Specialty Admitted Insurance segments handled all claims using employed staff. As we have entered new lines of business, we now use third-party claims administrators and contract employees to administer claims subject to the supervision of our employed staff. It is possible that these contract employees and third-party claims administrators may achieve less desirable results on claims than has historically been the case for our internal staff, which could result in significantly higher losses and loss adjustment expenses in those lines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effect of the 2017 Tax Act may have a significant impact on the Company.</w:t>
      </w:r>
    </w:p>
    <w:p>
      <w:pPr>
        <w:spacing w:after="0" w:line="121" w:lineRule="exact"/>
        <w:rPr>
          <w:sz w:val="20"/>
          <w:szCs w:val="20"/>
          <w:color w:val="auto"/>
        </w:rPr>
      </w:pPr>
    </w:p>
    <w:p>
      <w:pPr>
        <w:ind w:firstLine="501"/>
        <w:spacing w:after="0" w:line="255" w:lineRule="auto"/>
        <w:rPr>
          <w:sz w:val="20"/>
          <w:szCs w:val="20"/>
          <w:color w:val="auto"/>
        </w:rPr>
      </w:pPr>
      <w:r>
        <w:rPr>
          <w:rFonts w:ascii="Times New Roman" w:cs="Times New Roman" w:eastAsia="Times New Roman" w:hAnsi="Times New Roman"/>
          <w:sz w:val="18"/>
          <w:szCs w:val="18"/>
          <w:color w:val="auto"/>
        </w:rPr>
        <w:t>The Tax Act, enacted on December 22, 2017, introduced significant changes to the Code. The Tax Act contains provisions that reduce the highest marginal U.S. corporate tax rate from 35% to 21%, impose a BEAT on income of a U.S. corporation determined without regard to certain otherwise deductible payments made to certain foreign affiliates (including premium or other consideration paid or accrued to a related foreign reinsurance company for reinsurance), and accelerates taxable income with respect to certain controlled foreign corporations. These provisions could materially affect us or our shareholders. The Tax Act also includes provisions that could materially affect our shareholders as a result of provisions that broaden the definition of United States shareholder for purposes of the controlled foreign corporation (“CFC”) rules and make it more difficult for a foreign insurance company to avoid being treated as a PFIC.</w:t>
      </w:r>
    </w:p>
    <w:p>
      <w:pPr>
        <w:spacing w:after="0" w:line="81"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regarding how these and other provisions of the Tax Act will be interpreted, and guidance may not be forthcoming. The ultimate impact of the Tax Act may differ from the Company’s description below due to changes in interpretations, as well as additional regulatory guidance that may be issued. Any changes to, clarifications of, or guidance under the Tax Act could add significant expense and have a material adverse effect on our results of operations. Given the complexity of the Tax Act you are strongly encouraged to consult your own tax advisor regarding its potential impact on the U.S. federal income tax consequences to you in light of your particular circumstances.</w:t>
      </w:r>
    </w:p>
    <w:p>
      <w:pPr>
        <w:spacing w:after="0" w:line="7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Base Erosion and Anti-Abuse Tax</w:t>
      </w:r>
      <w:r>
        <w:rPr>
          <w:rFonts w:ascii="Times New Roman" w:cs="Times New Roman" w:eastAsia="Times New Roman" w:hAnsi="Times New Roman"/>
          <w:sz w:val="18"/>
          <w:szCs w:val="18"/>
          <w:color w:val="auto"/>
        </w:rPr>
        <w:t>. The Tax Act’s BEAT provision imposes a minimum tax on “applicable taxpayers,” which are generally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part of a group with at least $500 million of applicable annual gross receipts and that make certain payments to related foreign persons, including payments that are deductible for U.S. tax purposes, payments to purchase depreciable or amortizable property, and reinsurance payments. BEAT subjects the “modified taxable income” of an applicable taxpayer to tax at a rate of 10% in 2019-2025, and 12.5% in 2026 and thereafter. In general, modified taxable income is calculated by adding back to a taxpayer’s regular taxable income the amount of certain “base erosion tax benefits” with respect to certain payments to foreign affiliates, as well as the “base erosion percentage” of any net operating loss deductions. BEAT applies only to the extent it exceeds a taxpayer’s regular corporate income tax liability (determined without regard to certain tax credits).</w:t>
      </w:r>
    </w:p>
    <w:p>
      <w:pPr>
        <w:spacing w:after="0" w:line="7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response to the Tax Act, we made changes to our structure in 2018 to minimize the impact of BEAT that included the formation of Carolina Re, a Bermuda-domiciled, wholly owned subsidiary of James River Group, Inc. Carolina Re is a Class 3A reinsurer that made an election to be taxed as a U.S. domestic corporation under Section 953(d) of the Code, effective January 1, 2018. In addition, as of January 1, 2018, we generally discontinued ceding 70% of our U.S.-written premiums to JRG Re and instead ceded 70% of our U.S.-written premiums to Carolina Re. Carolina Re also entered into a stop loss reinsurance agreement with JRG Re. As a result of these changes, we will not be subject to BEAT in 2019 if we have sufficient regular U.S. income tax liability compared to the BEAT liability. The applicability of BEAT depends on a number of factors, and absent regulations and other detailed guidance, it is uncertain whether we will be subject to BEAT in future periods.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122" w:right="279" w:bottom="1440" w:gutter="0" w:footer="0" w:header="0"/>
        </w:sectPr>
      </w:pPr>
    </w:p>
    <w:bookmarkStart w:id="53" w:name="page54"/>
    <w:bookmarkEnd w:id="5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persons who own our shares may be subject to U.S. federal income taxation on our undistributed earnings and may recognize ordinary income upon disposition of shares.</w:t>
      </w:r>
    </w:p>
    <w:p>
      <w:pPr>
        <w:spacing w:after="0" w:line="5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we are considered a PFIC as defined in Section 1297(a) of the Code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We believe that we are not and have not been, and currently do not expect to become, a PFIC for U.S. federal income tax purposes. Our belief that we are not and have not been a PFIC is based, in part, on the fact that the PFIC rules include provisions intended to provide an exception for qualifying insurance companies (“QIC”) actively engaged in the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We believe that we are a QIC, however the scope of this exception is not entirely clear, especially in its application to holding companies indirectly engaged in an insurance business, and there are no administrative pronouncements, judicial decisions or current regulations that provide guidance as to the application of the PFIC rules to insurance companies.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be deemed a PFIC by the U.S. Internal Revenue Service (the “IRS”). If we, or one of our subsidiaries, were considered a PFIC, it could have material adverse tax consequences for an investor that is subject to U.S. federal income taxation.</w:t>
      </w:r>
    </w:p>
    <w:p>
      <w:pPr>
        <w:spacing w:after="0" w:line="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The Tax Act eliminated the prohibition on “downward attribution” from non-U.S. persons to U.S. persons under the CFC constructive ownership rules. As a result, our U.S. subsidiaries are deemed to own all of the stock of our non-U.S. subsidiaries (other than James River Group Holdings UK Limited (“James River UK”)) for purposes of classifying those non-U.S. subsidiaries as CFCs. The legislative history under the Tax Act indicates that this change to the CFC constructive ownership rules was not intended to cause our non-U.S. subsidiaries to be treated as CFCs with respect to a 10% U.S. Shareholder that is not related to our U.S. subsidiary. However, it is not clear whether the IRS or a court would interpret the change made by the Tax Act in a manner consistent with such indicated intent.</w:t>
      </w:r>
    </w:p>
    <w:p>
      <w:pPr>
        <w:spacing w:after="0" w:line="7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We cannot assure you that we are not and will not become a CFC. If you are a U.S. person, we strongly urge you to consult your own tax advisor concerning the CFC rules.</w:t>
      </w:r>
    </w:p>
    <w:p>
      <w:pPr>
        <w:spacing w:after="0" w:line="7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Related Person Insurance Income</w:t>
      </w:r>
      <w:r>
        <w:rPr>
          <w:rFonts w:ascii="Times New Roman" w:cs="Times New Roman" w:eastAsia="Times New Roman" w:hAnsi="Times New Roman"/>
          <w:sz w:val="18"/>
          <w:szCs w:val="18"/>
          <w:color w:val="auto"/>
        </w:rPr>
        <w:t>. If (i) our gross income attributable to insurance or reinsurance policies pursuant to which the direct or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owns any of our shares directly or indirectly on the last day of such taxable year would most likely be required to include its allocable share of our related person insurance income for such taxable year in its income, even if no distributions are made. We do not believe that the 20% gross insurance income threshold has been, or will be, met. However, we cannot assure you that this will continue to be the case. Consequently, we cannot assure you that a person who is a direct or indirect U.S. shareholder will not be required to include amounts in its income in respect of related person insurance income in any taxable year.</w:t>
      </w:r>
    </w:p>
    <w:p>
      <w:pPr>
        <w:spacing w:after="0" w:line="77"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Dispositions of Our Shares</w:t>
      </w:r>
      <w:r>
        <w:rPr>
          <w:rFonts w:ascii="Times New Roman" w:cs="Times New Roman" w:eastAsia="Times New Roman" w:hAnsi="Times New Roman"/>
          <w:sz w:val="18"/>
          <w:szCs w:val="18"/>
          <w:color w:val="auto"/>
        </w:rPr>
        <w:t>. If a U.S. shareholder is treated as disposing of shares in a CFC of which it is a U.S. 10% Shareholder, or of shares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 regardless of the amount of shares owned by the direct or indirect U.S. shareholder.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JRG Re and James River Group Holdings UK Limited may be subject to U.S. federal income taxation.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and JRG Re are each incorporated under the laws of Bermuda and James River UK is incorporated under the laws of England and Wales. Carolina Re is incorporated under the laws of Bermuda, but will be taxed as a U.S. domestic corporation as a result of an election under Section 953(d) of the Code.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JRG Re, as contemplated, will not cause them to be treated as engaging in a U.S. trade or business and as such, will not be subject to current U.S. federal income taxation on their net income. However, there are no definitive standards provided by the Code, regulations or court decisions as to the specific activities that constitute being engaged in the conduct of a trade or business within the United States, and any such determination is essentially factual in nature and must be made annually. The IRS could successfully assert that our non-U.S. holding companies or JRG Re (or both) are engaged in a trade or business in the United States or, under the applicable income tax treaty, are engaged in a trade or business in the United States through a permanent establishment, and thus are subject to current U.S. federal income taxation. If our non-U.S. holding companies or JRG Re were deemed to be engaged in a trade or business in the United States (or, under the applicable income tax treaty, were deemed to be so engaged through a permanent establishment), our non-U.S. holding companies or JRG Re, as applicable, would become subject to U.S. 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tax-exempt organizations who own our shares may recognize unrelated business taxable income.</w:t>
      </w:r>
    </w:p>
    <w:p>
      <w:pPr>
        <w:spacing w:after="0" w:line="121"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A U.S. tax-exempt organization may recognize unrelated business taxable income if a portion of our subpart F insurance income is allocated to it. In general, subpart F insurance income will be allocated to a tax-exempt organization owning (or treated as owning) our shares if we are a CFC as discussed above and it is a U.S. 10% Shareholder or we earn related person insurance income and we satisfy the RPII Test. We cannot assure you that U.S. persons holding our shares (directly or indirectly) will not be allocated subpart F insurance income. U.S. tax-exempt organizations should consult their own tax advisors regarding the risk of recognizing unrelated business taxable income as a result of their ownership of our shares.</w:t>
      </w:r>
    </w:p>
    <w:p>
      <w:pPr>
        <w:spacing w:after="0" w:line="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U.S. withholding and information reporting requirements under the Foreign Account Tax Compliance Act (“FATCA”) provisions.</w:t>
      </w:r>
    </w:p>
    <w:p>
      <w:pPr>
        <w:spacing w:after="0" w:line="5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December 13, 2018,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spacing w:after="0" w:line="7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United States has entered into intergovernmental agreements between the United States and Bermuda and between the United States and the United Kingdom (the “IGAs”), which potentially modify the FATCA withholding regime described above with respect to us and our common shares. There can be no certainty as to whether we, Carolina Re or JRG Re will be treated as a FFI under FATCA. We strongly urge you to consult your own tax advisor regarding the potential impact of FATCA, the IGAs and any non-U.S. legislation implementing FATCA.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may be retroactive and could subject us and/or U.S. persons who own our shares to U.S. income taxation.</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Apart from enactment of the Tax Act, other legislative proposals or administrative or judicial developments could also result in an increase in the amount of U.S. tax payable by us or by an owner of our shares or reduce the attractiveness of our products. Any such developments could materially adversely affect our results of operations.</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Tax Act, other tax laws and interpretations thereof, including with respect to whether a company is engaged in a U.S. trade or business, is a CFC, has related party insurance income, is a PFIC, or is subject to BEAT, are subject to change, possibly on a retroactive basis. There are currently only proposed regulations regarding the RPII Test and the application of the PFIC rules to an insurance company. New regulations or pronouncements interpreting or clarifying such rules may be forthcoming from the IRS or the U.S. Department of the Treasury. We are not able to predict if, when or in what form such guidance will be provided and whether such guidance will have a retroactive effect.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reinsurance premiums paid by our U.S. subsidiaries to Carolina Re or JRG Re do not reflect arm’s-length terms, the IRS could seek to recharacterize the payments in a way that is unfavorable to us.</w:t>
      </w:r>
    </w:p>
    <w:p>
      <w:pPr>
        <w:spacing w:after="0" w:line="5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We have in place intercompany loans from our U.S. subsidiaries to our parent company and have intercompany reinsurance agreements among consolidated entities. We believe the terms of these transactions are appropriate and reflect arm’s-length terms and are consistent with all applicable rules and regulations. It is possible, however, that the U.S. Department of the Treasury or the IRS may review our intercompany agreements and successfully assert, under Sections 482 or 845 of the Code, that they are not on an arm’s-length basis and that as a result, we owe taxes on account of past or future periods.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tax rates for qualified dividend income may not be available in the future.</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dividends paid on our common shares should qualify as “qualified dividend income” as long as the common shares are listed on a national securities exchange and we are not a PFIC. Qualified dividend income received by non-corporate U.S. persons is generally eligible for long-term capital gain rates. While the Tax Act did not modify these rules,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non-U.K. companies may be subject to U.K. tax that may have a material adverse effect on our operating results.</w:t>
      </w:r>
    </w:p>
    <w:p>
      <w:pPr>
        <w:spacing w:after="0" w:line="12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intend to operate in such a manner so that none of our companies other than our intermediate holding company incorporated in the United Kingdom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spacing w:after="0" w:line="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taxes in Bermuda after March 31, 2035, which may have a material adverse effect on our results of operations and your investment.</w:t>
      </w:r>
    </w:p>
    <w:p>
      <w:pPr>
        <w:spacing w:after="0" w:line="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resident in Bermuda or to any taxes payable by us in respect of real property owned or leased by us in Bermuda. We cannot assure you that we will not be subject to any Bermuda tax after March 31, 2035.</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shares may fluctuate significantly and you could lose all or part of your investment.</w:t>
      </w:r>
    </w:p>
    <w:p>
      <w:pPr>
        <w:spacing w:after="0" w:line="121"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Volatility in the market price of our common shares may prevent you from being able to sell your common shares at or above the price you paid for your common shares. The market price for our common shares could fluctuate significantly for various reasons, including, without limitation:</w:t>
      </w:r>
    </w:p>
    <w:p>
      <w:pPr>
        <w:spacing w:after="0" w:line="9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earnings estimates, or those of other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external expectations or management guidance;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individually large clients, and its impact on our growth rate, profitability and financial condition;</w:t>
      </w:r>
    </w:p>
    <w:p>
      <w:pPr>
        <w:spacing w:after="0" w:line="157" w:lineRule="exact"/>
        <w:rPr>
          <w:rFonts w:ascii="Times New Roman" w:cs="Times New Roman" w:eastAsia="Times New Roman" w:hAnsi="Times New Roman"/>
          <w:sz w:val="18"/>
          <w:szCs w:val="18"/>
          <w:color w:val="auto"/>
        </w:rPr>
      </w:pPr>
    </w:p>
    <w:p>
      <w:pPr>
        <w:ind w:left="660" w:right="140" w:hanging="328"/>
        <w:spacing w:after="0" w:line="34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payment of dividends on our common shares, or payment of a reduced amount of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growth rates relative to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shares relative to other investment alternatives;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by the investment community regarding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or our competitors’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restructurings, significant contracts or joint ventures;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catastrophes that are perceived by investors as impacting the insurance and reinsurance market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characterization of us as a PFIC;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and political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conditions or trends in our industry, geographies 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 and departure of key personnel;</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are publicly traded;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and issuance of common shares by us, or sales of common shares by our directors or executive officers;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litigation against us.</w:t>
      </w:r>
    </w:p>
    <w:p>
      <w:pPr>
        <w:spacing w:after="0" w:line="131"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In addition, stock markets, including the NASDAQ Stock Market (the market on which our common shares are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filing of a lawsuit against us, regardless of the outcome, could have a negative effect on our business, as it could result in substantial legal costs and a diversion of management’s attention and resources.</w:t>
      </w: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122" w:right="299" w:bottom="1440" w:gutter="0" w:footer="0" w:header="0"/>
        </w:sectPr>
      </w:pPr>
    </w:p>
    <w:bookmarkStart w:id="57" w:name="page58"/>
    <w:bookmarkEnd w:id="5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spacing w:after="0" w:line="6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misleading or unfavorable research about our business, our common share price and trading volume could decline.</w:t>
      </w:r>
    </w:p>
    <w:p>
      <w:pPr>
        <w:spacing w:after="0" w:line="5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6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in accordance with Sarbanes-Oxley could have a material adverse effect on our business and common share price.</w:t>
      </w:r>
    </w:p>
    <w:p>
      <w:pPr>
        <w:spacing w:after="0" w:line="51" w:lineRule="exact"/>
        <w:rPr>
          <w:sz w:val="20"/>
          <w:szCs w:val="20"/>
          <w:color w:val="auto"/>
        </w:rPr>
      </w:pPr>
    </w:p>
    <w:p>
      <w:pPr>
        <w:ind w:right="80" w:firstLine="351"/>
        <w:spacing w:after="0" w:line="282"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Sarbanes-Oxley, which require annual assessments by management of the effectiveness of our internal control over financial reporting.</w:t>
      </w:r>
    </w:p>
    <w:p>
      <w:pPr>
        <w:spacing w:after="0" w:line="5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During the course of our assessment,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we cannot be certain as to the timing of completion of our evaluation, testing and remediation actions or its effect on our operations.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share listing on the NASDAQ Stock Market to be suspended or terminated, which could have a negative effect on the trading price of our common 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bye-laws permit non-employee members of our board of directors and their affiliates to compete with us, which may result in conflicts of interest.</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Bryan Martin and David Zwillinger, each a Class I director of the Company, are officers of D. E. Shaw &amp; Co., L.P. and its affiliates (collectively, “D. E. Shaw”). D. E. Shaw is a global investment and technology development firm, which among other things, is in the business of making investments in companies. Our bye-laws will not restrict our non-employee directors, or their affiliates, including D. E. Shaw, from acquiring and holding interests in businesses that compete directly or indirectly with us. For example, D. E. Shaw is currently engaged in the reinsurance business. Our non-employee directors and their affiliates, including D. E. Shaw,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spacing w:after="0" w:line="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51"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We are a holding company that has no substantial operations of our own and,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its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7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Moreover, as a condition to obtaining its license in California, Falls Lake Fire and Casualty Company provided a commitment to the California Department of Insurance that it would not pay any shareholder dividends for a five-year period commencing January 1, 2016 without prior written approval. In addition, insurance regulators have broad powers to prevent reduction of statutory surplus to inadequate levels and could refuse to permit the payment of dividends calculated under any applicable formula. See “Business—Regulation—U.S. Insurance Regulation—State Regulation” for more information. In addition, dividends paid by our U.S. subsidiaries to our U.K. holding company are subject to a 5% withholding tax by the IRS. Under U.K. domestic law, no withholding tax is applied to dividends paid by U.K. tax resident companies.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JRG Re, which is domiciled in Bermuda, is registered as a Class 3B insurer under the Insurance Act. The Insurance Act, the conditions listed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license and the applicable approvals issued by the BMA provide that JRG Re is required to maintain a minimum statutory solvency margin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 million as of December 31, 2018. See “Business—Regulation—Bermuda Insurance Regulation—Minimum Solvency Margin and Enhanced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more information. A Class 3B insurer is prohibited from declaring or paying a dividend if it fails to meet, before or after declaration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such dividend, its: (i) requirements under the Companies Act, (ii) minimum solvency margin, (iii) enhanced capital requirement or (iv)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liquidity ratio. If a Class 3B insurer fails to meet its minimum solvency margin or minimum liquidity ratio on the last day of any financial year, it is prohibited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declaring or paying any dividends during the next financial year without the approval of the BMA. In addition, JRG Re, as a Class 3B insurer,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prohibited from declaring or paying in any financial year dividends of more than 25% of its total statutory capital and surplus (as shown on its previous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year’s statutory balance sheet) unless it files (at least seven days before payment of such dividends) with the BMA an affidavit signed by at least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(one of whom must be a Bermuda resident director if any of the insurer’s directors are resident in Bermuda) and the principal representative stating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it will continue to meet its solvency margin and minimum liquidity ratio. Where such an affidavit is filed, it shall be available for public inspection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 of the BMA. See “Business— Regulation—Bermuda Insurance Regulation—Restrictions on Dividends and Distributions” for more information.</w:t>
      </w:r>
    </w:p>
    <w:p>
      <w:pPr>
        <w:spacing w:after="0" w:line="99"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inability of our subsidiaries to pay dividends or make distributions to us, including as a result of regulatory or other restrictions, may prevent us from paying our expenses or paying dividends to our shareholders.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declare or pay dividends on our common shares in the future.</w:t>
      </w:r>
    </w:p>
    <w:p>
      <w:pPr>
        <w:spacing w:after="0" w:line="12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paid dividends to our shareholders in each quarter since the first quarter of 2015, which was the first full quarter after completion of our IPO. The declaration, payment and amount of future dividends is subject to the discretion of our board of directors.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(5) the effect of a dividend or dividends upon our financial strength ratings and (6) any other factors that our board of directors deems relevant. See “Item 5. Market For Registrant’s Common Equity, Related Stockholder Matters and Issuer Purchases Of Equity Securities - Dividends.” We cannot assure you that we will continue to pay dividends in the future, or that the amount of any such dividend will not decline from prior dividends we have paid.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paid by our U.S. subsidiaries to James River UK may not be eligible for benefits under the U.S.-U.K. income tax treaty.</w:t>
      </w:r>
    </w:p>
    <w:p>
      <w:pPr>
        <w:spacing w:after="0" w:line="12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Inc., our U.S. holding company, to James River UK would be subject to the 30% withholding tax. Such a result would substantially reduce the amount of dividends that our shareholder may receive.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or the possibility of such sales, may cause the trading price of our common shares to decline and could impair our ability to raise capital through subsequent equity offerings.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spacing w:after="0" w:line="6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bye-laws and provisions of Bermuda law may impede or discourage a change of control transaction, which could deprive our investors of the opportunity to receive a premium for their shares.</w:t>
      </w:r>
    </w:p>
    <w:p>
      <w:pPr>
        <w:spacing w:after="0" w:line="51"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Our bye-laws 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spacing w:after="0" w:line="95" w:lineRule="exact"/>
        <w:rPr>
          <w:sz w:val="20"/>
          <w:szCs w:val="20"/>
          <w:color w:val="auto"/>
        </w:rPr>
      </w:pPr>
    </w:p>
    <w:p>
      <w:pPr>
        <w:ind w:left="660" w:right="300" w:hanging="328"/>
        <w:spacing w:after="0" w:line="34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voting power of any U.S. person owning more than 9.5% of our common shares will be reduced to 9.5% of the total voting power of our common shares, excluding shareholders that held more than 9.5% of our common shares on the day of completion of our IPO;</w:t>
      </w:r>
    </w:p>
    <w:p>
      <w:pPr>
        <w:spacing w:after="0" w:line="1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authority to issue preferred shares without shareholder approval, which could be used to dilute the ownership of a potential hostile acquirer;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only remove directors for cause;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advance notice requirements for shareholders with respect to director nominations and actions to be taken at annual meetings; and</w:t>
      </w:r>
    </w:p>
    <w:p>
      <w:pPr>
        <w:spacing w:after="0" w:line="13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Bermuda law, for so long as JRG Re and Carolina Re are registered under the Insurance Act, the BMA may object to a person holding more than 10%, 20%, 33% or 50% of our common shares if it appears to the BMA that the person is not or is no longer fit and proper to be such a holder (See “— There are regulatory limitations on the ownership and transfer of our common shares.”).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foregoing factors could impede a merger, takeover or other business combination, which could reduce the market value of our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repurchase your common shares without your consent.</w:t>
      </w:r>
    </w:p>
    <w:p>
      <w:pPr>
        <w:spacing w:after="0" w:line="121" w:lineRule="exact"/>
        <w:rPr>
          <w:sz w:val="20"/>
          <w:szCs w:val="20"/>
          <w:color w:val="auto"/>
        </w:rPr>
      </w:pPr>
    </w:p>
    <w:p>
      <w:pPr>
        <w:ind w:right="140" w:firstLine="351"/>
        <w:spacing w:after="0" w:line="261" w:lineRule="auto"/>
        <w:rPr>
          <w:sz w:val="20"/>
          <w:szCs w:val="20"/>
          <w:color w:val="auto"/>
        </w:rPr>
      </w:pPr>
      <w:r>
        <w:rPr>
          <w:rFonts w:ascii="Times New Roman" w:cs="Times New Roman" w:eastAsia="Times New Roman" w:hAnsi="Times New Roman"/>
          <w:sz w:val="18"/>
          <w:szCs w:val="18"/>
          <w:color w:val="auto"/>
        </w:rPr>
        <w:t>Under our bye-laws and subject to Bermuda law, we have the option, but not the obligation, to require a shareholder, other than shareholders holding more than 9.5% of our common shares on the day of completion of our IPO,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this option would result in such adverse consequences or treatment.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United States and may afford less protection to holders of our shares.</w:t>
      </w:r>
    </w:p>
    <w:p>
      <w:pPr>
        <w:spacing w:after="0" w:line="121" w:lineRule="exact"/>
        <w:rPr>
          <w:sz w:val="20"/>
          <w:szCs w:val="20"/>
          <w:color w:val="auto"/>
        </w:rPr>
      </w:pPr>
    </w:p>
    <w:p>
      <w:pPr>
        <w:ind w:right="120" w:firstLine="351"/>
        <w:spacing w:after="0" w:line="253" w:lineRule="auto"/>
        <w:rPr>
          <w:sz w:val="20"/>
          <w:szCs w:val="20"/>
          <w:color w:val="auto"/>
        </w:rPr>
      </w:pPr>
      <w:r>
        <w:rPr>
          <w:rFonts w:ascii="Times New Roman" w:cs="Times New Roman" w:eastAsia="Times New Roman" w:hAnsi="Times New Roman"/>
          <w:sz w:val="18"/>
          <w:szCs w:val="18"/>
          <w:color w:val="auto"/>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spacing w:after="0" w:line="85"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shareholder has waived any claim or right of action against our directors or officers for any action taken by directors or officers in the performance of their duties, except for actions involving fraud or dishonesty.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spacing w:after="0" w:line="77"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Insurance Act requires that where the shares of the registered insurer, or the shares of its parent company, are traded on a recognized stock exchange, and a person becomes a 10%, 20%, 33% or 50% shareholder controller of the insurer, that person shall, within 45 days, notify the BMA in writing that he has become such a controller. In addition, a person who is a shareholder controller of an insurer whose shares or the shares of its parent company (if any) are traded on a recognized stock exchange must serve on the BMA a notice in writing that he has reduced or disposed of his holding in the insurer where the proportion of voting rights in the insurer held by him will have reached or has fallen below 10%, 20%, 33% or 50% as the case may be, not later than 45 days after such disposal. This requirement will apply to us as long as our shares are listed on the NASDAQ Stock Market or another stock exchange recognized by the BMA. The BMA may, by written notice, object to a person holding 10%, 20%, 33% or 50% of our common shares if it appears to the BMA that the person is not fit and proper to be such a holder. The BMA may require the holder to reduce its shareholding in us and may direct, among other things, that the voting rights attaching to its shares shall not be exercisable. A person that does not comply with such a notice or direction from the BMA will be guilty of an offense.</w:t>
      </w:r>
    </w:p>
    <w:p>
      <w:pPr>
        <w:spacing w:after="0" w:line="7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JRG Re and Carolina Re are also required to notify the BMA in writing in the event any person has become or has ceased to be a controller or an officer of it (an officer includes a director, chief executive or senior executive performing duties of underwriting, actuarial, risk management, compliance, internal audit, finance or investment matters).</w:t>
      </w:r>
    </w:p>
    <w:p>
      <w:pPr>
        <w:spacing w:after="0" w:line="8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spacing w:after="0" w:line="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In addition to insurance holding company laws and regulations, under the Organizational Permit issued by the California Department of Insurance to Falls Lake Fire and Casualty Company, Falls Lake Fire and Casualty Company, as a new insurer, was required to enter into an agreement with Falls Lake National restricting the transfer of Falls Lake Fire and Casualty Company’s shares for a five-year period commencing January 1, 2016. Specifically, under the agreement, the restriction on share transfer is released automatically without further approval or consent by the California Department of Insurance, or any other party, at the following respective times: 5% at the end of the first year of the 5-year restriction period; an additional 5% at the end of the second year; an additional 10% at the end of the third year; an additional 20% at the end of the fourth year; and the remainder at the end of the fifth year. Therefore, under the Organizational Permit and the Agreement Restricting Shares, Falls Lake National’s ability to directly or indirectly transfer the shares of Falls Lake Fire and Casualty Company to anyone without the prior written approval of the California Department of Insurance is limited. These laws and the similar conditions applicable to Falls Lake Fire and Casualty Company’s shares may discourage potential acquisition proposals and may delay, deter or prevent an investment in or a change of control involving us, or one or more of our regulated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lease office space in Bermuda, where our principal executive office is located and our casualty reinsurance segment is based. We also lease offices in</w:t>
      </w:r>
    </w:p>
    <w:p>
      <w:pPr>
        <w:spacing w:after="0" w:line="39" w:lineRule="exact"/>
        <w:rPr>
          <w:sz w:val="20"/>
          <w:szCs w:val="20"/>
          <w:color w:val="auto"/>
        </w:rPr>
      </w:pPr>
    </w:p>
    <w:p>
      <w:pPr>
        <w:ind w:right="320" w:firstLine="8"/>
        <w:spacing w:after="0" w:line="254"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Chapel Hill, North Carolina, where our U.S. holding company, James River Group is based, (2) Raleigh, North Carolina, Santa Margarita, California, Princeton, New Jersey, and Saratoga Springs, New York where we conduct business in our Specialty Admitted Insurance segment and (3) Richmond, Virginia, Scottsdale, Arizona and Atlanta, Georgia for the conduct of business in our Excess and Surplus Lines segment. We believe that our facilities are adequate for our current needs and that suitable additional or substitute space will be available as needed.</w:t>
      </w:r>
    </w:p>
    <w:p>
      <w:pPr>
        <w:spacing w:after="0" w:line="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60" w:firstLine="351"/>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 results of operations or cash flows.</w:t>
      </w:r>
    </w:p>
    <w:p>
      <w:pPr>
        <w:spacing w:after="0" w:line="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60"/>
          </w:cols>
          <w:pgMar w:left="240" w:top="122" w:right="299" w:bottom="1440" w:gutter="0" w:footer="0" w:header="0"/>
        </w:sectPr>
      </w:pPr>
    </w:p>
    <w:bookmarkStart w:id="62" w:name="page63"/>
    <w:bookmarkEnd w:id="6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left="980" w:right="260" w:hanging="971"/>
        <w:spacing w:after="0" w:line="349"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Our common shares began trading on the NASDAQ Global Select Market under the symbol “JRVR” on December 12, 2014. Prior to that time, there was no public market for our common shares. As of February 25, 2019, there were approximately 8 holders of record of our common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We paid dividends of $0.30 per share in each quarter of 2018 and 2017. We also paid a special dividend of $0.50 per share in the fourth quarter of 2017. We paid dividends of $0.20 per share in each of the first three quarters of 2016 and, in the fourth quarter, a $0.30 per share dividend plus a special dividend of $1.35 per share.</w:t>
      </w:r>
    </w:p>
    <w:p>
      <w:pPr>
        <w:spacing w:after="0" w:line="68"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We are a holding company that has no substantial operations of our own, and we rely primarily on cash dividends or distributions from our subsidiaries to pay our operating expenses and dividends to shareholders. The payment of dividends by our insurance and reinsurance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“Risk Factors — Risks Related to Ownership of Our Common Shares—We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spacing w:after="0" w:line="78"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The declaration, payment and amount of future dividends is subject to the discretion of our board of directors. Our board of directors will give consideration to various risks and uncertainties, including those discussed under the headings “Risk Factors” and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(5) the effect of a dividend or dividends upon our financial strength ratings and (6) any other factors that our board of directors deems relevant.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of our common shares relative to the cumulative total returns of the Russell 2000 index and a selected peer group of seven companies that includes Amerisafe Inc., Argo Group International Holdings Ltd, Kinsale Capital Group Inc., Markel Corp, Navigators Group Inc., RLI Corp and W. R. Berkley Corp. The companies in the peer group are weighted by market capitalization. The calculation of cumulative total shareholder return assumes an initial investment of $100 and the reinvestment of all dividends, if any, for the period from December 12, 2014 (the date of our initial public offering) through December 31, 2018. Such returns are based on historical results and are not intended to suggest future performance.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848985" cy="4862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12/12/2014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12/14</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12/15</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12/16</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12/17</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12/18</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River Group Holdings, Ltd.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107.11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166.93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219.56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220.59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207.89</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Russell 2000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104.65</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100.03</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121.34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139.11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123.79</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101.78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123.89</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139.82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159.20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163.62</w:t>
            </w:r>
          </w:p>
        </w:tc>
      </w:tr>
      <w:tr>
        <w:trPr>
          <w:trHeight w:val="27"/>
        </w:trPr>
        <w:tc>
          <w:tcPr>
            <w:tcW w:w="4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60"/>
          </w:cols>
          <w:pgMar w:left="240" w:top="122" w:right="299" w:bottom="1440" w:gutter="0" w:footer="0" w:header="0"/>
        </w:sectPr>
      </w:pPr>
    </w:p>
    <w:bookmarkStart w:id="64" w:name="page65"/>
    <w:bookmarkEnd w:id="6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48"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The following tables present selected historical financial information of James River Group Holdings, Ltd. derived from our consolidated balance sheets as of December 31, 2018, 2017, 2016, 2015 and 2014, and the related consolidated statements of income and comprehensive income, changes in shareholders’ equity and cash flows for each of the five years in the period ended December 31, 2018, which have been audited by Ernst &amp; Young LLP.</w:t>
      </w:r>
    </w:p>
    <w:p>
      <w:pPr>
        <w:spacing w:after="0" w:line="68" w:lineRule="exact"/>
        <w:rPr>
          <w:sz w:val="20"/>
          <w:szCs w:val="20"/>
          <w:color w:val="auto"/>
        </w:rPr>
      </w:pPr>
    </w:p>
    <w:p>
      <w:pPr>
        <w:ind w:right="120" w:firstLine="351"/>
        <w:spacing w:after="0" w:line="313" w:lineRule="auto"/>
        <w:rPr>
          <w:sz w:val="20"/>
          <w:szCs w:val="20"/>
          <w:color w:val="auto"/>
        </w:rPr>
      </w:pPr>
      <w:r>
        <w:rPr>
          <w:rFonts w:ascii="Times New Roman" w:cs="Times New Roman" w:eastAsia="Times New Roman" w:hAnsi="Times New Roman"/>
          <w:sz w:val="17"/>
          <w:szCs w:val="17"/>
          <w:color w:val="auto"/>
        </w:rPr>
        <w:t>You should read this selected financial data along with the consolidated financial statements and accompanying notes included elsewhere in this Annual Report, as well as the section of this Annual Report titled “Management’s Discussion and Analysis of Financial Condition and Results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20" w:type="dxa"/>
            <w:vAlign w:val="bottom"/>
            <w:gridSpan w:val="10"/>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per share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Results: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Gross written premiums</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1,166,773</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1,081,905</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737,398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572,194</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518,767</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Ceded written premiums</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762,672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766,626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557,708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471,032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450,083</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815,398</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741,109</w:t>
            </w:r>
          </w:p>
        </w:tc>
        <w:tc>
          <w:tcPr>
            <w:tcW w:w="4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515,663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461,205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396,212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52,638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885,599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817,625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586,227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504,921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439,003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555,377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325,421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237,368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196,993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170,828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133,055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814,761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506,884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445,145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393,379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79,343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63,830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43,566</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53,497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44,685</w:t>
            </w: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EEFF"/>
          </w:tcPr>
          <w:p>
            <w:pPr>
              <w:ind w:left="40"/>
              <w:spacing w:after="0" w:line="257" w:lineRule="exact"/>
              <w:rPr>
                <w:sz w:val="20"/>
                <w:szCs w:val="20"/>
                <w:color w:val="auto"/>
              </w:rPr>
            </w:pPr>
            <w:r>
              <w:rPr>
                <w:rFonts w:ascii="Times New Roman" w:cs="Times New Roman" w:eastAsia="Times New Roman" w:hAnsi="Times New Roman"/>
                <w:sz w:val="18"/>
                <w:szCs w:val="18"/>
                <w:color w:val="auto"/>
              </w:rPr>
              <w:t>Adjusted net operating income</w:t>
            </w:r>
            <w:r>
              <w:rPr>
                <w:rFonts w:ascii="Times New Roman" w:cs="Times New Roman" w:eastAsia="Times New Roman" w:hAnsi="Times New Roman"/>
                <w:sz w:val="25"/>
                <w:szCs w:val="25"/>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70,596</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4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71,318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58,424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 average shares outstanding — diluted</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30,307,101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30,273,149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29,894,378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29,334,918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28,810,301</w:t>
            </w:r>
          </w:p>
        </w:tc>
        <w:tc>
          <w:tcPr>
            <w:tcW w:w="0" w:type="dxa"/>
            <w:vAlign w:val="bottom"/>
          </w:tcPr>
          <w:p>
            <w:pPr>
              <w:spacing w:after="0"/>
              <w:rPr>
                <w:sz w:val="1"/>
                <w:szCs w:val="1"/>
                <w:color w:val="auto"/>
              </w:rPr>
            </w:pPr>
          </w:p>
        </w:tc>
      </w:tr>
      <w:tr>
        <w:trPr>
          <w:trHeight w:val="59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At or for the Year Ended December 31,</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0" w:type="dxa"/>
            <w:vAlign w:val="bottom"/>
            <w:gridSpan w:val="5"/>
          </w:tcPr>
          <w:p>
            <w:pPr>
              <w:jc w:val="center"/>
              <w:ind w:right="231"/>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per share amounts and ratios)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invested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1,850,303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1,611,149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1,442,114</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1,350,697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1,310,628</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485,715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313,816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185,614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143,086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128,979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219,368</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220,165</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220,762</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221,359</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221,956</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3,136,776</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2,756,695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2,346,533</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2,055,497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1,959,292</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1,661,459</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1,292,349</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943,865</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785,322</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716,296</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386,473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418,114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390,563</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301,104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277,579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118,300</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98,300</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88,300</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88,300</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88,300</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104,055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104,055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104,055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104,055</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104,055</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2,427,535</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2,061,996</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1,653,312</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1,374,459</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1,271,371</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709,241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694,699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693,221</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681,038</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687,921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GAAP Underwriting Ratios: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Loss ratio</w:t>
            </w:r>
            <w:r>
              <w:rPr>
                <w:rFonts w:ascii="Times New Roman" w:cs="Times New Roman" w:eastAsia="Times New Roman" w:hAnsi="Times New Roman"/>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70"/>
        </w:trPr>
        <w:tc>
          <w:tcPr>
            <w:tcW w:w="3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Expense ratio</w:t>
            </w:r>
            <w:r>
              <w:rPr>
                <w:rFonts w:ascii="Times New Roman" w:cs="Times New Roman" w:eastAsia="Times New Roman" w:hAnsi="Times New Roman"/>
                <w:sz w:val="25"/>
                <w:szCs w:val="25"/>
                <w:color w:val="auto"/>
                <w:vertAlign w:val="superscript"/>
              </w:rPr>
              <w:t>(6)</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Combined ratio</w:t>
            </w:r>
            <w:r>
              <w:rPr>
                <w:rFonts w:ascii="Times New Roman" w:cs="Times New Roman" w:eastAsia="Times New Roman" w:hAnsi="Times New Roman"/>
                <w:sz w:val="25"/>
                <w:szCs w:val="25"/>
                <w:color w:val="auto"/>
                <w:vertAlign w:val="superscript"/>
              </w:rPr>
              <w:t>(7)</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Tangible equity</w:t>
            </w:r>
            <w:r>
              <w:rPr>
                <w:rFonts w:ascii="Times New Roman" w:cs="Times New Roman" w:eastAsia="Times New Roman" w:hAnsi="Times New Roman"/>
                <w:sz w:val="25"/>
                <w:szCs w:val="25"/>
                <w:color w:val="auto"/>
                <w:vertAlign w:val="superscript"/>
              </w:rPr>
              <w:t>(8)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489,873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474,534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472,459</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459,679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465,965</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Tangible equity per common share outstanding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16.34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15.98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16.15</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15.88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16.33</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Debt to total capitalization ratio</w:t>
            </w:r>
            <w:r>
              <w:rPr>
                <w:rFonts w:ascii="Times New Roman" w:cs="Times New Roman" w:eastAsia="Times New Roman" w:hAnsi="Times New Roman"/>
                <w:sz w:val="25"/>
                <w:szCs w:val="25"/>
                <w:color w:val="auto"/>
                <w:vertAlign w:val="superscript"/>
              </w:rPr>
              <w:t>(9)</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70"/>
        </w:trPr>
        <w:tc>
          <w:tcPr>
            <w:tcW w:w="3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Regulatory capital and surplus</w:t>
            </w:r>
            <w:r>
              <w:rPr>
                <w:rFonts w:ascii="Times New Roman" w:cs="Times New Roman" w:eastAsia="Times New Roman" w:hAnsi="Times New Roman"/>
                <w:sz w:val="25"/>
                <w:szCs w:val="25"/>
                <w:color w:val="auto"/>
                <w:vertAlign w:val="superscript"/>
              </w:rPr>
              <w:t>(10)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681,161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628,877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605,298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601,436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593,580</w:t>
            </w:r>
          </w:p>
        </w:tc>
      </w:tr>
      <w:tr>
        <w:trPr>
          <w:trHeight w:val="270"/>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written premiums to surplus ratio</w:t>
            </w:r>
            <w:r>
              <w:rPr>
                <w:rFonts w:ascii="Times New Roman" w:cs="Times New Roman" w:eastAsia="Times New Roman" w:hAnsi="Times New Roman"/>
                <w:sz w:val="18"/>
                <w:szCs w:val="18"/>
                <w:color w:val="auto"/>
                <w:vertAlign w:val="superscript"/>
              </w:rPr>
              <w:t>(3)</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1.1x</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1.2x</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0.9x</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0.8x</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835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right="160" w:hanging="332"/>
        <w:spacing w:after="0" w:line="34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received or to be received for insurance policies written or assumed by us during a specific period of time without reduction for acquisition costs, reinsurance costs or other deductions.</w:t>
      </w:r>
    </w:p>
    <w:p>
      <w:pPr>
        <w:spacing w:after="0" w:line="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written premiums ceded to (reinsured by) other insurers.</w:t>
      </w:r>
    </w:p>
    <w:p>
      <w:pPr>
        <w:spacing w:after="0" w:line="157" w:lineRule="exact"/>
        <w:rPr>
          <w:rFonts w:ascii="Times New Roman" w:cs="Times New Roman" w:eastAsia="Times New Roman" w:hAnsi="Times New Roman"/>
          <w:sz w:val="18"/>
          <w:szCs w:val="18"/>
          <w:color w:val="auto"/>
        </w:rPr>
      </w:pPr>
    </w:p>
    <w:p>
      <w:pPr>
        <w:ind w:left="340" w:right="220" w:hanging="332"/>
        <w:spacing w:after="0" w:line="34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this measure is useful in evaluating our insurance subsidiaries’ operating leverage. It may not be comparable to the definition of net written premiums to surplus ratio for other companies.</w:t>
      </w:r>
    </w:p>
    <w:p>
      <w:pPr>
        <w:spacing w:after="0" w:line="14" w:lineRule="exact"/>
        <w:rPr>
          <w:rFonts w:ascii="Times New Roman" w:cs="Times New Roman" w:eastAsia="Times New Roman" w:hAnsi="Times New Roman"/>
          <w:sz w:val="18"/>
          <w:szCs w:val="18"/>
          <w:color w:val="auto"/>
        </w:rPr>
      </w:pPr>
    </w:p>
    <w:p>
      <w:pPr>
        <w:ind w:left="340" w:right="80" w:hanging="332"/>
        <w:spacing w:after="0" w:line="25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operating income is a non-GAAP measure. We define adjusted net operating income as net income excluding net realized investment gains and losses, expenses related to due diligence costs for various merger and acquisition activities, severance costs associated with terminated employees, impairment charges on goodwill and intangible assets, gains on extinguishment of debt, expenses on a leased building we are deemed to own for accounting purposes, and professional services and other expenses associated with securities offerings and the payment of special dividends.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in accordance with GAAP. See “Management’s Discussion and Analysis of Financial Condition and Results of Operations—Reconciliation of Non-GAAP Measures” for a reconciliation of adjusted net operating income to net income in accordance with GAAP.</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ratio is the ratio, expressed as a percentage, of losses and loss adjustment expenses to net earned premiums, net of the effects of reinsurance.</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ratio is the ratio, expressed as a percentage, of other operating expenses to net earned premiums.</w:t>
      </w:r>
    </w:p>
    <w:p>
      <w:pPr>
        <w:spacing w:after="0" w:line="157" w:lineRule="exact"/>
        <w:rPr>
          <w:rFonts w:ascii="Times New Roman" w:cs="Times New Roman" w:eastAsia="Times New Roman" w:hAnsi="Times New Roman"/>
          <w:sz w:val="18"/>
          <w:szCs w:val="18"/>
          <w:color w:val="auto"/>
        </w:rPr>
      </w:pPr>
    </w:p>
    <w:p>
      <w:pPr>
        <w:ind w:left="340" w:right="660" w:hanging="332"/>
        <w:spacing w:after="0" w:line="34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ratio is the sum of the loss ratio and the expense ratio. A combined ratio under 100% generally indicates an underwriting profit. A combined ratio over 100% generally indicates an underwriting loss.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69" w:lineRule="exact"/>
        <w:rPr>
          <w:sz w:val="20"/>
          <w:szCs w:val="20"/>
          <w:color w:val="auto"/>
        </w:rPr>
      </w:pPr>
    </w:p>
    <w:p>
      <w:pPr>
        <w:jc w:val="both"/>
        <w:ind w:left="340" w:right="140" w:hanging="332"/>
        <w:spacing w:after="0" w:line="32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equity is shareholders’ equity less goodwill and intangible assets. Tangible equity should not be viewed as a substitute for shareholders’ equity calculated in accordance with GAAP. See “Management’s Discussion and Analysis of Financial Condition and Results of Operations — Reconciliation of Non-GAAP Measures” for a reconciliation of tangible equity to shareholders’ equity in accordance with GAAP.</w:t>
      </w:r>
    </w:p>
    <w:p>
      <w:pPr>
        <w:spacing w:after="0" w:line="60" w:lineRule="exact"/>
        <w:rPr>
          <w:rFonts w:ascii="Times New Roman" w:cs="Times New Roman" w:eastAsia="Times New Roman" w:hAnsi="Times New Roman"/>
          <w:sz w:val="18"/>
          <w:szCs w:val="18"/>
          <w:color w:val="auto"/>
        </w:rPr>
      </w:pPr>
    </w:p>
    <w:p>
      <w:pPr>
        <w:ind w:left="340" w:right="220" w:hanging="332"/>
        <w:spacing w:after="0" w:line="34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expressed as a percentage, of total indebtedness for borrowed money to the sum of total indebtedness for borrowed money and shareholders’ equity.</w:t>
      </w:r>
    </w:p>
    <w:p>
      <w:pPr>
        <w:spacing w:after="0" w:line="1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U.S. insurance subsidiaries, the excess of assets over liabilities as determined in accordance with statutory accounting principles as determined by the NAIC. For our Bermuda reinsurer, shareholders’ equity in accordance with U.S. generally accepted accounting principles (“GAAP”).</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6" w:lineRule="exact"/>
        <w:rPr>
          <w:sz w:val="20"/>
          <w:szCs w:val="20"/>
          <w:color w:val="auto"/>
        </w:rPr>
      </w:pPr>
    </w:p>
    <w:p>
      <w:pPr>
        <w:ind w:right="32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and involves numerous risks and uncertainties, including those described under the heading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2"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2018, approximately 67.6% of our group-wide gross written premiums originated from the U.S. E&amp;S lines market including business assumed by our Casualty Reinsurance segment. We also have a specialty admitted insurance business in the United States. We intend to concentrate substantially all of our underwriting in casualty insurance and reinsurance, and for the year ended December 31, 2018, we derived 98.5% of our group-wide gross written premiums from casualty insurance and reinsurance.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report our business in four segments: Excess and Surplus Lines, Specialty Admitted Insurance, Casualty Reinsurance and Corporate and Other.</w:t>
      </w:r>
    </w:p>
    <w:p>
      <w:pPr>
        <w:spacing w:after="0" w:line="117" w:lineRule="exact"/>
        <w:rPr>
          <w:sz w:val="20"/>
          <w:szCs w:val="20"/>
          <w:color w:val="auto"/>
        </w:rPr>
      </w:pPr>
    </w:p>
    <w:p>
      <w:pPr>
        <w:ind w:right="280" w:firstLine="351"/>
        <w:spacing w:after="0" w:line="254" w:lineRule="auto"/>
        <w:rPr>
          <w:sz w:val="20"/>
          <w:szCs w:val="20"/>
          <w:color w:val="auto"/>
        </w:rPr>
      </w:pPr>
      <w:r>
        <w:rPr>
          <w:rFonts w:ascii="Times New Roman" w:cs="Times New Roman" w:eastAsia="Times New Roman" w:hAnsi="Times New Roman"/>
          <w:sz w:val="18"/>
          <w:szCs w:val="18"/>
          <w:color w:val="auto"/>
        </w:rPr>
        <w:t>The Excess and Surplus Lines segment offers E&amp;S commercial lines liability and property insurance in every U.S. state and the District of Columbia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2018, the average account in this segment (excluding commercial auto policies) generated annual gross written premiums of approximately $20,000. The Excess and Surplus Lines segment distributes primarily through wholesale insurance brokers. Members of our management team have participated in this market for over three decades and have long-standing relationships with the wholesale agents who place E&amp;S lines accounts. The Excess and Surplus Lines segment produced 56.3% of our gross written premiums and 74.9% of our net written premiums for the year ended December 31, 2018.</w:t>
      </w:r>
    </w:p>
    <w:p>
      <w:pPr>
        <w:spacing w:after="0" w:line="8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The Specialty Admitted Insurance segment focuses on niche classes within the standard insurance markets, such as workers’ compensation coverage for building trades, healthcare employees, goods and services, manufacturing, specialty transportation, and agriculture, and on the fronting and program business. In our fronting business, we retain a small percentage of the risk and seek to earn fee income by allowing other carriers and producers to use our licensure, ratings, and infrastructure. Given market conditions and availability of reinsurance for program opportunities, we began de-emphasizing program business in 2017. Through Falls Lake National and its subsidiaries, this segment has admitted licenses in 49 states and the District of Columbia and distributes through a variety of sources, including independent retail agents, program administrators and MGAs. The Specialty Admitted Insurance segment produced 32.1% of our gross written premiums and 7.3% of our net written premiums for the year ended December 31, 2018.</w:t>
      </w:r>
    </w:p>
    <w:p>
      <w:pPr>
        <w:spacing w:after="0" w:line="81"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which allow the ceding company to capture a greater percentage of the profits should the business prove more profitable than expected, or alternatively, with additional premiums should the business incur higher than expected losses. We believe these structures best align our interests with the interests of our cedents. On a premium volume basis, treaties with loss mitigation features including sliding scale ceding commissions represented 81.7% of the gross premiums written by our Casualty Reinsurance segment during 2018. We typically do not assume large individual risks in our Casualty Reinsurance segment, nor do we write property catastrophe reinsurance. Most of the policies assumed by our Casualty Reinsurance segment have a $1.0 million per occurrence limit, and we typically assume only a portion of that exposure. We believe this structure reduces volatility in our underwriting results. We do not assume stand-alone third-party property business at our Casualty Reinsurance segment, but we do have a small amount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assumed business with ancillary property exposure. 83.7% of premiums written by our Casualty Reinsurance segment during 2018 were general liability accounts assumed from E&amp;S carriers. The Casualty Reinsurance segment distributes through reinsurance brokers. The Casualty Reinsurance segment produced 11.6% of our gross written premiums and 17.8% of our net written premiums for the year ended December 31, 2018.</w:t>
      </w:r>
    </w:p>
    <w:p>
      <w:pPr>
        <w:spacing w:after="0" w:line="68"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The Casualty Reinsurance segment writes business through two entities, JRG Re and Carolina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This business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2018, 54.9% of our cash and invested assets were held at JRG Re, which benefits from a favorable operating environment, including an absence of corporate income or investment taxes.</w:t>
      </w:r>
    </w:p>
    <w:p>
      <w:pPr>
        <w:spacing w:after="0" w:line="8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December 22, 2017, the United States enacted Public Law No. 115-97, informally titled the Tax Cuts and Jobs Act (the “Tax Act”). The Tax Act significantly changed the U.S. Internal Revenue Code of 1986, as amended (the “Code”), including by reducing the U.S. corporate income tax rate from 35% to 21% and imposing a base erosion and anti-abuse tax (“BEAT”). In response to the Tax Act, we made changes to our structure in 2018 to minimize the impact of BEAT that included the formation of Carolina Re, a Bermuda-domiciled, wholly-owned subsidiary of James River Group, Inc. Carolina Re is a Class 3A reinsurer and made an irrevocable election to be taxed as a U.S. domestic corporation under Section 953(d) of the Code effective January 1, 2018. Carolina Re is also the cedent on a stop loss reinsurance treaty with JRG Re.</w:t>
      </w:r>
    </w:p>
    <w:p>
      <w:pPr>
        <w:spacing w:after="0" w:line="80" w:lineRule="exact"/>
        <w:rPr>
          <w:sz w:val="20"/>
          <w:szCs w:val="20"/>
          <w:color w:val="auto"/>
        </w:rPr>
      </w:pPr>
    </w:p>
    <w:p>
      <w:pPr>
        <w:ind w:right="100" w:firstLine="351"/>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and interest expense associated with our debt.</w:t>
      </w:r>
    </w:p>
    <w:p>
      <w:pPr>
        <w:spacing w:after="0" w:line="54"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Losses and Loss Adjustment Expenses</w:t>
      </w:r>
    </w:p>
    <w:p>
      <w:pPr>
        <w:spacing w:after="0" w:line="12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we write and the limited operating experience of the Casualty Reinsurance segment and of the fronting and program business in the Specialty Admitted Insurance segment and the commercial auto business in our Excess and Surplus lines segment. In applying this judgment, we frequently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spacing w:after="0" w:line="81"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spacing w:after="0" w:line="72"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Our Casualty Reinsurance segment generally establishes case reserves based on reports received from ceding companies or their brokers. For excess of loss contracts, we are typically notified of insurance losses on specific contracts, and we record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case reserves based on the estimated ultimate losses on each claim. For proportional contracts, we typically receive aggregated claims information and record case reserves based on that information.</w:t>
      </w:r>
    </w:p>
    <w:p>
      <w:pPr>
        <w:spacing w:after="0" w:line="54"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Company’s gross reserve for losses and loss adjustment expenses at December 31, 2018 was $1,661.5 million. Of this amount, 62.4% relates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IBNR. The Company’s gross reserve for losses and loss adjustment expenses by segment are summarized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Gross Reserves at December 31, 2018</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Case</w:t>
            </w:r>
          </w:p>
        </w:tc>
        <w:tc>
          <w:tcPr>
            <w:tcW w:w="220" w:type="dxa"/>
            <w:vAlign w:val="bottom"/>
          </w:tcPr>
          <w:p>
            <w:pPr>
              <w:spacing w:after="0"/>
              <w:rPr>
                <w:sz w:val="12"/>
                <w:szCs w:val="12"/>
                <w:color w:val="auto"/>
              </w:rPr>
            </w:pP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IBNR</w:t>
            </w:r>
          </w:p>
        </w:tc>
        <w:tc>
          <w:tcPr>
            <w:tcW w:w="500" w:type="dxa"/>
            <w:vAlign w:val="bottom"/>
          </w:tcPr>
          <w:p>
            <w:pPr>
              <w:spacing w:after="0"/>
              <w:rPr>
                <w:sz w:val="12"/>
                <w:szCs w:val="12"/>
                <w:color w:val="auto"/>
              </w:rPr>
            </w:pPr>
          </w:p>
        </w:tc>
        <w:tc>
          <w:tcPr>
            <w:tcW w:w="86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Pr>
          <w:p>
            <w:pPr>
              <w:jc w:val="right"/>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IBNR %</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352,015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608,548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960,563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264,399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426,315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110,339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164,242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274,581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624,270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1,037,189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1,661,459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Company’s net reserve for losses and loss adjustment expenses at December 31, 2018 was $1,194.1 million. Of this amount, 61.5% relates to IBNR.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reserve for losses and loss adjustment expenses by segment are summarized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Net Reserves at December 31, 2018</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Case</w:t>
            </w:r>
          </w:p>
        </w:tc>
        <w:tc>
          <w:tcPr>
            <w:tcW w:w="26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IBNR</w:t>
            </w:r>
          </w:p>
        </w:tc>
        <w:tc>
          <w:tcPr>
            <w:tcW w:w="500" w:type="dxa"/>
            <w:vAlign w:val="bottom"/>
          </w:tcPr>
          <w:p>
            <w:pPr>
              <w:spacing w:after="0"/>
              <w:rPr>
                <w:sz w:val="12"/>
                <w:szCs w:val="12"/>
                <w:color w:val="auto"/>
              </w:rPr>
            </w:pPr>
          </w:p>
        </w:tc>
        <w:tc>
          <w:tcPr>
            <w:tcW w:w="86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Pr>
          <w:p>
            <w:pPr>
              <w:jc w:val="right"/>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IBNR %</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320,783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514,160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834,943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56,951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89,298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106,695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163,152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269,847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459,825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734,263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1,194,088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Our Reserve Committee consists of our Chief Actuary, President and Chief Executive Officer, Chief Financial Officer, and Chief Accounting Officer. Additionally, the presidents and chief actuaries of each of our three operating segments assist in the evaluations of their respective segments. The Reserve Committee meets quarterly to review the actuarial recommendations made by each chief actuary and uses its best judgment to determine the best estimate to be recorded for the reserve for losses and loss adjustment expenses on our balance sheet. The Reserve Committee believes that using judgment to supplement the actuarial recommendations is necessary to arrive at a best estimate given the nature of the business that we write and the limited operating experience of the Casualty Reinsurance segment, the fronting and program business in the Specialty Admitted Insurance segment and the commercial auto underwriting division in the Excess and Surplus Lines segment.</w:t>
      </w:r>
    </w:p>
    <w:p>
      <w:pPr>
        <w:spacing w:after="0" w:line="81"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The process of estimating the reserve for losses and loss adjustment expenses requires a high degree of judgment and is subject to a number of variables. In establishing the quarterly actuarial recommendation for the reserve for losses and loss adjustment expenses, our internal actuaries estimate an initial expected ultimate loss ratio for each of our product lines by accident year (or for our Casualty Reinsurance segment, on a contract by contract basis). Input from our underwriting and claims departments, including premium pricing assumptions and historical experience, are considered by our internal actuaries in estimating the initial expected loss ratios. Our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actuarial methods that we use in our reserve estimation process 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Loss Method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Loss method multiplies earned premiums by an initial expected loss ratio.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Incurred Loss Development Method</w:t>
      </w:r>
    </w:p>
    <w:p>
      <w:pPr>
        <w:spacing w:after="0" w:line="119"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The Incurred Loss Development method uses historical loss reporting patterns to estimate future loss reporting patterns. In this method, our actuaries apply historical loss reporting patterns to develop incurred loss development factors that are applied to current reported losses to calculate expected ultimate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 Loss Development Method</w:t>
      </w:r>
    </w:p>
    <w:p>
      <w:pPr>
        <w:spacing w:after="0" w:line="119"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Bornhuetter-Ferguson Incurred Loss Development Method</w:t>
      </w:r>
    </w:p>
    <w:p>
      <w:pPr>
        <w:spacing w:after="0" w:line="119" w:lineRule="exact"/>
        <w:rPr>
          <w:sz w:val="20"/>
          <w:szCs w:val="20"/>
          <w:color w:val="auto"/>
        </w:rPr>
      </w:pPr>
    </w:p>
    <w:p>
      <w:pPr>
        <w:jc w:val="both"/>
        <w:ind w:right="220" w:firstLine="351"/>
        <w:spacing w:after="0" w:line="266" w:lineRule="auto"/>
        <w:rPr>
          <w:sz w:val="20"/>
          <w:szCs w:val="20"/>
          <w:color w:val="auto"/>
        </w:rPr>
      </w:pPr>
      <w:r>
        <w:rPr>
          <w:rFonts w:ascii="Times New Roman" w:cs="Times New Roman" w:eastAsia="Times New Roman" w:hAnsi="Times New Roman"/>
          <w:sz w:val="18"/>
          <w:szCs w:val="18"/>
          <w:color w:val="auto"/>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 initial expected ultimate loss ratio and an estimate of the percentage of ultimate losses that are unreported at the valuation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Bornhuetter-Ferguson Paid Loss Development Method</w:t>
      </w:r>
    </w:p>
    <w:p>
      <w:pPr>
        <w:spacing w:after="0" w:line="119" w:lineRule="exact"/>
        <w:rPr>
          <w:sz w:val="20"/>
          <w:szCs w:val="20"/>
          <w:color w:val="auto"/>
        </w:rPr>
      </w:pPr>
    </w:p>
    <w:p>
      <w:pPr>
        <w:ind w:right="140" w:firstLine="351"/>
        <w:spacing w:after="0" w:line="261" w:lineRule="auto"/>
        <w:rPr>
          <w:sz w:val="20"/>
          <w:szCs w:val="20"/>
          <w:color w:val="auto"/>
        </w:rPr>
      </w:pPr>
      <w:r>
        <w:rPr>
          <w:rFonts w:ascii="Times New Roman" w:cs="Times New Roman" w:eastAsia="Times New Roman" w:hAnsi="Times New Roman"/>
          <w:sz w:val="18"/>
          <w:szCs w:val="18"/>
          <w:color w:val="auto"/>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w:t>
      </w:r>
    </w:p>
    <w:p>
      <w:pPr>
        <w:spacing w:after="0" w:line="7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Different reserving methods are appropriate in different situations, and our actuaries use their judgment and experience to determine the weighting of the methods detailed above to use for each accident year and each line of business and, for our Casualty Reinsurance segment, on a contract by contract basis. For example, the current accident year has very little incurred and paid loss development data on which to base reserve projections. As a result, we rely heavily on the Expected Loss Method in estimating reserves for the current accident year. We generally set our initial expected loss ratio for the current accident year consistent with our pricing assumptions.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spacing w:after="0" w:line="8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actuary performs a study on each of these parameters annually and makes recommendations for the initial expected loss ratios, the incurred and paid loss development factors and the weighting of the five actuarial methods by accident year and line of business. Members of the Reserve Committee review and approve the parameter review actuarial recommendations, and these approved parameters are used in the reserve estimation process for the next four quarters at which time a new parameter study is performed. For the Casualty Reinsurance segment, periodic assessments are made on a contract by contract basis with the goal of keeping the initial expected loss ratios and the incurred and paid loss development factors as constant as possible until sufficient evidence presents itself to support adjustments. Method weights are generally less rigid for the Casualty Reinsurance segment given the heterogeneous nature of the various contracts, and the potential for significant changes in mix of business within individual treaties.</w:t>
      </w:r>
    </w:p>
    <w:p>
      <w:pPr>
        <w:spacing w:after="0" w:line="78" w:lineRule="exact"/>
        <w:rPr>
          <w:sz w:val="20"/>
          <w:szCs w:val="20"/>
          <w:color w:val="auto"/>
        </w:rPr>
      </w:pPr>
    </w:p>
    <w:p>
      <w:pPr>
        <w:ind w:right="20" w:firstLine="351"/>
        <w:spacing w:after="0" w:line="261" w:lineRule="auto"/>
        <w:rPr>
          <w:sz w:val="20"/>
          <w:szCs w:val="20"/>
          <w:color w:val="auto"/>
        </w:rPr>
      </w:pPr>
      <w:r>
        <w:rPr>
          <w:rFonts w:ascii="Times New Roman" w:cs="Times New Roman" w:eastAsia="Times New Roman" w:hAnsi="Times New Roman"/>
          <w:sz w:val="18"/>
          <w:szCs w:val="18"/>
          <w:color w:val="auto"/>
        </w:rPr>
        <w:t>We engage an independent internationally recognized actuarial consulting firm to review our reserves for losses and loss adjustment expenses twice each year, once prior to closing the third quarter and once for the closing of the fourth quarter. This independent actuarial consulting firm prepares its own estimate of our reserve for loss and loss adjustment expenses, and we compare their estimate to the reserve for losses and loss adjustment expenses reviewed and approved by the Reserve Committee in order to gain additional comfort on the adequacy of our reserves.</w:t>
      </w:r>
    </w:p>
    <w:p>
      <w:pPr>
        <w:spacing w:after="0" w:line="72" w:lineRule="exact"/>
        <w:rPr>
          <w:sz w:val="20"/>
          <w:szCs w:val="20"/>
          <w:color w:val="auto"/>
        </w:rPr>
      </w:pPr>
    </w:p>
    <w:p>
      <w:pPr>
        <w:ind w:right="360" w:firstLine="351"/>
        <w:spacing w:after="0" w:line="282" w:lineRule="auto"/>
        <w:rPr>
          <w:sz w:val="20"/>
          <w:szCs w:val="20"/>
          <w:color w:val="auto"/>
        </w:rPr>
      </w:pPr>
      <w:r>
        <w:rPr>
          <w:rFonts w:ascii="Times New Roman" w:cs="Times New Roman" w:eastAsia="Times New Roman" w:hAnsi="Times New Roman"/>
          <w:sz w:val="18"/>
          <w:szCs w:val="18"/>
          <w:color w:val="auto"/>
        </w:rPr>
        <w:t>The table below quantifies the impact of extreme reserve deviations from our expected value at December 31, 2018. The total carried net reserve for losses and loss adjustment expenses is displayed alongside 5th, 50th and 95th percentiles of likely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ultimate net reserve outcomes. The estimates of these percentiles are a result of a reserve variability analysis using a simulation approach.</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28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5th Pct.</w:t>
            </w:r>
          </w:p>
        </w:tc>
        <w:tc>
          <w:tcPr>
            <w:tcW w:w="340" w:type="dxa"/>
            <w:vAlign w:val="bottom"/>
          </w:tcPr>
          <w:p>
            <w:pPr>
              <w:spacing w:after="0"/>
              <w:rPr>
                <w:sz w:val="16"/>
                <w:szCs w:val="16"/>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50th Pct.</w:t>
            </w:r>
          </w:p>
        </w:tc>
        <w:tc>
          <w:tcPr>
            <w:tcW w:w="48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Carried</w:t>
            </w:r>
          </w:p>
        </w:tc>
        <w:tc>
          <w:tcPr>
            <w:tcW w:w="360" w:type="dxa"/>
            <w:vAlign w:val="bottom"/>
          </w:tcPr>
          <w:p>
            <w:pPr>
              <w:spacing w:after="0"/>
              <w:rPr>
                <w:sz w:val="16"/>
                <w:szCs w:val="16"/>
                <w:color w:val="auto"/>
              </w:rPr>
            </w:pP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95th Pct.</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1,061,245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1,191,249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1,194,088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1,337,509</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reserves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(132,843)</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(2,839)</w:t>
            </w:r>
          </w:p>
        </w:tc>
        <w:tc>
          <w:tcPr>
            <w:tcW w:w="4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143,421</w:t>
            </w:r>
          </w:p>
        </w:tc>
      </w:tr>
    </w:tbl>
    <w:p>
      <w:pPr>
        <w:spacing w:after="0" w:line="117" w:lineRule="exact"/>
        <w:rPr>
          <w:sz w:val="20"/>
          <w:szCs w:val="20"/>
          <w:color w:val="auto"/>
        </w:rPr>
      </w:pPr>
    </w:p>
    <w:p>
      <w:pPr>
        <w:jc w:val="both"/>
        <w:ind w:right="460" w:firstLine="351"/>
        <w:spacing w:after="0" w:line="266" w:lineRule="auto"/>
        <w:rPr>
          <w:sz w:val="20"/>
          <w:szCs w:val="20"/>
          <w:color w:val="auto"/>
        </w:rPr>
      </w:pPr>
      <w:r>
        <w:rPr>
          <w:rFonts w:ascii="Times New Roman" w:cs="Times New Roman" w:eastAsia="Times New Roman" w:hAnsi="Times New Roman"/>
          <w:sz w:val="18"/>
          <w:szCs w:val="18"/>
          <w:color w:val="auto"/>
        </w:rPr>
        <w:t>The impact of recording the net reserve for losses and loss adjustment expenses at the highest value from the sensitivity analysis above would be to increase losses and loss adjustment expenses incurred by $143.4 million, reduce after-tax net income by $133.0 million, reduce shareholders’ equity by $133.0 million and reduce shareholders’ tangible equity by $133.0 million, in each case at or for the period ended December 31, 2018.</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impact of recording the net reserve for losses and loss adjustment expenses at the lowest value from the sensitivity analysis above would be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 losses and loss adjustment expenses incurred by $132.8 million, increase after-tax net income by $123.2 million, increase shareholders’ equity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$123.2 million, and increase tangible equity by $123.2 million, in each case at or for the year ended December 31, 2018. Such changes in the net reserve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losses and loss adjustment expenses would not have an immediate impact on our liquidity, but would affect cash flow and investment income in future periods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incremental or reduced amount of losses are paid and investment assets adjusted to reflect the level of paid claims.</w:t>
      </w:r>
    </w:p>
    <w:p>
      <w:pPr>
        <w:spacing w:after="0" w:line="99"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Loss reserve estimates are subject to a high degree of variability due to the inherent uncertainty of ultimate claims settlement values. In recording our best estimate of our reserve for losses and loss adjustment expenses, our Reserve Committee typically selects an amount above the actuarial recommendation due to the inherent variation associated with our reserve estimates and the likelihood that there are unforeseen or under-valued liabilities in the actuarial recommendations.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 The difficulty in pinpointing actual ultimate losses and loss adjustment expenses (“LAE”) is illustrated by the fact that at December 31, 2018, 61.6% of our net reserve for losses and loss adjustment expenses in the Excess and Surplus Lines segment is for claims that have not been reported.</w:t>
      </w:r>
    </w:p>
    <w:p>
      <w:pPr>
        <w:spacing w:after="0" w:line="8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81"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IBNR reserve estimates are inherently less precise than case reserve estimates. A 5% change in net IBNR reserves at December 31, 2018 would equate to a $36.7 million change in the reserve for losses and loss adjustment expenses at such date, a $32.6 million change in after-tax net income, a 4.6% change in shareholders’ equity and a 6.6% change in tangible equity, in each case at or for the year ended December 31, 2018.</w:t>
      </w:r>
    </w:p>
    <w:p>
      <w:pPr>
        <w:spacing w:after="0" w:line="68"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$17.7 million of adverse development was experienced in 2018 on the reserve for losses and loss adjustment expenses held at December 31, 2017. This adverse reserve development included $15.0 million of adverse development in the Excess and Surplus Lines segment, including $20.7 million of adverse development in the commercial auto line of business that was primarily related to the 2016 contract year with one insured. The adverse development for commercial auto was partially offset by $5.7 million of favorable development in other Excess and Surplus Lines underwriting divisions primarily from favorable development in the Excess Property underwriting division related to the 2017 hurricanes. Favorable reserve development in the Specialty Admitted Insurance segment was $5.6 million and primarily came from accident years 2014 through 2016, as loss emergence on our workers’ compensation business written prior to 2016 continued to develop more favorably than we had anticipated. In addition, $8.2 million of adverse development occurred in the Casualty Reinsurance segment, with a majority of this adverse development coming primarily from accident years at least four years old and in treaties the Company has since non-renewed.</w:t>
      </w:r>
    </w:p>
    <w:p>
      <w:pPr>
        <w:spacing w:after="0" w:line="81"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$21.5 million of adverse development was experienced in 2017 on the reserve for losses and loss adjustment expenses held at December 31, 2016. This adverse reserve development included $20.0 million of adverse development in the Excess and Surplus Lines segment, including $38.7 million of adverse development in the commercial auto line of business that was primarily related to the 2016 contract year with one insured. The adverse development for commercial auto was partially offset by favorable development of $18.6 million in other Excess and Surplus Lines underwriting divisions primarily from the 2014 through 2016 accident years. This favorable development occurred because our actuarial studies at December 31, 2017 for the Excess and Surplus Lines segment indicated that our loss experience on our casualty business excluding commercial auto continued to be below our initial expected ultimate loss ratios. The Company also experienced $2.7 million of favorable development on prior accident years in the Specialty Admitted Insurance segment primarily from accident years 2010 through 2015, as losses on our workers’ compensation business written prior to 2016 continued to develop more favorably than we had anticipated. The Casualty Reinsurance segment experienced $4.2 million of adverse development on prior accident years primarily from two contracts from 2010 through 2013 that had higher than expected reported losses in 2017.</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$23.7 million redundancy developed in 2016 on the reserve for losses and loss adjustment expenses held at December 31, 2015. This favorable reserve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included $24.1 million of favorable development in the Excess and Surplus Lines segment. The Excess and Surplus Lines segment 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included $10.0 million of favorable development from the 2015 accident year, $10.7 million of favorable development from the 2014 accident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and $4.5 million from the 2013 accident year. This favorable development occurred because our actuarial studies at December 31, 2016 showed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on our casualty business continued to be below our initial expected ultimate loss ratios driven by favorable calendar year emergence. 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 development in the Specialty Admitted Insurance segment was $3.8 million, and primarily came from accident years 2010 through 2014, as losses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workers’ compensation business written prior to 2015 continued to develop more favorably than we had anticipated. The Specialty Admitted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segment’s favorable development from accident years 2010 – 2014 was partially offset by unfavorable development for the 2015 accident year. In 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million of adverse development occurred in the Casualty Reinsurance segment, with the majority of this adverse development coming from two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2012 and 2013 underwriting years that experienced higher loss development in 2016 than expected.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Impairment</w:t>
      </w:r>
    </w:p>
    <w:p>
      <w:pPr>
        <w:spacing w:after="0" w:line="121"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We carry fixed maturity securities classified as “available-for-sale” at fair value, and unrealized gains and losses on such securities, net of any deferred taxes, are reported as a separate component of accumulated other comprehensive income. Equity securities (except those accounted for under the equity method of accounting or those that result in consolidation of the investee) are measured at fair value with changes in fair value recognized in net income. Fixed maturity securities purchased for short-term resale are classified as “trading” and are carried at fair value with unrealized gains and losses included in earnings as a component of investment income. We do not have any securities classified as “held-to-maturity.”</w:t>
      </w:r>
    </w:p>
    <w:p>
      <w:pPr>
        <w:spacing w:after="0" w:line="76" w:lineRule="exact"/>
        <w:rPr>
          <w:sz w:val="20"/>
          <w:szCs w:val="20"/>
          <w:color w:val="auto"/>
        </w:rPr>
      </w:pPr>
    </w:p>
    <w:p>
      <w:pPr>
        <w:jc w:val="both"/>
        <w:ind w:right="660" w:firstLine="351"/>
        <w:spacing w:after="0" w:line="266" w:lineRule="auto"/>
        <w:rPr>
          <w:sz w:val="20"/>
          <w:szCs w:val="20"/>
          <w:color w:val="auto"/>
        </w:rPr>
      </w:pPr>
      <w:r>
        <w:rPr>
          <w:rFonts w:ascii="Times New Roman" w:cs="Times New Roman" w:eastAsia="Times New Roman" w:hAnsi="Times New Roman"/>
          <w:sz w:val="18"/>
          <w:szCs w:val="18"/>
          <w:color w:val="auto"/>
        </w:rPr>
        <w:t>We evaluate our available-for-sale fixed maturity securities regularly to determine whether there have been declines in value that are other-than-temporary. Our outside investment managers assist us in this evaluation. When we determine that a security has experienced an other-than-temporary impairment, the impairment loss is recognized as a realized investment loss.</w:t>
      </w:r>
    </w:p>
    <w:p>
      <w:pPr>
        <w:spacing w:after="0" w:line="68"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We consider a number of factors in assessing whether an impairment is other-than-temporary, including (1) the amount and percentage that current fair value is below amortized cost, (2) the length of time that the fair value has been below amortized cost and (3) recent corporate developments or other factors that may impact an issuer’s near term prospects. In addition, we consider the credit quality ratings for the securities, with a special emphasis on securities downgraded to below investment grade. We also consider our intent to sell available-for-sale fixed maturity securities in an unrealized loss position, and if it is “more likely than not” that we will be required to sell these securities before a recovery in fair value to their amortized cost basis. As a starting point for our evaluation, we compare the fair value of each available-for-sale security to its amortized cost to identify any securities with a fair value less than amortized cost.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Management concluded that none of the fixed maturity securities with an unrealized loss at December 31, 2018, 2017, and 2016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6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2018, with the adoption of ASU 2016-01, </w:t>
      </w:r>
      <w:r>
        <w:rPr>
          <w:rFonts w:ascii="Times New Roman" w:cs="Times New Roman" w:eastAsia="Times New Roman" w:hAnsi="Times New Roman"/>
          <w:sz w:val="18"/>
          <w:szCs w:val="18"/>
          <w:i w:val="1"/>
          <w:iCs w:val="1"/>
          <w:color w:val="auto"/>
        </w:rPr>
        <w:t>Financial Instruments - Overall (Subtopic 825-10): Recognition and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 and Financial Liabilities</w:t>
      </w:r>
      <w:r>
        <w:rPr>
          <w:rFonts w:ascii="Times New Roman" w:cs="Times New Roman" w:eastAsia="Times New Roman" w:hAnsi="Times New Roman"/>
          <w:sz w:val="18"/>
          <w:szCs w:val="18"/>
          <w:color w:val="auto"/>
        </w:rPr>
        <w:t>, equity securities (except those accounted for under the equity method of accounting or those that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of the investee) are measured at fair value with changes in fair value recognized in net investment income. Prior to the adoption of ASU 2016-01, changes in the fair value of equity securities were recognized net of taxes as a component of accumulated other comprehensive income.</w:t>
      </w:r>
    </w:p>
    <w:p>
      <w:pPr>
        <w:spacing w:after="0" w:line="74"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At December 31, 2017, management concluded that one equity security, based on the severity and duration of the impairment, had experienced an other-than-temporary impairment. Accordingly, the Company recorded an impairment loss of $1.5 million in 2017. Management concluded that none of the other equity securities with an unrealized loss at December 31, 2017 and 2016 experienced an other-than-temporary impairment. Management evaluated the near-term prospects of these other equity securities in relation to the severity and duration of the impairment, and management had the ability and intent to hold the securities until a recovery of their fair value.</w:t>
      </w:r>
    </w:p>
    <w:p>
      <w:pPr>
        <w:spacing w:after="0" w:line="76" w:lineRule="exact"/>
        <w:rPr>
          <w:sz w:val="20"/>
          <w:szCs w:val="20"/>
          <w:color w:val="auto"/>
        </w:rPr>
      </w:pPr>
    </w:p>
    <w:p>
      <w:pPr>
        <w:ind w:right="420" w:firstLine="351"/>
        <w:spacing w:after="0" w:line="282" w:lineRule="auto"/>
        <w:rPr>
          <w:sz w:val="20"/>
          <w:szCs w:val="20"/>
          <w:color w:val="auto"/>
        </w:rPr>
      </w:pPr>
      <w:r>
        <w:rPr>
          <w:rFonts w:ascii="Times New Roman" w:cs="Times New Roman" w:eastAsia="Times New Roman" w:hAnsi="Times New Roman"/>
          <w:sz w:val="18"/>
          <w:szCs w:val="18"/>
          <w:color w:val="auto"/>
        </w:rPr>
        <w:t>Bank loan participations held-for-investment are managed by a specialized outside investment manager and are generally stated at their outstanding unpaid principal balances net of unamortized premiums or discounts and net of any allowance for credit losses.</w:t>
      </w:r>
    </w:p>
    <w:p>
      <w:pPr>
        <w:spacing w:after="0" w:line="54"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We maintain the allowance for credit losses at a level we believe is adequate to absorb estimated probable credit losses. Our periodic evaluation of the adequacy of the allowance is based on consultations and the advice of our specialized investment manager, known and inherent risks in the portfolio, adverse situations that may affect the borrowers’ ability to repay, the estimated value of any underlying collateral, current economic conditions and other relevant factors. The Company has recorded an allowance equal to the difference between the fair value and the amortized cost of bank loans that it has determined to be impaired as a practical expedient for an estimate of probable future cash flows to be collected on those bank loans. As a starting point for our evaluation, we compare the carrying value of each loan to its fair value to identify any loans that had a fair value less than its carrying value.</w:t>
      </w:r>
    </w:p>
    <w:p>
      <w:pPr>
        <w:spacing w:after="0" w:line="80"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2017 and 2016, the Company held a participation in a loan issued by a company that produces and supplies power to Puerto Rico through a power purchase agreement with Puerto Rico Electric Power Authority (“PREPA”), a public corporation and governmental agency of the Commonwealth of Puerto Rico. Management concluded that the loan was impaired and established credit allowances on the loan of $759,000 and $177,000 at December 31, 2017 and 2016, respectively. At December 31, 2017, the loan had a carrying value of zero and unpaid principal of $807,000. </w:t>
      </w:r>
      <w:r>
        <w:rPr>
          <w:rFonts w:ascii="Times New Roman" w:cs="Times New Roman" w:eastAsia="Times New Roman" w:hAnsi="Times New Roman"/>
          <w:sz w:val="18"/>
          <w:szCs w:val="18"/>
          <w:color w:val="231F20"/>
        </w:rPr>
        <w:t>In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quarter of 2018, the full outstanding principal on the loan was repaid and the Company recognized a realized gain of $807,000 on the repayment.</w:t>
      </w:r>
    </w:p>
    <w:p>
      <w:pPr>
        <w:spacing w:after="0" w:line="76"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231F20"/>
        </w:rPr>
        <w:t xml:space="preserve">Management concluded that none of the loans in the Company's bank loan portfolio were impaired 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At </w:t>
      </w:r>
      <w:r>
        <w:rPr>
          <w:rFonts w:ascii="Times New Roman" w:cs="Times New Roman" w:eastAsia="Times New Roman" w:hAnsi="Times New Roman"/>
          <w:sz w:val="18"/>
          <w:szCs w:val="18"/>
          <w:color w:val="000000"/>
        </w:rPr>
        <w:t>December 31, 2017,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aggregate allowance for credit losses was $3.2 million on five impaired loans with a total carrying value of $5.1 million and unpaid principal of $8.4 million. Impairments in the bank loan portfolio at December 31, 2017 largely reflected the impact of declining energy prices on the market values of loans to oil and gas companies in the energy sector at that time.</w:t>
      </w:r>
    </w:p>
    <w:p>
      <w:pPr>
        <w:spacing w:after="0" w:line="70"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Fair values are measured in accordance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4"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The fair values of fixed maturity securities and equity securities have been determined using fair value prices provided by our investment manager, who utilizes 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fair values of cash and cash equivalents and short-term investments approximate their carrying values due to their short-term maturity.</w:t>
      </w:r>
    </w:p>
    <w:p>
      <w:pPr>
        <w:spacing w:after="0" w:line="117"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investment is generally recorded based on such price.</w:t>
      </w:r>
    </w:p>
    <w:p>
      <w:pPr>
        <w:spacing w:after="0" w:line="72"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December 31, 2017, there was a bank loan participation with an unpaid principal balance of $807,000 and a carrying value of $0 for which external sources were unavailable to determine fair value. There were no bank loan participations for which external sources were unavailable to determine fair value at December 31, 2018.</w:t>
      </w:r>
    </w:p>
    <w:p>
      <w:pPr>
        <w:spacing w:after="0" w:line="81"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We review fair value prices provided by our outside investment managers for reasonableness by comparing the fair values provided by the managers to those provided by our investment custodian. We also review and monitor changes in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Reinsurance Premiums</w:t>
      </w:r>
    </w:p>
    <w:p>
      <w:pPr>
        <w:spacing w:after="0" w:line="121"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76" w:lineRule="exact"/>
        <w:rPr>
          <w:sz w:val="20"/>
          <w:szCs w:val="20"/>
          <w:color w:val="auto"/>
        </w:rPr>
      </w:pPr>
    </w:p>
    <w:p>
      <w:pPr>
        <w:ind w:right="60" w:firstLine="351"/>
        <w:spacing w:after="0" w:line="266" w:lineRule="auto"/>
        <w:rPr>
          <w:sz w:val="20"/>
          <w:szCs w:val="20"/>
          <w:color w:val="auto"/>
        </w:rPr>
      </w:pPr>
      <w:r>
        <w:rPr>
          <w:rFonts w:ascii="Times New Roman" w:cs="Times New Roman" w:eastAsia="Times New Roman" w:hAnsi="Times New Roman"/>
          <w:sz w:val="18"/>
          <w:szCs w:val="18"/>
          <w:color w:val="auto"/>
        </w:rPr>
        <w:t>Reinsurance premium estimates are reviewed by management periodically. Any adjustment to these estimates is recorded in the period in which it becomes known. The impact of any premium adjustments on net income is offset by corresponding changes to related policy acquisition costs and losses and loss adjustment expenses. For the years ended December 31, 2018, 2017, and 2016, these adjustments were immaterial.</w:t>
      </w:r>
    </w:p>
    <w:p>
      <w:pPr>
        <w:spacing w:after="0" w:line="68"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premiums are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76" w:lineRule="exact"/>
        <w:rPr>
          <w:sz w:val="20"/>
          <w:szCs w:val="20"/>
          <w:color w:val="auto"/>
        </w:rPr>
      </w:pPr>
    </w:p>
    <w:p>
      <w:pPr>
        <w:ind w:right="280" w:firstLine="351"/>
        <w:spacing w:after="0" w:line="282" w:lineRule="auto"/>
        <w:rPr>
          <w:sz w:val="20"/>
          <w:szCs w:val="20"/>
          <w:color w:val="auto"/>
        </w:rPr>
      </w:pPr>
      <w:r>
        <w:rPr>
          <w:rFonts w:ascii="Times New Roman" w:cs="Times New Roman" w:eastAsia="Times New Roman" w:hAnsi="Times New Roman"/>
          <w:sz w:val="18"/>
          <w:szCs w:val="18"/>
          <w:color w:val="auto"/>
        </w:rPr>
        <w:t>Certain of the Company’s reinsurance contracts include provisions that adjust premiums or acquisition expenses based upon the experience under the contracts. Premiums written and earned, as well as related acquisition expenses, are recorded based upon the projected experience under the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Accounting Standards Update (“ASU”) 2014-09, </w:t>
      </w:r>
      <w:r>
        <w:rPr>
          <w:rFonts w:ascii="Times New Roman" w:cs="Times New Roman" w:eastAsia="Times New Roman" w:hAnsi="Times New Roman"/>
          <w:sz w:val="18"/>
          <w:szCs w:val="18"/>
          <w:i w:val="1"/>
          <w:iCs w:val="1"/>
          <w:color w:val="231F20"/>
        </w:rPr>
        <w:t>Revenue from Contracts with Customers (Topic 606)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guidance applies to all companies that either enter into contracts with customers to transfer goods or services or enter into contracts for the transfer of nonfinancial assets, unless those contracts are within the scope of other standards, such as insurance contracts. Under this guidance, a company will recognize revenue when it transfers promised goods or services to customers in an amount that reflects the consideration to which the company expects to be entitled in exchange for those goods or services. Judgments required in adopting this update included identifying performance obligations in the contract, estimating the amount of variable consideration to include in the transaction price and allocating the transaction price to each separate performance obligation. The adoption of ASU 2014-09 had no impact on reported fee income and there was no cumulative effect of initially applying the update.</w:t>
      </w:r>
    </w:p>
    <w:p>
      <w:pPr>
        <w:spacing w:after="0" w:line="7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2016-01, </w:t>
      </w:r>
      <w:r>
        <w:rPr>
          <w:rFonts w:ascii="Times New Roman" w:cs="Times New Roman" w:eastAsia="Times New Roman" w:hAnsi="Times New Roman"/>
          <w:sz w:val="18"/>
          <w:szCs w:val="18"/>
          <w:i w:val="1"/>
          <w:iCs w:val="1"/>
          <w:color w:val="231F20"/>
        </w:rPr>
        <w:t>Financial Instruments - Overall (Subtopic 825-10): Recognition and Measurement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Financial Assets and Financial Liabilities</w:t>
      </w:r>
      <w:r>
        <w:rPr>
          <w:rFonts w:ascii="Times New Roman" w:cs="Times New Roman" w:eastAsia="Times New Roman" w:hAnsi="Times New Roman"/>
          <w:sz w:val="18"/>
          <w:szCs w:val="18"/>
          <w:color w:val="231F20"/>
        </w:rPr>
        <w:t>. Among other things, this ASU requires equity investments (except those accounted for under the equity method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accounting or those that result in consolidation of the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122" w:right="279" w:bottom="1440" w:gutter="0" w:footer="0" w:header="0"/>
        </w:sectPr>
      </w:pPr>
    </w:p>
    <w:bookmarkStart w:id="75" w:name="page76"/>
    <w:bookmarkEnd w:id="7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investee) to be measured at fair value with changes in fair value recognized in net income. Upon adoption on January 1, 2018, the Company made a $4.7 million cumulative-effect adjustment to increase retained earnings and reduce accumulated other comprehensive income. The adoption of ASU 2016-01 did not materially impact the Company's financial position, cash flows, or total comprehensive income. The Company's results of operations were impacted as changes in fair value of equity instruments are now presented in net income rather than other comprehensive (loss) income. For the year ended December 31, 2018, the respective impact on net income was a reduction of $4.7 million ($0.16 reduction in basic and diluted earnings per share).</w:t>
      </w:r>
    </w:p>
    <w:p>
      <w:pPr>
        <w:spacing w:after="0" w:line="7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w:t>
      </w:r>
      <w:r>
        <w:rPr>
          <w:rFonts w:ascii="Times New Roman" w:cs="Times New Roman" w:eastAsia="Times New Roman" w:hAnsi="Times New Roman"/>
          <w:sz w:val="18"/>
          <w:szCs w:val="18"/>
          <w:color w:val="000000"/>
        </w:rPr>
        <w:t>2018-02,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Income Statement - Reporting Comprehensive Income (Topic 220): Reclassification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Certain Tax Effects from Accumulated Other Comprehensive Income. </w:t>
      </w:r>
      <w:r>
        <w:rPr>
          <w:rFonts w:ascii="Times New Roman" w:cs="Times New Roman" w:eastAsia="Times New Roman" w:hAnsi="Times New Roman"/>
          <w:sz w:val="18"/>
          <w:szCs w:val="18"/>
          <w:color w:val="000000"/>
        </w:rPr>
        <w:t>This update was issued as a result of the enactment of the Tax Act on December 22,</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2017. The ASU allows for the option to reclassify the stranded tax effects resulting from the implementation of the Tax Act out of accumulated other comprehensive income and into retained earnings. As the adoption of ASU 2016-01 in 2018 resulted in the reclassification of the entire unrealized balance on equity securities from accumulated other comprehensive income into retained earnings, only the stranded tax effects on the unrealized balances of fixed income securities were impacted by the adoption of ASU 2018-02. The reclassification resulted in a $711,000 decrease to the Company's retained earnings with a corresponding increase to accumulated other comprehensive income in the first quarter of 2018.</w:t>
      </w:r>
    </w:p>
    <w:p>
      <w:pPr>
        <w:spacing w:after="0" w:line="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In February 2016, the FASB issued ASU 2016-02,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231F20"/>
        </w:rPr>
        <w:t xml:space="preserve">. Under current guidance for lessees, leases are only included on the balance sheet if they are designated as capital leases. This update will require the recognition of a right-of-use asset and a corresponding lease liability, discounted to the present value, for all leases that extend beyond 12 months. This ASU is effective for annual and interim reporting periods beginning after December 15, 2018. </w:t>
      </w:r>
      <w:r>
        <w:rPr>
          <w:rFonts w:ascii="Times New Roman" w:cs="Times New Roman" w:eastAsia="Times New Roman" w:hAnsi="Times New Roman"/>
          <w:sz w:val="18"/>
          <w:szCs w:val="18"/>
          <w:color w:val="000000"/>
        </w:rPr>
        <w:t>In the third quarter of 2018, the FASB issued ASU 2018-10 to clarify certain aspects of the guidance and ASU 2018-11, which provides an optional alternative transition method to initially apply the new leases standard at the adoption date (collectively, with ASU 2016-02, Topic 842). Topic 842 now allows for the use of either the modified retrospective adoption method or the alternative transition method. The Company has completed its evaluation and will adopt the new standard on January 1, 2019 using a modified retrospective transition method, applying the transition provisions at the beginning of the period of adoption. The Company will elect the package of practical expedients permitted under the transition guidance within the new standard and will not elect to use hindsight in determining the lease term. The new standard will not be applied to leases with an initial term of 12 months or less. Upon adoption of the new standard, the Company will derecognize assets of $22.6 million and liabilities of $30.9 million associated with a lease that was designated as build-to-suit under the previous guidance, and record a cumulative-effect adjustment to retained earnings of $8.3 million. The lease will be classified as an operating lease under the new standard. The Company will record right-of-use assets of $17.2 million and lease liabilities of $17.8 million at adoption of the new standard. The new standard will not materially impact the Company's results of operations or cash flows, and will not impact compliance under the covenants of our current credit agreements.</w:t>
      </w:r>
    </w:p>
    <w:p>
      <w:pPr>
        <w:spacing w:after="0" w:line="7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In June 2016, the FASB issued ASU 2016-13, </w:t>
      </w:r>
      <w:r>
        <w:rPr>
          <w:rFonts w:ascii="Times New Roman" w:cs="Times New Roman" w:eastAsia="Times New Roman" w:hAnsi="Times New Roman"/>
          <w:sz w:val="18"/>
          <w:szCs w:val="18"/>
          <w:i w:val="1"/>
          <w:iCs w:val="1"/>
          <w:color w:val="231F20"/>
        </w:rPr>
        <w:t>Financial Instruments - Credit Losses (Topic 326): Measurement of Credit Losses on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Instruments. </w:t>
      </w:r>
      <w:r>
        <w:rPr>
          <w:rFonts w:ascii="Times New Roman" w:cs="Times New Roman" w:eastAsia="Times New Roman" w:hAnsi="Times New Roman"/>
          <w:sz w:val="18"/>
          <w:szCs w:val="18"/>
          <w:color w:val="231F20"/>
        </w:rPr>
        <w:t>Current GAAP delays the recognition of credit losses until it is probable a loss has been incurred. The update will require financial assets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measured at amortized cost, such as bank loan participations held for investment, to be presented at the net amount expected to be collected by means of an allowance for credit losses that runs through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has not yet completed the analysis of how adopting this ASU will affect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Compared to Year Ended December 31, 2017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2018 and 2017:</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1,166,773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1,081,905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tcBorders>
              <w:bottom w:val="single" w:sz="8" w:color="CCEEFF"/>
            </w:tcBorders>
          </w:tcPr>
          <w:p>
            <w:pPr>
              <w:ind w:left="40"/>
              <w:spacing w:after="0" w:line="257" w:lineRule="exact"/>
              <w:rPr>
                <w:sz w:val="20"/>
                <w:szCs w:val="20"/>
                <w:color w:val="auto"/>
              </w:rPr>
            </w:pPr>
            <w:r>
              <w:rPr>
                <w:rFonts w:ascii="Times New Roman" w:cs="Times New Roman" w:eastAsia="Times New Roman" w:hAnsi="Times New Roman"/>
                <w:sz w:val="18"/>
                <w:szCs w:val="18"/>
                <w:color w:val="auto"/>
              </w:rPr>
              <w:t>Net retention</w:t>
            </w:r>
            <w:r>
              <w:rPr>
                <w:rFonts w:ascii="Times New Roman" w:cs="Times New Roman" w:eastAsia="Times New Roman" w:hAnsi="Times New Roman"/>
                <w:sz w:val="25"/>
                <w:szCs w:val="25"/>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762,672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766,626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0" w:type="dxa"/>
            <w:vAlign w:val="bottom"/>
          </w:tcPr>
          <w:p>
            <w:pPr>
              <w:spacing w:after="0" w:line="20" w:lineRule="exact"/>
              <w:rPr>
                <w:sz w:val="1"/>
                <w:szCs w:val="1"/>
                <w:color w:val="auto"/>
              </w:rPr>
            </w:pPr>
          </w:p>
        </w:tc>
      </w:tr>
      <w:tr>
        <w:trPr>
          <w:trHeight w:val="230"/>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815,398</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741,109</w:t>
            </w: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(600,276)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(555,377)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(187,116)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(179,968)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color w:val="auto"/>
              </w:rPr>
              <w:t>(2), (3)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28,006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5,764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385.9 %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61,256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61,119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0.2 %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investment losses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175.5 %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346.6 %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(8,974)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70,838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55,145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28.5 %</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11,579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(39.5)%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63,830</w:t>
            </w: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43,566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net operating income </w:t>
            </w:r>
            <w:r>
              <w:rPr>
                <w:rFonts w:ascii="Times New Roman" w:cs="Times New Roman" w:eastAsia="Times New Roman" w:hAnsi="Times New Roman"/>
                <w:sz w:val="14"/>
                <w:szCs w:val="14"/>
                <w:color w:val="auto"/>
              </w:rPr>
              <w:t>(4)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70,596</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47,385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49.0 %</w:t>
            </w:r>
          </w:p>
        </w:tc>
        <w:tc>
          <w:tcPr>
            <w:tcW w:w="0" w:type="dxa"/>
            <w:vAlign w:val="bottom"/>
          </w:tcPr>
          <w:p>
            <w:pPr>
              <w:spacing w:after="0"/>
              <w:rPr>
                <w:sz w:val="1"/>
                <w:szCs w:val="1"/>
                <w:color w:val="auto"/>
              </w:rPr>
            </w:pP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retention is defined as the ratio of net written premiums to gross written premiums.</w:t>
      </w:r>
    </w:p>
    <w:p>
      <w:pPr>
        <w:spacing w:after="0" w:line="130" w:lineRule="exact"/>
        <w:rPr>
          <w:rFonts w:ascii="Times New Roman" w:cs="Times New Roman" w:eastAsia="Times New Roman" w:hAnsi="Times New Roman"/>
          <w:sz w:val="18"/>
          <w:szCs w:val="18"/>
          <w:i w:val="1"/>
          <w:iCs w:val="1"/>
          <w:color w:val="auto"/>
        </w:rPr>
      </w:pPr>
    </w:p>
    <w:p>
      <w:pPr>
        <w:ind w:left="340" w:right="160" w:hanging="332"/>
        <w:spacing w:after="0" w:line="284" w:lineRule="auto"/>
        <w:tabs>
          <w:tab w:leader="none" w:pos="3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 for a reconciliation to income before tax and for additional information.</w:t>
      </w:r>
    </w:p>
    <w:p>
      <w:pPr>
        <w:spacing w:after="0" w:line="50"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includes gross fee income of $28.7 million and $28.3 million for the years ended December 31, 2018 and 2017, respectively.</w:t>
      </w:r>
    </w:p>
    <w:p>
      <w:pPr>
        <w:spacing w:after="0" w:line="117"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operating income is a non-GAAP measure. See “Reconciliation of Non-GAAP Measures” for reconciliation to net income and for additional information.</w:t>
      </w:r>
    </w:p>
    <w:p>
      <w:pPr>
        <w:spacing w:after="0" w:line="52" w:lineRule="exact"/>
        <w:rPr>
          <w:sz w:val="20"/>
          <w:szCs w:val="20"/>
          <w:color w:val="auto"/>
        </w:rPr>
      </w:pPr>
    </w:p>
    <w:p>
      <w:pPr>
        <w:ind w:right="260" w:firstLine="351"/>
        <w:spacing w:after="0" w:line="266" w:lineRule="auto"/>
        <w:rPr>
          <w:sz w:val="20"/>
          <w:szCs w:val="20"/>
          <w:color w:val="auto"/>
        </w:rPr>
      </w:pPr>
      <w:r>
        <w:rPr>
          <w:rFonts w:ascii="Times New Roman" w:cs="Times New Roman" w:eastAsia="Times New Roman" w:hAnsi="Times New Roman"/>
          <w:sz w:val="18"/>
          <w:szCs w:val="18"/>
          <w:color w:val="auto"/>
        </w:rPr>
        <w:t>We had an underwriting profit of $28.0 million for the year ended December 31, 2018. This compares to an underwriting profit of $5.8 million for the prior year. On a consolidated basis, the Company recognized $17.7 million and $21.5 million of net adverse reserve development for the years ended December 31, 2018 and 2017, respectively.</w:t>
      </w:r>
    </w:p>
    <w:p>
      <w:pPr>
        <w:spacing w:after="0" w:line="68"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The results for the years ended December 31, 2018 and 2017 included certain non-operating items that are significant to the Company. These items (on a pre-tax basis) include:</w:t>
      </w:r>
    </w:p>
    <w:p>
      <w:pPr>
        <w:spacing w:after="0" w:line="54" w:lineRule="exact"/>
        <w:rPr>
          <w:sz w:val="20"/>
          <w:szCs w:val="20"/>
          <w:color w:val="auto"/>
        </w:rPr>
      </w:pPr>
    </w:p>
    <w:p>
      <w:pPr>
        <w:ind w:left="660" w:right="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investment losses of $5.5 million and $2.0 million for the years ended December 31, 2018 and 2017, respectively. See “-Investing Results" for more information on these realized and unrealized investment losses.</w:t>
      </w:r>
    </w:p>
    <w:p>
      <w:pPr>
        <w:spacing w:after="0" w:line="53" w:lineRule="exact"/>
        <w:rPr>
          <w:rFonts w:ascii="Times New Roman" w:cs="Times New Roman" w:eastAsia="Times New Roman" w:hAnsi="Times New Roman"/>
          <w:sz w:val="18"/>
          <w:szCs w:val="18"/>
          <w:color w:val="auto"/>
        </w:rPr>
      </w:pPr>
    </w:p>
    <w:p>
      <w:pPr>
        <w:jc w:val="both"/>
        <w:ind w:left="660" w:right="44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of $1.6 million and $1.3 million for the years ended December 31, 2018 and 2017, respectively, relating to finance expenses in connection with a minority interest in a real estate partnership pursuant to which we are deemed an owner for accounting purposes. The debt is nonrecourse to us and was not arranged by us.</w:t>
      </w:r>
    </w:p>
    <w:p>
      <w:pPr>
        <w:spacing w:after="0" w:line="68" w:lineRule="exact"/>
        <w:rPr>
          <w:sz w:val="20"/>
          <w:szCs w:val="20"/>
          <w:color w:val="auto"/>
        </w:rPr>
      </w:pPr>
    </w:p>
    <w:p>
      <w:pPr>
        <w:ind w:right="240" w:firstLine="351"/>
        <w:spacing w:after="0" w:line="282" w:lineRule="auto"/>
        <w:rPr>
          <w:sz w:val="20"/>
          <w:szCs w:val="20"/>
          <w:color w:val="auto"/>
        </w:rPr>
      </w:pPr>
      <w:r>
        <w:rPr>
          <w:rFonts w:ascii="Times New Roman" w:cs="Times New Roman" w:eastAsia="Times New Roman" w:hAnsi="Times New Roman"/>
          <w:sz w:val="18"/>
          <w:szCs w:val="18"/>
          <w:color w:val="auto"/>
        </w:rPr>
        <w:t>We define adjusted net operating income as net income excluding certain non-operating expenses such as net realized and unrealized investment gains and losses on investments, expenses related to due diligence costs for various merger and</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acquisition activities, professional service fees related to the filing of registration statements for the offering of securities, severance costs associated with terminated employees, and interest expense and other income and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income before taxes and net income for the years ended December 31, 2018 and 2017 reconcile to our adjusted net operating income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40" w:type="dxa"/>
            <w:vAlign w:val="bottom"/>
          </w:tcPr>
          <w:p>
            <w:pPr>
              <w:spacing w:after="0"/>
              <w:rPr>
                <w:sz w:val="12"/>
                <w:szCs w:val="12"/>
                <w:color w:val="auto"/>
              </w:rPr>
            </w:pPr>
          </w:p>
        </w:tc>
        <w:tc>
          <w:tcPr>
            <w:tcW w:w="94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as reported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70,838</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63,830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43,566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withholding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on leased building the Company is deemed to own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accounting purposes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79,201</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70,596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58,929</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47,385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Combined Ratios</w:t>
      </w:r>
    </w:p>
    <w:p>
      <w:pPr>
        <w:spacing w:after="0" w:line="119"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The combined ratio is a measure of underwriting performance and represents the relationship of incurred losses, loss adjustment expenses and other operating expenses to net earned premiums. Our combined ratio for the year ended December 31, 2018 was 96.6%. A combined ratio of less than 100% indicates an underwriting profit, while a combined ratio greater than 100% reflects an underwriting loss. In 2018, the combined ratio included $17.7 million, or 2.2 percentage points, of net adverse reserve development on prior accident years, including $15.0 million of net adverse reserve development from the Excess and Surplus Lines segment (including $4.9 million, or 0.9 percentage points, of favorable reserve development on the 2017 catastrophe losses from Hurricanes Harvey, Irma, and Maria), $5.6 million of net favorable reserve development from the Specialty Admitted Insurance segment, and $8.2 million of net adverse reserve development from the Casualty Reinsurance segment.</w:t>
      </w:r>
    </w:p>
    <w:p>
      <w:pPr>
        <w:spacing w:after="0" w:line="81"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Our combined ratio for the year ended December 31, 2017 was 99.2%. It included $21.5 million, or 2.9 percentage points, of net adverse reserve development on prior accident years, including $20.0 million of net adverse reserve development from the Excess and Surplus Lines segment, $2.7 million of net favorable development from the Specialty Admitted Insurance segment, and $4.2 million of net adverse reserve development from the Casualty Reinsurance segment. The combined ratio for the year ended December 31, 2017 also includes $6.9 million, or 0.9 percentage points, of catastrophe losses from Hurricanes Harvey, Irma, and Maria.</w:t>
      </w:r>
    </w:p>
    <w:p>
      <w:pPr>
        <w:spacing w:after="0" w:line="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prior periods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Ratios</w:t>
      </w:r>
    </w:p>
    <w:p>
      <w:pPr>
        <w:spacing w:after="0" w:line="119" w:lineRule="exact"/>
        <w:rPr>
          <w:sz w:val="20"/>
          <w:szCs w:val="20"/>
          <w:color w:val="auto"/>
        </w:rPr>
      </w:pPr>
    </w:p>
    <w:p>
      <w:pPr>
        <w:jc w:val="both"/>
        <w:ind w:right="100" w:firstLine="351"/>
        <w:spacing w:after="0" w:line="266" w:lineRule="auto"/>
        <w:rPr>
          <w:sz w:val="20"/>
          <w:szCs w:val="20"/>
          <w:color w:val="auto"/>
        </w:rPr>
      </w:pPr>
      <w:r>
        <w:rPr>
          <w:rFonts w:ascii="Times New Roman" w:cs="Times New Roman" w:eastAsia="Times New Roman" w:hAnsi="Times New Roman"/>
          <w:sz w:val="18"/>
          <w:szCs w:val="18"/>
          <w:color w:val="auto"/>
        </w:rPr>
        <w:t>Our expense ratio was 23.0% and 24.3% for the years ended December 31, 2018 and 2017, respectively. The improvement is due to a 19.9% increase in the net earned premiums of the Excess and Surplus Lines segment including in lines of business which carry relatively low expenses or that have meaningful ceding commissions. Our Excess and Surplus Lines segment has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significant scale and produces a lower expense ratio than our other operating segments. The Excess and Surplus Lines segment is our largest segment and makes up 68.1% of consolidated net earned premiums for the year ended December 31, 2018 (62.5% for the year ended December 31, 2017). Gross fee income for the Company increased from $28.3 million for the year ended December 31, 2017 to $28.7 million for the year ended December 31, 2018.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change in premium volume by component and business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656,538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530,120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23.8 %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374,346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316,430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135,889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235,355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1,166,773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1,081,905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571,098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469,891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21.5 %</w:t>
            </w: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55,840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60,957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135,734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235,778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(42.4)%</w:t>
            </w:r>
          </w:p>
        </w:tc>
        <w:tc>
          <w:tcPr>
            <w:tcW w:w="0" w:type="dxa"/>
            <w:vAlign w:val="bottom"/>
          </w:tcPr>
          <w:p>
            <w:pPr>
              <w:spacing w:after="0"/>
              <w:rPr>
                <w:sz w:val="1"/>
                <w:szCs w:val="1"/>
                <w:color w:val="auto"/>
              </w:rPr>
            </w:pPr>
          </w:p>
        </w:tc>
      </w:tr>
      <w:tr>
        <w:trPr>
          <w:trHeight w:val="297"/>
        </w:trPr>
        <w:tc>
          <w:tcPr>
            <w:tcW w:w="66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762,672</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766,626</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555,684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463,521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19.9 %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55,146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68,110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(19.0)%</w:t>
            </w: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204,568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209,478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815,398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741,109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56.3% of our consolidated gross written premiums in 2018) increased 23.8% over the prior year. Excluding commercial auto policies, gross written premiums for the Excess and Surplus Lines segment increased 18.5% over the prior year. Policy submissions excluding commercial auto policies were 9.3% higher and 11.2% more policies were bound in 2018 than in 2017. Rates for the Excess and Surplus Lines segment were up 6.5% compared to 2017. The change in gross written premiums was notable in several divisions as shown below:</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20" w:type="dxa"/>
            <w:vAlign w:val="bottom"/>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7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6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Auto</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247,960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85,719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Casualty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66,452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51,160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29.9 %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Casualty</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54,127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38,054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42.2 %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29,704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Allied Health</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19,181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58.8 %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Property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14,447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17.4 %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 Sciences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Small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11,307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divisions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19,607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11.6 %</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 gross written premium</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656,538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530,120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23.8 %</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9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32.1% of our 2018 consolidated gross written premiums)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6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5"/>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Individual risk workers’ compensation premium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55,248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44,121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25.2%</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Fronting and program premium</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319,098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272,309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17.2%</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gross written premium</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374,346</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316,430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Individual risk workers’ compensation premium growth was driven by exposure growth from higher payrolls of our insureds in a strong economy and increased submission flow.</w:t>
      </w:r>
    </w:p>
    <w:p>
      <w:pPr>
        <w:spacing w:after="0" w:line="5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premium growth in our fronting business was driven by growth in the gross written premium from our largest agency relationship, which produced $201.7 million of gross written premium for the year ended December 31, 2018, up from $183.0 million for the year ended December 31, 2017, as well as new fronting arrangements entered into during the year.</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Gross written premiums for the Casualty Reinsurance segment (which represents 11.6% of our consolidated gross written premiums in 2018) decreased 42.3% from the the prior year. The reduction in gross written premium in this segment was in line with our expectations and is consistent with our planned reductions for the Casualty Reinsurance segment as we redeploy our capital to where we believe we can make the highest operating returns on tangible equity.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Retention</w:t>
      </w:r>
    </w:p>
    <w:p>
      <w:pPr>
        <w:spacing w:after="0" w:line="11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ratio of net written premiums to gross written premiums is referred to as our net premium retention. Our net premium retention by segment is as follows:</w:t>
      </w:r>
    </w:p>
    <w:p>
      <w:pPr>
        <w:spacing w:after="0" w:line="20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24765</wp:posOffset>
            </wp:positionV>
            <wp:extent cx="2032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bl>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decreased from 2017 to 2018 as a result of growth in the segment's fronting business, which generally has much lower net premium retention than our workers’ compensation business. Fronting gross written premium grew 17.2% for the year ended December 31, 2018 compared to the prior year. The net retention on the segment’s fronting business was 9.6% and 11.9% in the years ended December 31, 2018 and</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2" w:right="239" w:bottom="1440" w:gutter="0" w:footer="0" w:header="0"/>
          <w:type w:val="continuous"/>
        </w:sectPr>
      </w:pPr>
    </w:p>
    <w:bookmarkStart w:id="80" w:name="page81"/>
    <w:bookmarkEnd w:id="8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2017, respectively, while the net retention on the workers’ compensation business was 45.9% and 64.8%, respectively. The significant decline in the net retention from the prior year on the workers' compensation business is due to the 50% third-party quota share reinsurance coverage purchased in this business effective October 1, 2017.</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combined ratios by segment:</w:t>
      </w:r>
    </w:p>
    <w:p>
      <w:pPr>
        <w:spacing w:after="0" w:line="27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24765</wp:posOffset>
            </wp:positionV>
            <wp:extent cx="2032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351"/>
        </w:trPr>
        <w:tc>
          <w:tcPr>
            <w:tcW w:w="6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8"/>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4"/>
        </w:trPr>
        <w:tc>
          <w:tcPr>
            <w:tcW w:w="65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656,538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530,120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291"/>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571,098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469,891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21.5%</w:t>
            </w:r>
          </w:p>
        </w:tc>
      </w:tr>
      <w:tr>
        <w:trPr>
          <w:trHeight w:val="237"/>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555,684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463,521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(437,904)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(371,717)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17.8%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(74,946)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(62,111)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20.7%</w:t>
            </w:r>
          </w:p>
        </w:tc>
      </w:tr>
      <w:tr>
        <w:trPr>
          <w:trHeight w:val="304"/>
        </w:trPr>
        <w:tc>
          <w:tcPr>
            <w:tcW w:w="658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5"/>
                <w:szCs w:val="25"/>
                <w:color w:val="auto"/>
                <w:vertAlign w:val="superscript"/>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42,834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29,693</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4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78.8%</w:t>
            </w:r>
          </w:p>
        </w:tc>
        <w:tc>
          <w:tcPr>
            <w:tcW w:w="27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80.2%</w:t>
            </w:r>
          </w:p>
        </w:tc>
      </w:tr>
      <w:tr>
        <w:trPr>
          <w:trHeight w:val="27"/>
        </w:trPr>
        <w:tc>
          <w:tcPr>
            <w:tcW w:w="44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428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13.5%</w:t>
            </w:r>
          </w:p>
        </w:tc>
        <w:tc>
          <w:tcPr>
            <w:tcW w:w="2740" w:type="dxa"/>
            <w:vAlign w:val="bottom"/>
            <w:tcBorders>
              <w:bottom w:val="single" w:sz="8" w:color="CCEEFF"/>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4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92.3%</w:t>
            </w:r>
          </w:p>
        </w:tc>
        <w:tc>
          <w:tcPr>
            <w:tcW w:w="27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right="120" w:hanging="332"/>
        <w:spacing w:after="0" w:line="347" w:lineRule="auto"/>
        <w:tabs>
          <w:tab w:leader="none" w:pos="3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 for a reconciliation to income before tax and for additional information.</w:t>
      </w:r>
    </w:p>
    <w:p>
      <w:pPr>
        <w:spacing w:after="0" w:line="4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$13.9 million and $17.0 million for the years ended December 31, 2018 and 2017, respectively.</w:t>
      </w:r>
    </w:p>
    <w:p>
      <w:pPr>
        <w:spacing w:after="0" w:line="133"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The loss ratio of 78.8% for the year ended December 31, 2018 includes $15.0 million, or 2.7 percentage points, of net adverse development in our loss estimates for prior accident years. The loss ratio of 80.2% for the year ended December 31, 2017 includes $20.0 million, or 4.3 percentage points, of net adverse development in our loss estimates for prior accident years. The adverse reserve development in this segment in 2017 and 2018 was almost entirely from one large commercial auto account in the 2016 accident year. The loss ratio for the year ended December 31, 2017 also includes $5.2 million of losses from Hurricanes Harvey, Irma, and Maria primarily related to property losses in Florida. The catastrophe losses represent 1.1 percentage points of loss ratio additions for the year.</w:t>
      </w:r>
    </w:p>
    <w:p>
      <w:pPr>
        <w:spacing w:after="0" w:line="80" w:lineRule="exact"/>
        <w:rPr>
          <w:sz w:val="20"/>
          <w:szCs w:val="20"/>
          <w:color w:val="auto"/>
        </w:rPr>
      </w:pPr>
    </w:p>
    <w:p>
      <w:pPr>
        <w:ind w:right="80" w:firstLine="351"/>
        <w:spacing w:after="0" w:line="282" w:lineRule="auto"/>
        <w:rPr>
          <w:sz w:val="20"/>
          <w:szCs w:val="20"/>
          <w:color w:val="auto"/>
        </w:rPr>
      </w:pPr>
      <w:r>
        <w:rPr>
          <w:rFonts w:ascii="Times New Roman" w:cs="Times New Roman" w:eastAsia="Times New Roman" w:hAnsi="Times New Roman"/>
          <w:sz w:val="18"/>
          <w:szCs w:val="18"/>
          <w:color w:val="auto"/>
        </w:rPr>
        <w:t>The expense ratio for this segment was slightly higher at 13.5% for 2018 compared to 13.4% in 2017. Gross fee income contributed to a reduction in the expense ratio of 2.5 and 3.7 percentage points for the years ended December 31, 2018 and 2017, respectively.</w:t>
      </w:r>
    </w:p>
    <w:p>
      <w:pPr>
        <w:spacing w:after="0" w:line="54"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Our commercial auto business has a lower expense ratio and higher loss ratio than our other business in the segment. Commercial auto made up 56.7% of the segment’s net earned premiums for 2018 compared to 53.3% for 2017.</w:t>
      </w:r>
    </w:p>
    <w:p>
      <w:pPr>
        <w:spacing w:after="0" w:line="54" w:lineRule="exact"/>
        <w:rPr>
          <w:sz w:val="20"/>
          <w:szCs w:val="20"/>
          <w:color w:val="auto"/>
        </w:rPr>
      </w:pPr>
    </w:p>
    <w:p>
      <w:pPr>
        <w:ind w:right="260" w:firstLine="351"/>
        <w:spacing w:after="0" w:line="282" w:lineRule="auto"/>
        <w:rPr>
          <w:sz w:val="20"/>
          <w:szCs w:val="20"/>
          <w:color w:val="auto"/>
        </w:rPr>
      </w:pPr>
      <w:r>
        <w:rPr>
          <w:rFonts w:ascii="Times New Roman" w:cs="Times New Roman" w:eastAsia="Times New Roman" w:hAnsi="Times New Roman"/>
          <w:sz w:val="18"/>
          <w:szCs w:val="18"/>
          <w:color w:val="auto"/>
        </w:rPr>
        <w:t>As a result of the items discussed above, the underwriting profit of the Excess and Surplus Lines segment increased 44.3%, from $29.7 million for the year ended December 31, 2017 to $42.8 million for the year ended December 31, 2018.</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374,346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316,430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55,840</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60,957</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55,146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68,110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(19.0)%</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(32,623)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(44,863)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(27.3)%</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(15,551)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(20,081)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(22.6)%</w:t>
            </w:r>
          </w:p>
        </w:tc>
      </w:tr>
      <w:tr>
        <w:trPr>
          <w:trHeight w:val="304"/>
        </w:trPr>
        <w:tc>
          <w:tcPr>
            <w:tcW w:w="654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5"/>
                <w:szCs w:val="25"/>
                <w:color w:val="auto"/>
                <w:vertAlign w:val="superscript"/>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6,972</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120.2 %</w:t>
            </w:r>
          </w:p>
        </w:tc>
      </w:tr>
      <w:tr>
        <w:trPr>
          <w:trHeight w:val="231"/>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right="120" w:hanging="332"/>
        <w:spacing w:after="0" w:line="347"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Profit is a non-GAAP Measure. See “Reconciliation of Non-GAAP Measures” for a reconciliation to income before tax and for additional information.</w:t>
      </w:r>
    </w:p>
    <w:p>
      <w:pPr>
        <w:spacing w:after="0" w:line="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includes fee income of $14.8 million and $11.3 million for the years ended December 31, 2018 and 2017, respectively.</w:t>
      </w:r>
    </w:p>
    <w:p>
      <w:pPr>
        <w:spacing w:after="0" w:line="133"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color w:val="auto"/>
        </w:rPr>
        <w:t>The loss ratio for the year ended December 31, 2018 of 59.2% included $5.6 million, or 10.1 percentage points, of net favorable development on prior accident years. The loss ratio for the year ended December 31, 2017 of 65.9% included $2.7 million, or 4.0 percentage points, of net favorable development on prior accident years. The favorable development in both 2018 and 2017 reflects the fact that actual loss emergence of the workers’ compensation book for prior accident years has been better than expected.</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expense ratio of the Specialty Admitted Insurance segment was 28.2% for the year ended December 31, 2018 compared to the prior year ratio of 29.5%. The expense ratio declined in 2018 for this segment due to gross fee income from the fronting business which increased 31.0% for the year ended December 31, 2018 compared to the prior year and to ceding commissions received on the 50% third-party quota share reinsurance coverage purchased on individual risk workers' compensation business effective October 1, 2017.</w:t>
      </w:r>
    </w:p>
    <w:p>
      <w:pPr>
        <w:spacing w:after="0" w:line="72" w:lineRule="exact"/>
        <w:rPr>
          <w:sz w:val="20"/>
          <w:szCs w:val="20"/>
          <w:color w:val="auto"/>
        </w:rPr>
      </w:pPr>
    </w:p>
    <w:p>
      <w:pPr>
        <w:ind w:right="220" w:firstLine="351"/>
        <w:spacing w:after="0" w:line="282" w:lineRule="auto"/>
        <w:rPr>
          <w:sz w:val="20"/>
          <w:szCs w:val="20"/>
          <w:color w:val="auto"/>
        </w:rPr>
      </w:pPr>
      <w:r>
        <w:rPr>
          <w:rFonts w:ascii="Times New Roman" w:cs="Times New Roman" w:eastAsia="Times New Roman" w:hAnsi="Times New Roman"/>
          <w:sz w:val="18"/>
          <w:szCs w:val="18"/>
          <w:color w:val="auto"/>
        </w:rPr>
        <w:t>As a result of the items discussed above, the underwriting profit of the Specialty Admitted Insurance segment increased 120.2%, from $3.2 million for the year ended December 31, 2017 to $7.0 million for the year ended December 31, 2018.</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Reinsurance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Casualty Reinsurance segment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135,889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235,355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(42.3)%</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135,734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235,778</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(42.4)%</w:t>
            </w: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204,568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209,478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(129,749)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(138,797)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(69,716)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(72,446)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r>
      <w:tr>
        <w:trPr>
          <w:trHeight w:val="264"/>
        </w:trPr>
        <w:tc>
          <w:tcPr>
            <w:tcW w:w="65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 (loss)</w:t>
            </w:r>
            <w:r>
              <w:rPr>
                <w:rFonts w:ascii="Times New Roman" w:cs="Times New Roman" w:eastAsia="Times New Roman" w:hAnsi="Times New Roman"/>
                <w:sz w:val="25"/>
                <w:szCs w:val="25"/>
                <w:color w:val="auto"/>
                <w:vertAlign w:val="superscript"/>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5,103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2"/>
                <w:szCs w:val="22"/>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4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63.4%</w:t>
            </w:r>
          </w:p>
        </w:tc>
        <w:tc>
          <w:tcPr>
            <w:tcW w:w="2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43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422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34.1%</w:t>
            </w:r>
          </w:p>
        </w:tc>
        <w:tc>
          <w:tcPr>
            <w:tcW w:w="2820" w:type="dxa"/>
            <w:vAlign w:val="bottom"/>
            <w:tcBorders>
              <w:bottom w:val="single" w:sz="8" w:color="CCEEFF"/>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4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97.5%</w:t>
            </w:r>
          </w:p>
        </w:tc>
        <w:tc>
          <w:tcPr>
            <w:tcW w:w="2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right="260" w:hanging="332"/>
        <w:spacing w:after="0" w:line="347"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loss is a non-GAAP Measure. See “Reconciliation of Non-GAAP Measures” for a reconciliation to income before tax and for additional information.</w:t>
      </w:r>
    </w:p>
    <w:p>
      <w:pPr>
        <w:spacing w:after="0" w:line="1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loss ratio of 63.4% for the year ended December 31, 2018 includes $8.2 million, or 4.0 percentage points, of net adverse development in our loss estimates for prior accident years. The 2018 adverse reserve development was primarily related to losses from risk profiles and treaty structures that we no longer underwrite. The loss ratio of 66.3% for the year ended December 31, 2017 includes $4.2 million, or 2.0 percentage points, of net adverse development in our loss estimates for prior accident years. The 2017 adverse reserve development was primarily from two contracts from 2010 through 2013 that had higher than expected reported losses in 2017.</w:t>
      </w:r>
    </w:p>
    <w:p>
      <w:pPr>
        <w:spacing w:after="0" w:line="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expense ratio of the Casualty Reinsurance segment was 34.1% for the year ended December 31, 2018 compared to the prior year ratio of 34.5% . The expense ratio for the year ended December 31, 2017 was impacted by the correction of a contingent commission accrual and related commission expense, which increased underwriting expenses by $2.0 million in the year ended December 31, 2017.</w:t>
      </w:r>
    </w:p>
    <w:p>
      <w:pPr>
        <w:spacing w:after="0" w:line="68"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As a result of the items discussed above, the Casualty Reinsurance segment had an underwriting profit of $5.1 million for the year ended December 31, 2018 compared to an underwriting loss of $1.8 million for the year ended December 31, 2017.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jc w:val="both"/>
        <w:ind w:right="40" w:firstLine="351"/>
        <w:spacing w:after="0" w:line="266" w:lineRule="auto"/>
        <w:rPr>
          <w:sz w:val="20"/>
          <w:szCs w:val="20"/>
          <w:color w:val="auto"/>
        </w:rPr>
      </w:pPr>
      <w:r>
        <w:rPr>
          <w:rFonts w:ascii="Times New Roman" w:cs="Times New Roman" w:eastAsia="Times New Roman" w:hAnsi="Times New Roman"/>
          <w:sz w:val="18"/>
          <w:szCs w:val="18"/>
          <w:color w:val="auto"/>
        </w:rPr>
        <w:t>In addition to the underwriting, acquisition and insurance expenses of the Excess and Surplus Lines segment, the Specialty Admitted Insurance segment and the Casualty Reinsurance segment discussed previously, other operating expenses for the Company also includes the expenses of the Corporate and Other segment.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76" w:lineRule="exact"/>
        <w:rPr>
          <w:sz w:val="20"/>
          <w:szCs w:val="20"/>
          <w:color w:val="auto"/>
        </w:rPr>
      </w:pPr>
    </w:p>
    <w:p>
      <w:pPr>
        <w:ind w:right="400" w:firstLine="351"/>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2017, the total operating expenses of the Corporate and Other segment were $26.9 million and $25.3 million, representing a 6.2% increase over the prior year. The increases were driven by compensation costs, including stock compensation expenses, associated with increases in headcount and costs associated with the formation and operations of Carolina Re, a new Class 3A reinsurer that has made an irrevocable election to be taxed as a U.S. domestic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corporation under Section 953(d) of the Code effective January 1, 2018. See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for additional discussions regarding this newly formed 953(d) reinsurer.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Results</w:t>
      </w:r>
    </w:p>
    <w:p>
      <w:pPr>
        <w:spacing w:after="0" w:line="119" w:lineRule="exact"/>
        <w:rPr>
          <w:sz w:val="20"/>
          <w:szCs w:val="20"/>
          <w:color w:val="auto"/>
        </w:rPr>
      </w:pPr>
    </w:p>
    <w:p>
      <w:pPr>
        <w:ind w:right="440" w:firstLine="351"/>
        <w:spacing w:after="0" w:line="282" w:lineRule="auto"/>
        <w:rPr>
          <w:sz w:val="20"/>
          <w:szCs w:val="20"/>
          <w:color w:val="auto"/>
        </w:rPr>
      </w:pPr>
      <w:r>
        <w:rPr>
          <w:rFonts w:ascii="Times New Roman" w:cs="Times New Roman" w:eastAsia="Times New Roman" w:hAnsi="Times New Roman"/>
          <w:sz w:val="18"/>
          <w:szCs w:val="18"/>
          <w:color w:val="auto"/>
        </w:rPr>
        <w:t>Net investment income was $61.3 million for the year ended December 31, 2018 compared to $61.1 million in the prior year. The change in our net investment income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Renewable energy LLCs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10,578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(71.9)%</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(37.4)%</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14,079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(63.3)%</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net investment income</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56,091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47,040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19.2 %</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61,256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61,119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0.2 %</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0" w:lineRule="exact"/>
        <w:rPr>
          <w:sz w:val="20"/>
          <w:szCs w:val="20"/>
          <w:color w:val="auto"/>
        </w:rPr>
      </w:pPr>
    </w:p>
    <w:p>
      <w:pPr>
        <w:ind w:right="340" w:firstLine="351"/>
        <w:spacing w:after="0" w:line="266" w:lineRule="auto"/>
        <w:rPr>
          <w:sz w:val="20"/>
          <w:szCs w:val="20"/>
          <w:color w:val="auto"/>
        </w:rPr>
      </w:pPr>
      <w:r>
        <w:rPr>
          <w:rFonts w:ascii="Times New Roman" w:cs="Times New Roman" w:eastAsia="Times New Roman" w:hAnsi="Times New Roman"/>
          <w:sz w:val="18"/>
          <w:szCs w:val="18"/>
          <w:color w:val="auto"/>
        </w:rPr>
        <w:t>The Company’s private investments, including our renewable energy LLC investments, produced positive returns in 2018, but fell short of the strong prior year results. The decrease in private investments was offset by increased income from our growing fixed income portfolio of bonds and bank loan participations which benefited from rising investment yields in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34,129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26,833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18,279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17,388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14,079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losses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investment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65,490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65,049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61,256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61,119</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investment returns:</w:t>
      </w:r>
    </w:p>
    <w:p>
      <w:pPr>
        <w:spacing w:after="0" w:line="27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24765</wp:posOffset>
            </wp:positionV>
            <wp:extent cx="2023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gross investment yield 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fixed maturity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Of our total cash and invested assets of $1,850.3 million at December 31, 2018, $172.5 million represents the cash and cash equivalents portion of the portfolio. The majority of the portfolio, or $1,184.2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$261.0 million of bank loan participations, $78.4 million of equity securities, $82.0 million of short-term investments, and $72.3 million of other invested assets.</w:t>
      </w:r>
    </w:p>
    <w:p>
      <w:pPr>
        <w:spacing w:after="0" w:line="76"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The $261.0 million of bank loan participations in our investment portfolio are classified as held-for-investment and reported at amortized cost, net of any allowance for credit losses. Changes in this credit allowance are included in realized gains or losses. At December 31, 2018, there was no allowance for credit losses, as none of the loans in the Company's portfolio were considered impaired. These bank loan participations are primarily senior, secured floating-rate debt rated “BB”, “B”, or “CCC” by Standard &amp; Poor’s or an equivalent rating from another nationally recognized statistical rating organization,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December 31, 2018 and 2017, the fair value of these securities was $250.7 million and $236.5 million, respectively.</w:t>
      </w:r>
    </w:p>
    <w:p>
      <w:pPr>
        <w:spacing w:after="0" w:line="72" w:lineRule="exact"/>
        <w:rPr>
          <w:sz w:val="20"/>
          <w:szCs w:val="20"/>
          <w:color w:val="auto"/>
        </w:rPr>
      </w:pPr>
    </w:p>
    <w:p>
      <w:pPr>
        <w:ind w:right="20" w:firstLine="351"/>
        <w:spacing w:after="0" w:line="269" w:lineRule="auto"/>
        <w:rPr>
          <w:sz w:val="20"/>
          <w:szCs w:val="20"/>
          <w:color w:val="auto"/>
        </w:rPr>
      </w:pPr>
      <w:r>
        <w:rPr>
          <w:rFonts w:ascii="Times New Roman" w:cs="Times New Roman" w:eastAsia="Times New Roman" w:hAnsi="Times New Roman"/>
          <w:sz w:val="17"/>
          <w:szCs w:val="17"/>
          <w:color w:val="auto"/>
        </w:rPr>
        <w:t>The Company invests selectively in private debt and equity opportunities. These investments comprise the Company’s other invested assets and are primarily focused in renewable energy, limited partnerships, and bank holding companies. Equity interests in various renewable energy LLCs generated investment income of $3.0 million and $10.6 million for the years ended December 31, 2018 and 2017, respectively. The LLCs are managed by an entity for which two of our directors serve as officers, and the Company’s Non-Executive Chairman has invested in certain of these LLCs. These investments had a carrying value of $29.8 million at December 31, 2018. Investments in loans for renewable energy projects had investment income $1.3 million and $526,000 for the years ended December 31, 2018 and 2017, respectively. Two of our directors are officers of the entities that issued the loans. The Company has invested in several limited partnerships that invest in concentrated portfolios of publicly-traded small cap equities, loans of middle market private equity sponsored companies, and equity tranches of collateralized loan obligations (CLOs). Income from these partnerships was $566,000 in 2018 compared to $2.6 million in 2017. Together, these limited partnerships had a carrying value of $29.3 million at December 31, 2018. Income from the Company’s investments in renewable energy LLCs and limited partnerships is recognized under the equity method of accounting. The Company also holds $4.5 million of subordinated notes issued by a bank holding company. Interest income from the notes was $343,000 in both years ended December 31, 2018 and 2017. The Company’s Non-Executive Chairman was previously the Lead Independent Director of the bank holding company and an investor in the bank holding company.</w:t>
      </w:r>
    </w:p>
    <w:p>
      <w:pPr>
        <w:spacing w:after="0" w:line="7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the Company recognized net realized and unrealized investment losses of $5.5 million, including $6.0 million of losses for the change in the fair value of equity securities, $554,000 of net realized investment losses on the sale of fixed maturity securities, $2.0 million of net realized investment gains on the sale of bank loan securities (including an $807,000 realized gain on the repayment of the loan to the producer and supplier of power in Puerto Rico described below), and $858,000 of net realized investment losses from an increase in our bank loan credit allowance.</w:t>
      </w:r>
    </w:p>
    <w:p>
      <w:pPr>
        <w:spacing w:after="0" w:line="72"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2017, the Company recognized net realized investment losses of $2.0 million. This net loss was made up of an increase in our bank loan credit allowance and an other than temporary impairment on an equity security, offset by net realized gains of $1.3 million from bank loan securities, $368,000 from equity securities, and $328,000 from fixed maturity securities.</w:t>
      </w:r>
    </w:p>
    <w:p>
      <w:pPr>
        <w:spacing w:after="0" w:line="68" w:lineRule="exact"/>
        <w:rPr>
          <w:sz w:val="20"/>
          <w:szCs w:val="20"/>
          <w:color w:val="auto"/>
        </w:rPr>
      </w:pPr>
    </w:p>
    <w:p>
      <w:pPr>
        <w:ind w:right="680" w:firstLine="351"/>
        <w:spacing w:after="0" w:line="282" w:lineRule="auto"/>
        <w:rPr>
          <w:sz w:val="20"/>
          <w:szCs w:val="20"/>
          <w:color w:val="auto"/>
        </w:rPr>
      </w:pPr>
      <w:r>
        <w:rPr>
          <w:rFonts w:ascii="Times New Roman" w:cs="Times New Roman" w:eastAsia="Times New Roman" w:hAnsi="Times New Roman"/>
          <w:sz w:val="18"/>
          <w:szCs w:val="18"/>
          <w:color w:val="auto"/>
        </w:rPr>
        <w:t>In conjunction with its outside investment managers, the Company performs quarterly reviews of all securities within its investment portfolio to determine whether any impairment has occurred.</w:t>
      </w:r>
    </w:p>
    <w:p>
      <w:pPr>
        <w:spacing w:after="0" w:line="5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At December 31, 2017, management concluded that one equity security, based on the severity and duration of the impairment, had experienced an other-than-temporary impairment. Accordingly, the Company recorded an impairment loss of $1.5 million in 2017. Management concluded that none of the other equity securities with an unrealized loss at December 31, 2017 experienced an other-than-temporary impairment. Management evaluated the near-term prospects of these other equity securities in relation to the severity and duration of the impairment, and management had the ability and intent to hold these securities until a recovery of their fair value.</w:t>
      </w:r>
    </w:p>
    <w:p>
      <w:pPr>
        <w:spacing w:after="0" w:line="7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2017, the Company held a participation in a loan issued by a company that produces and supplies power to Puerto Rico through a power purchase agreement with Puerto Rico Electric Power Authority (“PREPA”), a public corporation and governmental agency of the Commonwealth of Puerto Rico. Management concluded that the loan was impaired at December 31, 2017 and established an allowance for credit losses on the loan of $759,000 to reduce the loan's carrying value to zero at December 31, 2017. The unpaid principal on the loan was $807,000 at December 31, 2017. </w:t>
      </w:r>
      <w:r>
        <w:rPr>
          <w:rFonts w:ascii="Times New Roman" w:cs="Times New Roman" w:eastAsia="Times New Roman" w:hAnsi="Times New Roman"/>
          <w:sz w:val="18"/>
          <w:szCs w:val="18"/>
          <w:color w:val="231F20"/>
        </w:rPr>
        <w:t>In the first quarter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2018, the full outstanding principal on the loan was repaid and the Company recognized a realized gain of $807,000 on the repayment.</w:t>
      </w:r>
    </w:p>
    <w:p>
      <w:pPr>
        <w:spacing w:after="0" w:line="76" w:lineRule="exact"/>
        <w:rPr>
          <w:sz w:val="20"/>
          <w:szCs w:val="20"/>
          <w:color w:val="auto"/>
        </w:rPr>
      </w:pPr>
    </w:p>
    <w:p>
      <w:pPr>
        <w:jc w:val="both"/>
        <w:ind w:right="40" w:firstLine="351"/>
        <w:spacing w:after="0" w:line="261" w:lineRule="auto"/>
        <w:rPr>
          <w:sz w:val="20"/>
          <w:szCs w:val="20"/>
          <w:color w:val="auto"/>
        </w:rPr>
      </w:pPr>
      <w:r>
        <w:rPr>
          <w:rFonts w:ascii="Times New Roman" w:cs="Times New Roman" w:eastAsia="Times New Roman" w:hAnsi="Times New Roman"/>
          <w:sz w:val="18"/>
          <w:szCs w:val="18"/>
          <w:color w:val="231F20"/>
        </w:rPr>
        <w:t xml:space="preserve">Management concluded that none of the loans in the Company's bank loan portfolio were impaired 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At </w:t>
      </w:r>
      <w:r>
        <w:rPr>
          <w:rFonts w:ascii="Times New Roman" w:cs="Times New Roman" w:eastAsia="Times New Roman" w:hAnsi="Times New Roman"/>
          <w:sz w:val="18"/>
          <w:szCs w:val="18"/>
          <w:color w:val="000000"/>
        </w:rPr>
        <w:t>December 31, 2017,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aggregate allowance for credit losses was $3.2 million on five impaired loans with a total carrying value of $5.1 million and unpaid principal of $8.4 million. Impairments in the bank loan portfolio at December 31, 2017 largely reflect the impact of declining energy prices on the market values of loans to oil and gas companies in the energy sector.</w:t>
      </w:r>
    </w:p>
    <w:p>
      <w:pPr>
        <w:spacing w:after="0" w:line="72" w:lineRule="exact"/>
        <w:rPr>
          <w:sz w:val="20"/>
          <w:szCs w:val="20"/>
          <w:color w:val="auto"/>
        </w:rPr>
      </w:pPr>
    </w:p>
    <w:p>
      <w:pPr>
        <w:ind w:right="20" w:firstLine="351"/>
        <w:spacing w:after="0" w:line="261" w:lineRule="auto"/>
        <w:rPr>
          <w:sz w:val="20"/>
          <w:szCs w:val="20"/>
          <w:color w:val="auto"/>
        </w:rPr>
      </w:pPr>
      <w:r>
        <w:rPr>
          <w:rFonts w:ascii="Times New Roman" w:cs="Times New Roman" w:eastAsia="Times New Roman" w:hAnsi="Times New Roman"/>
          <w:sz w:val="18"/>
          <w:szCs w:val="18"/>
          <w:color w:val="auto"/>
        </w:rPr>
        <w:t>At December 31, 2018, our available-for-sale fixed maturity securities had net unrealized losses of $15.2 million representing 1.3% of the amortized cost of the portfolio. Additionally, at December 31, 2018, 100.0% of our fixed maturity security portfolio was rated “BBB-” or better (“investment grade”) by Standard &amp; Poor’s or had an equivalent rating from another nationally recognized statistical rating organization. The average duration of our investment portfolio was 3.4 years at December 31, 2018.</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maturity securities, available-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for-sale:</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 and municipal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147,160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149,295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139,382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144,366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208,869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15.6%</w:t>
            </w: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534,024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524,768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408,857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413,721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mortgage and asset-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18.0%</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backed</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199,528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197,025</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182,595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182,611</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 of U.S. government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3.5%</w:t>
            </w:r>
          </w:p>
        </w:tc>
        <w:tc>
          <w:tcPr>
            <w:tcW w:w="0" w:type="dxa"/>
            <w:vAlign w:val="bottom"/>
          </w:tcPr>
          <w:p>
            <w:pPr>
              <w:spacing w:after="0"/>
              <w:rPr>
                <w:sz w:val="1"/>
                <w:szCs w:val="1"/>
                <w:color w:val="auto"/>
              </w:rPr>
            </w:pPr>
          </w:p>
        </w:tc>
      </w:tr>
      <w:tr>
        <w:trPr>
          <w:trHeight w:val="210"/>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corporations and agencies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35,948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35,847</w:t>
            </w: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Treasury securities and</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obligations guaranteed by the U.S.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7.8%</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government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107,803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107,193</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79,476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78,874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0.2%</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1,199,409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1,184,202</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1,008,662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1,016,098</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100.0%</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available-for-sale:</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composition of the Company’s portfolio of fixed maturity securities by rating as of December 31, 2018: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0"/>
        </w:trPr>
        <w:tc>
          <w:tcPr>
            <w:tcW w:w="8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197,797</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455,952</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7"/>
        </w:trPr>
        <w:tc>
          <w:tcPr>
            <w:tcW w:w="8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416,282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114,171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
        </w:trPr>
        <w:tc>
          <w:tcPr>
            <w:tcW w:w="8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 BBB and unrated</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1,184,202</w:t>
            </w:r>
          </w:p>
        </w:tc>
        <w:tc>
          <w:tcPr>
            <w:tcW w:w="1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4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our portfolio of available-for-sale fixed maturity securities contained corporate fixed maturity securities with a fair value of $524.8 million. A summary of these securities by industry segment is shown below as of December 31,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4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3"/>
          </w:tcPr>
          <w:p>
            <w:pPr>
              <w:jc w:val="right"/>
              <w:ind w:right="972"/>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5"/>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 and other</w:t>
            </w:r>
          </w:p>
        </w:tc>
        <w:tc>
          <w:tcPr>
            <w:tcW w:w="4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128,280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Discretionary</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71,902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119,077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Care</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79,896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Staples</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Utilities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62,990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524,768</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340" w:firstLine="351"/>
        <w:spacing w:after="0" w:line="282" w:lineRule="auto"/>
        <w:rPr>
          <w:sz w:val="20"/>
          <w:szCs w:val="20"/>
          <w:color w:val="auto"/>
        </w:rPr>
      </w:pPr>
      <w:r>
        <w:rPr>
          <w:rFonts w:ascii="Times New Roman" w:cs="Times New Roman" w:eastAsia="Times New Roman" w:hAnsi="Times New Roman"/>
          <w:sz w:val="18"/>
          <w:szCs w:val="18"/>
          <w:color w:val="auto"/>
        </w:rPr>
        <w:t>Corporate available-for-sale fixed maturity securities include public traded securities and privately placed bonds as shown below as of December 31,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Public/Private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0"/>
        </w:trPr>
        <w:tc>
          <w:tcPr>
            <w:tcW w:w="8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Publicly traded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480,114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43"/>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Privately placed</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44,654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524,768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1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52,312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52,100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406,647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403,126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34.0%</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209,155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116,875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9.9%</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788,987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781,256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66.0%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17.2%</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197,025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57"/>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1,199,409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1,184,202</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60" w:firstLine="351"/>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2018, the Company had no investments in securitizations of alternative-A mortgages or sub-prime mortgages. </w:t>
      </w:r>
      <w:r>
        <w:rPr>
          <w:rFonts w:ascii="Times New Roman" w:cs="Times New Roman" w:eastAsia="Times New Roman" w:hAnsi="Times New Roman"/>
          <w:sz w:val="18"/>
          <w:szCs w:val="18"/>
          <w:i w:val="1"/>
          <w:iCs w:val="1"/>
          <w:color w:val="auto"/>
        </w:rPr>
        <w:t>Other Expenses</w:t>
      </w:r>
    </w:p>
    <w:p>
      <w:pPr>
        <w:spacing w:after="0" w:line="1" w:lineRule="exact"/>
        <w:rPr>
          <w:sz w:val="20"/>
          <w:szCs w:val="20"/>
          <w:color w:val="auto"/>
        </w:rPr>
      </w:pPr>
    </w:p>
    <w:p>
      <w:pPr>
        <w:ind w:right="260" w:firstLine="351"/>
        <w:spacing w:after="0" w:line="266" w:lineRule="auto"/>
        <w:rPr>
          <w:sz w:val="20"/>
          <w:szCs w:val="20"/>
          <w:color w:val="auto"/>
        </w:rPr>
      </w:pPr>
      <w:r>
        <w:rPr>
          <w:rFonts w:ascii="Times New Roman" w:cs="Times New Roman" w:eastAsia="Times New Roman" w:hAnsi="Times New Roman"/>
          <w:sz w:val="18"/>
          <w:szCs w:val="18"/>
          <w:color w:val="auto"/>
        </w:rPr>
        <w:t>Other expenses for the years ended December 31, 2018 and 2017 were $1.3 million and $539,000, respectively. In 2018, these expenses included $1.4 million of employee severance. In 2017, these expenses included $535,000 of legal and other professional services related to secondary share offerings in 2017.</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600" w:firstLine="351"/>
        <w:spacing w:after="0" w:line="282" w:lineRule="auto"/>
        <w:rPr>
          <w:sz w:val="20"/>
          <w:szCs w:val="20"/>
          <w:color w:val="auto"/>
        </w:rPr>
      </w:pPr>
      <w:r>
        <w:rPr>
          <w:rFonts w:ascii="Times New Roman" w:cs="Times New Roman" w:eastAsia="Times New Roman" w:hAnsi="Times New Roman"/>
          <w:sz w:val="18"/>
          <w:szCs w:val="18"/>
          <w:color w:val="auto"/>
        </w:rPr>
        <w:t>Interest expense was $11.6 million and $9.0 million for the years ended December 31, 2018 and 2017, respectively. See “—Liquidity and Capital Resources—Sources and Uses of Funds” for information regarding our senior debt facilities and trust preferred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recorded $597,000 of amortization of intangibles for each of the years ended December 31, 2018 and 2017,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Impairment</w:t>
      </w:r>
    </w:p>
    <w:p>
      <w:pPr>
        <w:spacing w:after="0" w:line="119" w:lineRule="exact"/>
        <w:rPr>
          <w:sz w:val="20"/>
          <w:szCs w:val="20"/>
          <w:color w:val="auto"/>
        </w:rPr>
      </w:pPr>
    </w:p>
    <w:p>
      <w:pPr>
        <w:ind w:right="280" w:firstLine="351"/>
        <w:spacing w:after="0" w:line="261" w:lineRule="auto"/>
        <w:rPr>
          <w:sz w:val="20"/>
          <w:szCs w:val="20"/>
          <w:color w:val="auto"/>
        </w:rPr>
      </w:pPr>
      <w:r>
        <w:rPr>
          <w:rFonts w:ascii="Times New Roman" w:cs="Times New Roman" w:eastAsia="Times New Roman" w:hAnsi="Times New Roman"/>
          <w:sz w:val="18"/>
          <w:szCs w:val="18"/>
          <w:color w:val="auto"/>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spacing w:after="0" w:line="72" w:lineRule="exact"/>
        <w:rPr>
          <w:sz w:val="20"/>
          <w:szCs w:val="20"/>
          <w:color w:val="auto"/>
        </w:rPr>
      </w:pPr>
    </w:p>
    <w:p>
      <w:pPr>
        <w:jc w:val="both"/>
        <w:ind w:right="40" w:firstLine="351"/>
        <w:spacing w:after="0" w:line="266" w:lineRule="auto"/>
        <w:rPr>
          <w:sz w:val="20"/>
          <w:szCs w:val="20"/>
          <w:color w:val="auto"/>
        </w:rPr>
      </w:pPr>
      <w:r>
        <w:rPr>
          <w:rFonts w:ascii="Times New Roman" w:cs="Times New Roman" w:eastAsia="Times New Roman" w:hAnsi="Times New Roman"/>
          <w:sz w:val="18"/>
          <w:szCs w:val="18"/>
          <w:color w:val="auto"/>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spacing w:after="0" w:line="68" w:lineRule="exact"/>
        <w:rPr>
          <w:sz w:val="20"/>
          <w:szCs w:val="20"/>
          <w:color w:val="auto"/>
        </w:rPr>
      </w:pPr>
    </w:p>
    <w:p>
      <w:pPr>
        <w:jc w:val="both"/>
        <w:ind w:right="60" w:firstLine="351"/>
        <w:spacing w:after="0" w:line="282" w:lineRule="auto"/>
        <w:rPr>
          <w:sz w:val="20"/>
          <w:szCs w:val="20"/>
          <w:color w:val="auto"/>
        </w:rPr>
      </w:pPr>
      <w:r>
        <w:rPr>
          <w:rFonts w:ascii="Times New Roman" w:cs="Times New Roman" w:eastAsia="Times New Roman" w:hAnsi="Times New Roman"/>
          <w:sz w:val="18"/>
          <w:szCs w:val="18"/>
          <w:color w:val="auto"/>
        </w:rPr>
        <w:t>The Company completed its impairment tests and fair value analysis for goodwill and other intangible assets during the fourth quarter of 2018 and 2017. Falls Lake General was merged into Falls Lake National in the fourth quarter of 2018. 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connection with this merger, Falls Lake General surrendered its licenses to the various state insurance departments and reduced the carrying value of its intangible asset for "State Licenses" to $0. This caused a $200,000 impairment in 2018. No impairment was present for the year ended December 31, 2017.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In 2017, the Company experienced a higher proportion of U.S.-sourced income, resulting in a higher effective tax rate for that year. For U.S.-sourced income, our U.S. federal income tax expense differs from the amounts computed by applying the federal statutory income tax rate (21% in 2018 and 35% in 2017) to income before taxes due primarily to interest income on tax-advantaged state and municipal securities, dividends received income, and excess tax benefits on share based compensation. For the years ended December 31, 2018 and 2017, our effective tax rate was 9.9% and 21.0%, respectively. Income taxes for 2017 included $1.1 million of U.S. withholding taxes on an intercompany dividend paid from the U.S. holding company to our U.K. intermediate holding company. Income taxes for 2017 also include a $3.5 million tax benefit as the U.S. net deferred tax liability was remeasured at 21%, down from 35% in prior periods, due to the enactment of the Tax Act.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122" w:right="279" w:bottom="1440" w:gutter="0" w:footer="0" w:header="0"/>
        </w:sectPr>
      </w:pPr>
    </w:p>
    <w:bookmarkStart w:id="88" w:name="page89"/>
    <w:bookmarkEnd w:id="8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Compared to Year Ended December 31, 2016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2017 and 2016:</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1,081,905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737,398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46.7 %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tcBorders>
              <w:bottom w:val="single" w:sz="8" w:color="CCEEFF"/>
            </w:tcBorders>
            <w:gridSpan w:val="2"/>
          </w:tcPr>
          <w:p>
            <w:pPr>
              <w:ind w:left="40"/>
              <w:spacing w:after="0" w:line="257" w:lineRule="exact"/>
              <w:rPr>
                <w:sz w:val="20"/>
                <w:szCs w:val="20"/>
                <w:color w:val="auto"/>
              </w:rPr>
            </w:pPr>
            <w:r>
              <w:rPr>
                <w:rFonts w:ascii="Times New Roman" w:cs="Times New Roman" w:eastAsia="Times New Roman" w:hAnsi="Times New Roman"/>
                <w:sz w:val="18"/>
                <w:szCs w:val="18"/>
                <w:color w:val="auto"/>
              </w:rPr>
              <w:t>Net retention</w:t>
            </w:r>
            <w:r>
              <w:rPr>
                <w:rFonts w:ascii="Times New Roman" w:cs="Times New Roman" w:eastAsia="Times New Roman" w:hAnsi="Times New Roman"/>
                <w:sz w:val="25"/>
                <w:szCs w:val="25"/>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766,626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557,708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37.5 %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43.7 %</w:t>
            </w:r>
          </w:p>
        </w:tc>
        <w:tc>
          <w:tcPr>
            <w:tcW w:w="0" w:type="dxa"/>
            <w:vAlign w:val="bottom"/>
          </w:tcPr>
          <w:p>
            <w:pPr>
              <w:spacing w:after="0" w:line="20" w:lineRule="exact"/>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741,109</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515,663</w:t>
            </w: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(555,377)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(325,421)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70.7 %</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(179,968)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(160,762)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11.9 %</w:t>
            </w: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5"/>
                <w:szCs w:val="25"/>
                <w:color w:val="auto"/>
                <w:vertAlign w:val="superscript"/>
              </w:rPr>
              <w:t>(2), (3)</w:t>
            </w: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5,764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29,480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(80.4)%</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61,119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52,638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22.4 %</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(1,590)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(66.1)%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6.2 %</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55,145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79,343</w:t>
            </w:r>
          </w:p>
        </w:tc>
        <w:tc>
          <w:tcPr>
            <w:tcW w:w="100" w:type="dxa"/>
            <w:vAlign w:val="bottom"/>
          </w:tcPr>
          <w:p>
            <w:pPr>
              <w:spacing w:after="0"/>
              <w:rPr>
                <w:sz w:val="20"/>
                <w:szCs w:val="20"/>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(30.5)%</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(11,579)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(4,872)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137.7 %</w:t>
            </w:r>
          </w:p>
        </w:tc>
        <w:tc>
          <w:tcPr>
            <w:tcW w:w="0" w:type="dxa"/>
            <w:vAlign w:val="bottom"/>
          </w:tcPr>
          <w:p>
            <w:pPr>
              <w:spacing w:after="0"/>
              <w:rPr>
                <w:sz w:val="1"/>
                <w:szCs w:val="1"/>
                <w:color w:val="auto"/>
              </w:rPr>
            </w:pPr>
          </w:p>
        </w:tc>
      </w:tr>
      <w:tr>
        <w:trPr>
          <w:trHeight w:val="297"/>
        </w:trPr>
        <w:tc>
          <w:tcPr>
            <w:tcW w:w="65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43,566</w:t>
            </w:r>
          </w:p>
        </w:tc>
        <w:tc>
          <w:tcPr>
            <w:tcW w:w="12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(41.5)%</w:t>
            </w:r>
          </w:p>
        </w:tc>
        <w:tc>
          <w:tcPr>
            <w:tcW w:w="0" w:type="dxa"/>
            <w:vAlign w:val="bottom"/>
          </w:tcPr>
          <w:p>
            <w:pPr>
              <w:spacing w:after="0"/>
              <w:rPr>
                <w:sz w:val="1"/>
                <w:szCs w:val="1"/>
                <w:color w:val="auto"/>
              </w:rPr>
            </w:pPr>
          </w:p>
        </w:tc>
      </w:tr>
      <w:tr>
        <w:trPr>
          <w:trHeight w:val="251"/>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47,385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71,318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Ratios: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90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-2889250</wp:posOffset>
            </wp:positionV>
            <wp:extent cx="1003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32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retention is defined as the ratio of net written premiums to gross written premiums.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 for further detail.</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profit includes fee income of $28.3 million and $14.2 million for the years ended December 31, 2017 and 2016, respectively.</w:t>
      </w:r>
    </w:p>
    <w:p>
      <w:pPr>
        <w:spacing w:after="0" w:line="131"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We had an underwriting profit of $5.8 million for the year ended December 31, 2017. This compares to an underwriting profit of $29.5 million for the prior year. On a consolidated basis, the Company recognized $21.5 million of net unfavorable reserve development for the year ended December 31, 2017 and $23.7 million of net favorable reserve development for the year ended December 31, 2016.</w:t>
      </w:r>
    </w:p>
    <w:p>
      <w:pPr>
        <w:spacing w:after="0" w:line="68"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The results for the years ended December 31, 2017 and 2016 included certain non-operating items that are significant to the Company. These items (on a pre-tax basis) include:</w:t>
      </w:r>
    </w:p>
    <w:p>
      <w:pPr>
        <w:spacing w:after="0" w:line="54" w:lineRule="exact"/>
        <w:rPr>
          <w:sz w:val="20"/>
          <w:szCs w:val="20"/>
          <w:color w:val="auto"/>
        </w:rPr>
      </w:pPr>
    </w:p>
    <w:p>
      <w:pPr>
        <w:ind w:left="660" w:right="80" w:hanging="328"/>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net realized investment losses and $7.6 million of net realized investment gains for the years ended December 31, 2017 and 2016, respectively. Net realized investment losses in 2017 were primarily from $4.0 million of impairment losses on one equity security and an increase in the allowance for credit losses on impaired bank loans, offset by realized gains of $1.3 million from the sale of bank loan participations, $328,000 from the sale of fixed maturity securities and $369,000 from the sale of equity securities. Net realized investment gains in 2016 include net realized gains from equity securities of $4.8 million and net realized gains from fixed maturity securities of $1.8 million.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69" w:lineRule="exact"/>
        <w:rPr>
          <w:sz w:val="20"/>
          <w:szCs w:val="20"/>
          <w:color w:val="auto"/>
        </w:rPr>
      </w:pPr>
    </w:p>
    <w:p>
      <w:pPr>
        <w:ind w:left="660" w:right="480" w:hanging="328"/>
        <w:spacing w:after="0" w:line="32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$539,000 and $1.6 million of other expenses for the years ended December 31, 2017 and 2016, respectively. Other expenses for 2017 include $535,000 of legal and other professional services related to secondary share offerings in 2017. Other expenses for 2016 include $1.5 million of employee severance costs.</w:t>
      </w:r>
    </w:p>
    <w:p>
      <w:pPr>
        <w:spacing w:after="0" w:line="60" w:lineRule="exact"/>
        <w:rPr>
          <w:rFonts w:ascii="Times New Roman" w:cs="Times New Roman" w:eastAsia="Times New Roman" w:hAnsi="Times New Roman"/>
          <w:sz w:val="18"/>
          <w:szCs w:val="18"/>
          <w:color w:val="auto"/>
        </w:rPr>
      </w:pPr>
    </w:p>
    <w:p>
      <w:pPr>
        <w:ind w:left="660" w:right="60" w:hanging="328"/>
        <w:spacing w:after="0" w:line="313"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for the years ended December 31, 2017 and 2016 include $1.3 million and $1.4 million, respectively, relating to finance expenses in connection with a minority interest in a real estate partnership pursuant to which we are deemed an owner for accounting purposes. The debt is nonrecourse to us and was not arranged by us. See Note 1 to the Notes to the Audited Consolidated Financial Statements for additional information with respect to our minority interest.</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income before taxes and net income for the years ended December 31, 2017 and 2016 reconcile to our adjusted net operating income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40" w:type="dxa"/>
            <w:vAlign w:val="bottom"/>
          </w:tcPr>
          <w:p>
            <w:pPr>
              <w:spacing w:after="0"/>
              <w:rPr>
                <w:sz w:val="12"/>
                <w:szCs w:val="12"/>
                <w:color w:val="auto"/>
              </w:rPr>
            </w:pPr>
          </w:p>
        </w:tc>
        <w:tc>
          <w:tcPr>
            <w:tcW w:w="940" w:type="dxa"/>
            <w:vAlign w:val="bottom"/>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as reported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43,566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79,343</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74,471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withholding taxes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on leased building the Company is deemed to own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 accounting purposes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47,385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71,318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Our combined ratio for the year ended December 31, 2017 was 99.2%. In 2017, the combined ratio included $21.5 million, or 2.9 percentage points, of adverse reserve development on direct and assumed business underwritten by the Company on prior accident years, including $20.0 million of adverse reserve development from the Excess and Surplus Lines segment and $4.2 million of adverse reserve development from the Casualty Reinsurance segment offset partially by $2.7 million of favorable reserve development from the Specialty Admitted Insurance segment. The combined ratio for the year ended December 31, 2017 also includes $6.9 million, or 0.9 percentage points, of catastrophe losses from Hurricanes Harvey, Irma, and Maria.</w:t>
      </w:r>
    </w:p>
    <w:p>
      <w:pPr>
        <w:spacing w:after="0" w:line="76"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Our combined ratio for the year ended December 31, 2016 was 94.3%. It included $23.7 million, or 4.6 percentage points, of net favorable reserve development on direct and assumed business underwritten by the Company on prior accident years, including $24.1 million of favorable reserve development from the Excess and Surplus Lines segment and $3.8 million of favorable development from the Specialty Admitted Insurance segment, partially offset by $4.2 million of adverse reserve development from the Casualty Reinsurance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Ratios</w:t>
      </w:r>
    </w:p>
    <w:p>
      <w:pPr>
        <w:spacing w:after="0" w:line="119"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Our expense ratio was 24.3% and 31.2% for the years ended December 31, 2017 and 2016, respectively. The reduced expense ratio for 2017 reflects the 53.8% increase in the Excess and Surplus segment’s net earned premiums and an increase in fee income for the Company as a whole. Our Excess and Surplus Lines segment (our largest segment with 62.5% of consolidated net earned premiums for the year ended December 31, 2017) has significant scale and produces a lower expense ratio than our other operating segments. Fee income for the Company increased year over year from $14.2 million to $28.3 million, as we grew our fee business in both the Excess and Surplus Lines segment and the Specialty Admitted Insurance segment.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change in premium volume by component and business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530,120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370,844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316,430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182,221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73.7%</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235,355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184,333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1,081,905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737,398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469,891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316,922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48.3%</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60,957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235,778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184,983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27.5%</w:t>
            </w:r>
          </w:p>
        </w:tc>
        <w:tc>
          <w:tcPr>
            <w:tcW w:w="0" w:type="dxa"/>
            <w:vAlign w:val="bottom"/>
          </w:tcPr>
          <w:p>
            <w:pPr>
              <w:spacing w:after="0"/>
              <w:rPr>
                <w:sz w:val="1"/>
                <w:szCs w:val="1"/>
                <w:color w:val="auto"/>
              </w:rPr>
            </w:pPr>
          </w:p>
        </w:tc>
      </w:tr>
      <w:tr>
        <w:trPr>
          <w:trHeight w:val="297"/>
        </w:trPr>
        <w:tc>
          <w:tcPr>
            <w:tcW w:w="67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766,626</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557,708</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37.5%</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463,521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301,404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53.8%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68,110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52,281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209,478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161,978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29.3%</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741,109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515,663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51"/>
        <w:spacing w:after="0" w:line="261" w:lineRule="auto"/>
        <w:rPr>
          <w:sz w:val="20"/>
          <w:szCs w:val="20"/>
          <w:color w:val="auto"/>
        </w:rPr>
      </w:pPr>
      <w:r>
        <w:rPr>
          <w:rFonts w:ascii="Times New Roman" w:cs="Times New Roman" w:eastAsia="Times New Roman" w:hAnsi="Times New Roman"/>
          <w:sz w:val="18"/>
          <w:szCs w:val="18"/>
          <w:color w:val="auto"/>
        </w:rPr>
        <w:t>For the Excess and Surplus Lines segment (which represents 49.0% of our 2017 consolidated gross written premiums), gross written premiums for the year ended December 31, 2017 increased 42.9% over the prior year. Excess and Surplus Lines segment policy submissions, excluding commercial auto, were 8.5% higher and bound policies were 3.0% higher, which was partially offset by a 2.2% decrease in the average premium from $19,682 to $19,253. The gross written premiums increase was most notable in the following divisions within the Excess and Surplus Lines segment:</w:t>
      </w:r>
    </w:p>
    <w:p>
      <w:pPr>
        <w:spacing w:after="0" w:line="99" w:lineRule="exact"/>
        <w:rPr>
          <w:sz w:val="20"/>
          <w:szCs w:val="20"/>
          <w:color w:val="auto"/>
        </w:rPr>
      </w:pPr>
    </w:p>
    <w:p>
      <w:pPr>
        <w:ind w:left="660" w:right="160" w:hanging="328"/>
        <w:spacing w:after="0" w:line="32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Auto division (representing 46.8% of this segment’s 2017 business) which increased $137.9 million (or 125.3%) over the prior year. This division is focused on underwriting the hired and non-owned auto liability exposures for a variety of industry segments with a particular niche for insuring organizations that operate networks connecting independent contractors with customers.</w:t>
      </w:r>
    </w:p>
    <w:p>
      <w:pPr>
        <w:spacing w:after="0" w:line="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Casualty division (representing 9.7% of this segment’s 2017 business) which increased $7.6 million (or 17.4%) over the prior year.</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Allied Health division (representing 3.6% of this segment’s 2017 business) which increased $4.8 million (or 33.1%) over the prior year.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division (representing 1.5% of this segment’s 2017 business) which increased $2.6 million (or 48.8%) over the prior year; and</w:t>
      </w:r>
    </w:p>
    <w:p>
      <w:pPr>
        <w:spacing w:after="0" w:line="157" w:lineRule="exact"/>
        <w:rPr>
          <w:rFonts w:ascii="Times New Roman" w:cs="Times New Roman" w:eastAsia="Times New Roman" w:hAnsi="Times New Roman"/>
          <w:sz w:val="18"/>
          <w:szCs w:val="18"/>
          <w:color w:val="auto"/>
        </w:rPr>
      </w:pPr>
    </w:p>
    <w:p>
      <w:pPr>
        <w:ind w:left="660" w:right="120" w:hanging="328"/>
        <w:spacing w:after="0" w:line="34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and Contractors division (representing 16.2% of this segment’s 2017 business) which increased $2.4 million (or 2.9%) over the prior year.</w:t>
      </w:r>
    </w:p>
    <w:p>
      <w:pPr>
        <w:spacing w:after="0" w:line="14"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29.2% of our 2017 consolidated gross written premiums)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Workers’ compensation premiums</w:t>
            </w:r>
          </w:p>
        </w:tc>
        <w:tc>
          <w:tcPr>
            <w:tcW w:w="2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44,121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39,627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fronting and program business</w:t>
            </w: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272,309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142,594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91.0%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316,430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182,221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6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620" w:firstLine="324"/>
        <w:spacing w:after="0" w:line="313" w:lineRule="auto"/>
        <w:rPr>
          <w:sz w:val="20"/>
          <w:szCs w:val="20"/>
          <w:color w:val="auto"/>
        </w:rPr>
      </w:pPr>
      <w:r>
        <w:rPr>
          <w:rFonts w:ascii="Times New Roman" w:cs="Times New Roman" w:eastAsia="Times New Roman" w:hAnsi="Times New Roman"/>
          <w:sz w:val="17"/>
          <w:szCs w:val="17"/>
          <w:color w:val="auto"/>
        </w:rPr>
        <w:t>A significant portion of the fronting and program business is ceded to third party reinsurers. As a result, our net written premium for this segment increased by less than our gross written premiums, increasing 9.2% and 24.2% for the years ended December 31, 2017 and 2016, respectively.</w:t>
      </w:r>
    </w:p>
    <w:p>
      <w:pPr>
        <w:spacing w:after="0" w:line="30" w:lineRule="exact"/>
        <w:rPr>
          <w:sz w:val="20"/>
          <w:szCs w:val="20"/>
          <w:color w:val="auto"/>
        </w:rPr>
      </w:pPr>
    </w:p>
    <w:p>
      <w:pPr>
        <w:ind w:right="300" w:firstLine="351"/>
        <w:spacing w:after="0" w:line="282" w:lineRule="auto"/>
        <w:rPr>
          <w:sz w:val="20"/>
          <w:szCs w:val="20"/>
          <w:color w:val="auto"/>
        </w:rPr>
      </w:pPr>
      <w:r>
        <w:rPr>
          <w:rFonts w:ascii="Times New Roman" w:cs="Times New Roman" w:eastAsia="Times New Roman" w:hAnsi="Times New Roman"/>
          <w:sz w:val="18"/>
          <w:szCs w:val="18"/>
          <w:color w:val="auto"/>
        </w:rPr>
        <w:t>For the Casualty Reinsurance segment (which represents 21.8% of our 2017 consolidated gross written premiums), gross written premiums increased 27.7%, from $184.3 million for the year ended December 31, 2016 to $235.4 million for the year ended December 31, 2017.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Retention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net premium retention by segment is as follows:</w:t>
      </w:r>
    </w:p>
    <w:p>
      <w:pPr>
        <w:spacing w:after="0" w:line="27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24765</wp:posOffset>
            </wp:positionV>
            <wp:extent cx="2032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bl>
    <w:p>
      <w:pPr>
        <w:spacing w:after="0" w:line="11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net premium retention for the Excess and Surplus Lines segment increased from 2016 to 2017 due to increased premium on our commercial auto business. We generally retain all of the premium written by the Commercial Auto division.</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decreased from 2016 to 2017 as a result of growth in the segment's fronting and program business, which has much lower net premium retention than our workers’ compensation business. Fronting and program gross written premium grew 91.0% from December 31, 2016 to December 31, 2017. Net retention on the segment’s fronting and program business was 11.9% and 14.0%, respectively, for the years ended December 31, 2017 and 2016. The net retention on the workers’ compensation business was 64.8% and 90.3%, respectively, for the years ended December 31, 2017 and 2016. The significant decline in the net retention from the prior year is due to the 50% quota share reinsurance coverage purchased on this business effective October 1, 2017.</w:t>
      </w:r>
    </w:p>
    <w:p>
      <w:pPr>
        <w:spacing w:after="0" w:line="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net retention for the Casualty Reinsurance segment includes adjustments to the estimates of both gross and net written premiums from the prior year that caused this segment’s net premium retention to slightly exceed 100% in both periods.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combined ratios by segment:</w:t>
      </w:r>
    </w:p>
    <w:p>
      <w:pPr>
        <w:spacing w:after="0" w:line="27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24765</wp:posOffset>
            </wp:positionV>
            <wp:extent cx="2032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594"/>
        </w:trPr>
        <w:tc>
          <w:tcPr>
            <w:tcW w:w="82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91</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530,120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370,844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42.9 %</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469,891</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316,922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48.3 %</w:t>
            </w: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463,521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301,404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53.8 %</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(371,717)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(188,768)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96.9 %</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(62,111)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(65,401)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(5.0)%</w:t>
            </w:r>
          </w:p>
        </w:tc>
      </w:tr>
      <w:tr>
        <w:trPr>
          <w:trHeight w:val="304"/>
        </w:trPr>
        <w:tc>
          <w:tcPr>
            <w:tcW w:w="654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5"/>
                <w:szCs w:val="25"/>
                <w:color w:val="auto"/>
                <w:vertAlign w:val="superscript"/>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29,693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47,235</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(37.1)%</w:t>
            </w:r>
          </w:p>
        </w:tc>
      </w:tr>
      <w:tr>
        <w:trPr>
          <w:trHeight w:val="231"/>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right="140" w:hanging="332"/>
        <w:spacing w:after="0" w:line="344"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Profit is a non-GAAP Measure. See “Reconciliation of Non-GAAP Measures” for a reconciliation to income before tax and for additional information.</w:t>
      </w:r>
    </w:p>
    <w:p>
      <w:pPr>
        <w:spacing w:after="0" w:line="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results include fee income of $17.0 million and $10.1 million for the years ended December 31, 2017 and 2016, respectively.</w:t>
      </w:r>
    </w:p>
    <w:p>
      <w:pPr>
        <w:spacing w:after="0" w:line="129" w:lineRule="exact"/>
        <w:rPr>
          <w:sz w:val="20"/>
          <w:szCs w:val="20"/>
          <w:color w:val="auto"/>
        </w:rPr>
      </w:pPr>
    </w:p>
    <w:p>
      <w:pPr>
        <w:ind w:right="18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of the Excess and Surplus Lines segment for the year ended December 31, 2017 was 93.6%, comprised of a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80.2% and an expense ratio of 13.4%. The combined ratio of the Excess and Surplus Lines segment for the year ended December 31, 2016 was 84.3%, comprised of a loss ratio of 62.6% and an expense ratio of 21.7%.</w:t>
      </w:r>
    </w:p>
    <w:p>
      <w:pPr>
        <w:spacing w:after="0" w:line="65"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Ratio. </w:t>
      </w:r>
      <w:r>
        <w:rPr>
          <w:rFonts w:ascii="Times New Roman" w:cs="Times New Roman" w:eastAsia="Times New Roman" w:hAnsi="Times New Roman"/>
          <w:sz w:val="18"/>
          <w:szCs w:val="18"/>
          <w:color w:val="auto"/>
        </w:rPr>
        <w:t>The loss ratio of 80.2% for the year ended December 31, 2017 includes $20.0 million, or 4.3 percentage points, of adverse development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loss estimates for prior accident years. The adverse reserve development in this segment was almost entirely from one large commercial auto account in the 2016 accident year. The loss ratio for the year ended December 31, 2017 also includes $5.2 million of losses from Hurricanes Harvey, Irma, and Maria primarily related to property losses in Florida. The catastrophe losses represent 1.1 percentage points of loss ratio additions for the year. The loss ratio of</w:t>
      </w:r>
    </w:p>
    <w:p>
      <w:pPr>
        <w:spacing w:after="0" w:line="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62.6% for the year ended December 31, 2016 includes $24.1 million, or 8.0 percentage points, of net favorable development in our loss estimates for prior accident years.</w:t>
      </w:r>
    </w:p>
    <w:p>
      <w:pPr>
        <w:spacing w:after="0" w:line="70" w:lineRule="exact"/>
        <w:rPr>
          <w:sz w:val="20"/>
          <w:szCs w:val="20"/>
          <w:color w:val="auto"/>
        </w:rPr>
      </w:pPr>
    </w:p>
    <w:p>
      <w:pPr>
        <w:ind w:right="340"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The expense ratio decreased from 21.7% in 2016 to 13.4% in 2017. The decrease in the expense ratio is attributable to the 53.8%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net earned premiums as well as a decrease in the total amount of operating expenses. Additionally, fee income increased as a percentage of net earned premiums and contributed to a reduction in the expense ratio of 3.7 and 3.3 percentage points for the years ended December 31, 2017 and 2016, respectively.</w:t>
      </w:r>
    </w:p>
    <w:p>
      <w:pPr>
        <w:spacing w:after="0" w:line="74" w:lineRule="exact"/>
        <w:rPr>
          <w:sz w:val="20"/>
          <w:szCs w:val="20"/>
          <w:color w:val="auto"/>
        </w:rPr>
      </w:pPr>
    </w:p>
    <w:p>
      <w:pPr>
        <w:ind w:right="180" w:firstLine="351"/>
        <w:spacing w:after="0" w:line="266" w:lineRule="auto"/>
        <w:rPr>
          <w:sz w:val="20"/>
          <w:szCs w:val="20"/>
          <w:color w:val="auto"/>
        </w:rPr>
      </w:pPr>
      <w:r>
        <w:rPr>
          <w:rFonts w:ascii="Times New Roman" w:cs="Times New Roman" w:eastAsia="Times New Roman" w:hAnsi="Times New Roman"/>
          <w:sz w:val="18"/>
          <w:szCs w:val="18"/>
          <w:color w:val="auto"/>
        </w:rPr>
        <w:t>The reduced expense ratio and higher loss ratio in this segment reflects an increase in the commercial auto premium as a percentage of the segment’s total premium. Our commercial auto business has a lower expense ratio and higher loss ratio than our other business in the segment. Commercial auto made up 46.8% of the segment’s gross written premium for 2017 compared to 29.7% for 2016.</w:t>
      </w:r>
    </w:p>
    <w:p>
      <w:pPr>
        <w:spacing w:after="0" w:line="66" w:lineRule="exact"/>
        <w:rPr>
          <w:sz w:val="20"/>
          <w:szCs w:val="20"/>
          <w:color w:val="auto"/>
        </w:rPr>
      </w:pPr>
    </w:p>
    <w:p>
      <w:pPr>
        <w:ind w:right="18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As a result of the items discussed above, underwriting profit of the Excess and Surplus Lines segment decreased by 37.1%,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$47.2 million for the year ended December 31, 2016 to $29.7 million for the year ended December 31, 2017.</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316,430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182,221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73.7%</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91"/>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60,957</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55,803</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9.2%</w:t>
            </w:r>
          </w:p>
        </w:tc>
      </w:tr>
      <w:tr>
        <w:trPr>
          <w:trHeight w:val="237"/>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68,110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52,281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(44,863)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(30,897)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45.2%</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(20,081)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(18,512)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w:t>
            </w:r>
          </w:p>
        </w:tc>
      </w:tr>
      <w:tr>
        <w:trPr>
          <w:trHeight w:val="264"/>
        </w:trPr>
        <w:tc>
          <w:tcPr>
            <w:tcW w:w="658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5"/>
                <w:szCs w:val="25"/>
                <w:color w:val="auto"/>
                <w:vertAlign w:val="superscript"/>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2"/>
                <w:szCs w:val="22"/>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10.2%</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4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65.9%</w:t>
            </w:r>
          </w:p>
        </w:tc>
        <w:tc>
          <w:tcPr>
            <w:tcW w:w="27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44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428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29.5%</w:t>
            </w:r>
          </w:p>
        </w:tc>
        <w:tc>
          <w:tcPr>
            <w:tcW w:w="2740" w:type="dxa"/>
            <w:vAlign w:val="bottom"/>
            <w:tcBorders>
              <w:bottom w:val="single" w:sz="8" w:color="CCEEFF"/>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4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95.4%</w:t>
            </w:r>
          </w:p>
        </w:tc>
        <w:tc>
          <w:tcPr>
            <w:tcW w:w="27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right="140" w:hanging="332"/>
        <w:spacing w:after="0" w:line="344"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Profit is a non-GAAP Measure. See “Reconciliation of Non-GAAP Measures” for a reconciliation to income before tax and for additional information.</w:t>
      </w:r>
    </w:p>
    <w:p>
      <w:pPr>
        <w:spacing w:after="0" w:line="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profit includes fee income of $11.3 million and $4.2 million for the years ended December 31, 2017 and 2016, respectively.</w:t>
      </w:r>
    </w:p>
    <w:p>
      <w:pPr>
        <w:spacing w:after="0" w:line="129" w:lineRule="exact"/>
        <w:rPr>
          <w:sz w:val="20"/>
          <w:szCs w:val="20"/>
          <w:color w:val="auto"/>
        </w:rPr>
      </w:pPr>
    </w:p>
    <w:p>
      <w:pPr>
        <w:jc w:val="both"/>
        <w:ind w:right="12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of the Specialty Admitted Insurance segment for the year ended December 31, 2017 was 95.4%, comprised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ratio of 65.9% and an expense ratio of 29.5%. This compares to the combined ratio in the prior year of 94.5%, comprised of a loss ratio of 59.1% and an expense ratio of 35.4%.</w:t>
      </w:r>
    </w:p>
    <w:p>
      <w:pPr>
        <w:spacing w:after="0" w:line="65"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Ratio. </w:t>
      </w:r>
      <w:r>
        <w:rPr>
          <w:rFonts w:ascii="Times New Roman" w:cs="Times New Roman" w:eastAsia="Times New Roman" w:hAnsi="Times New Roman"/>
          <w:sz w:val="18"/>
          <w:szCs w:val="18"/>
          <w:color w:val="auto"/>
        </w:rPr>
        <w:t>The loss ratio for the year ended December 31, 2017 of 65.9% included $2.7 million, or 4.0 percentage points of net favorable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prior accident years. The loss ratio for the year ended December 31, 2016 of 59.1% included $3.8 million, or 7.3 percentage points of net favorable development on prior accident years. The favorable development in both 2017 and 2016 reflects the fact that actual loss emergence of the workers’ compensation book for prior accident years has been better than expected.</w:t>
      </w:r>
    </w:p>
    <w:p>
      <w:pPr>
        <w:spacing w:after="0" w:line="72" w:lineRule="exact"/>
        <w:rPr>
          <w:sz w:val="20"/>
          <w:szCs w:val="20"/>
          <w:color w:val="auto"/>
        </w:rPr>
      </w:pPr>
    </w:p>
    <w:p>
      <w:pPr>
        <w:ind w:right="180" w:firstLine="35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The expense ratio of 29.5% for the year ended December 31, 2017 decreased from 35.4% in the prior year. The expense ratio declined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2017 for this segment primarily due to a 30.3% increase in net earned premiums as the fronting and program business continued to achieve scale. Additionally, fee income reduced the Specialty Admitted Insurance segment's overall expense ratio 16.5 and 8.0 percentage points for the years ended December 31, 2017 and 2016, respectively.</w:t>
      </w:r>
    </w:p>
    <w:p>
      <w:pPr>
        <w:spacing w:after="0" w:line="72" w:lineRule="exact"/>
        <w:rPr>
          <w:sz w:val="20"/>
          <w:szCs w:val="20"/>
          <w:color w:val="auto"/>
        </w:rPr>
      </w:pPr>
    </w:p>
    <w:p>
      <w:pPr>
        <w:ind w:right="38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As a result of the items discussed above, the underwriting profit improved from $2.9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to $3.2 million for the year ended December 31, 2017.</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Reinsurance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Casualty Reinsurance segment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235,355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184,333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91"/>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235,778</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184,983</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27.5%</w:t>
            </w:r>
          </w:p>
        </w:tc>
      </w:tr>
      <w:tr>
        <w:trPr>
          <w:trHeight w:val="237"/>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209,478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161,978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29.3%</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(138,797)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(105,756)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31.2%</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(72,446)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(56,416)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28.4%</w:t>
            </w:r>
          </w:p>
        </w:tc>
      </w:tr>
      <w:tr>
        <w:trPr>
          <w:trHeight w:val="264"/>
        </w:trPr>
        <w:tc>
          <w:tcPr>
            <w:tcW w:w="658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loss</w:t>
            </w:r>
            <w:r>
              <w:rPr>
                <w:rFonts w:ascii="Times New Roman" w:cs="Times New Roman" w:eastAsia="Times New Roman" w:hAnsi="Times New Roman"/>
                <w:sz w:val="25"/>
                <w:szCs w:val="25"/>
                <w:color w:val="auto"/>
                <w:vertAlign w:val="superscript"/>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809.8%</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4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66.3%</w:t>
            </w:r>
          </w:p>
        </w:tc>
        <w:tc>
          <w:tcPr>
            <w:tcW w:w="27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65.3%</w:t>
            </w:r>
          </w:p>
        </w:tc>
      </w:tr>
      <w:tr>
        <w:trPr>
          <w:trHeight w:val="27"/>
        </w:trPr>
        <w:tc>
          <w:tcPr>
            <w:tcW w:w="43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430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34.5%</w:t>
            </w:r>
          </w:p>
        </w:tc>
        <w:tc>
          <w:tcPr>
            <w:tcW w:w="2780" w:type="dxa"/>
            <w:vAlign w:val="bottom"/>
            <w:tcBorders>
              <w:bottom w:val="single" w:sz="8" w:color="CCEEFF"/>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4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100.8%</w:t>
            </w:r>
          </w:p>
        </w:tc>
        <w:tc>
          <w:tcPr>
            <w:tcW w:w="278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right="260" w:hanging="332"/>
        <w:spacing w:after="0" w:line="344"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loss is a non-GAAP Measure. See “Reconciliation of Non-GAAP Measures” for a reconciliation to income before tax and for additional information.</w:t>
      </w:r>
    </w:p>
    <w:p>
      <w:pPr>
        <w:spacing w:after="0" w:line="12" w:lineRule="exact"/>
        <w:rPr>
          <w:sz w:val="20"/>
          <w:szCs w:val="20"/>
          <w:color w:val="auto"/>
        </w:rPr>
      </w:pPr>
    </w:p>
    <w:p>
      <w:pPr>
        <w:jc w:val="both"/>
        <w:ind w:right="340" w:firstLine="3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of the Casualty Reinsurance segment for the year ended December 31, 2017 was 100.8%, comprised of a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66.3% and an expense ratio of 34.5%. This compares to the combined ratio in the prior year of 100.1%, comprised of a loss ratio of 65.3% and an expense ratio of 34.8%.</w:t>
      </w:r>
    </w:p>
    <w:p>
      <w:pPr>
        <w:spacing w:after="0" w:line="65" w:lineRule="exact"/>
        <w:rPr>
          <w:sz w:val="20"/>
          <w:szCs w:val="20"/>
          <w:color w:val="auto"/>
        </w:rPr>
      </w:pPr>
    </w:p>
    <w:p>
      <w:pPr>
        <w:ind w:right="3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Loss Ratio. </w:t>
      </w:r>
      <w:r>
        <w:rPr>
          <w:rFonts w:ascii="Times New Roman" w:cs="Times New Roman" w:eastAsia="Times New Roman" w:hAnsi="Times New Roman"/>
          <w:sz w:val="18"/>
          <w:szCs w:val="18"/>
          <w:color w:val="auto"/>
        </w:rPr>
        <w:t>The loss ratio for the year ended December 31, 2017 of 66.3% included $4.2 million, or 2.0 percentage points, of adverse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in our loss estimates for prior accident years. The loss ratio for the year ended December 31, 2017 also includes $1.8 million of losses from Hurricanes Harvey and Irma primarily related to nonstandard auto losses in Texas. These catastrophe losses represented 0.8 percentage points of loss ratio additions for the year. The loss ratio for the year ended December 31, 2016 of 65.3% included $4.2 million, or 2.6 percentage points, of adverse reserve development in our loss estimates for prior accident years.</w:t>
      </w:r>
    </w:p>
    <w:p>
      <w:pPr>
        <w:spacing w:after="0" w:line="72" w:lineRule="exact"/>
        <w:rPr>
          <w:sz w:val="20"/>
          <w:szCs w:val="20"/>
          <w:color w:val="auto"/>
        </w:rPr>
      </w:pPr>
    </w:p>
    <w:p>
      <w:pPr>
        <w:ind w:right="18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The expense ratio of the Casualty Reinsurance segment decreased from 34.8% for the year ended December 31, 2016 to 34.5%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2017, as net earned premiums increased 29.3% in 2017 while underwriting expenses increased by 28.4%.</w:t>
      </w:r>
    </w:p>
    <w:p>
      <w:pPr>
        <w:spacing w:after="0" w:line="50" w:lineRule="exact"/>
        <w:rPr>
          <w:sz w:val="20"/>
          <w:szCs w:val="20"/>
          <w:color w:val="auto"/>
        </w:rPr>
      </w:pPr>
    </w:p>
    <w:p>
      <w:pPr>
        <w:ind w:right="740" w:firstLine="3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Underwriting Results. </w:t>
      </w:r>
      <w:r>
        <w:rPr>
          <w:rFonts w:ascii="Times New Roman" w:cs="Times New Roman" w:eastAsia="Times New Roman" w:hAnsi="Times New Roman"/>
          <w:sz w:val="18"/>
          <w:szCs w:val="18"/>
          <w:color w:val="auto"/>
        </w:rPr>
        <w:t>As a result of the items discussed above, the underwriting loss for the Casualty Reinsurance segment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was $1.8 million compared to an underwriting loss of $194,000 for the year ended December 31, 2016.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100" w:firstLine="351"/>
        <w:spacing w:after="0" w:line="282" w:lineRule="auto"/>
        <w:rPr>
          <w:sz w:val="20"/>
          <w:szCs w:val="20"/>
          <w:color w:val="auto"/>
        </w:rPr>
      </w:pPr>
      <w:r>
        <w:rPr>
          <w:rFonts w:ascii="Times New Roman" w:cs="Times New Roman" w:eastAsia="Times New Roman" w:hAnsi="Times New Roman"/>
          <w:sz w:val="18"/>
          <w:szCs w:val="18"/>
          <w:color w:val="auto"/>
        </w:rPr>
        <w:t>In addition to the underwriting, acquisition and insurance expenses of the Excess and Surplus Lines segment, the Specialty Admitted Insurance segment and the Casualty Reinsurance segment discussed previously, other operating expenses also includes the expenses of the Corporate and Other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9"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and various other corporate expenses that are included in the calculation of our expense ratio and combined ratio. Accordingly, other operating expenses of the Corporate and Other segment represent the expenses of both the Bermuda and U.S. holding companies that were not reimbursed by our subsidiaries, including costs associated with potential acquisitions and other strategic initiatives. These costs vary from period to period based on the status of these initiatives.</w:t>
      </w:r>
    </w:p>
    <w:p>
      <w:pPr>
        <w:spacing w:after="0" w:line="76" w:lineRule="exact"/>
        <w:rPr>
          <w:sz w:val="20"/>
          <w:szCs w:val="20"/>
          <w:color w:val="auto"/>
        </w:rPr>
      </w:pPr>
    </w:p>
    <w:p>
      <w:pPr>
        <w:ind w:right="580" w:firstLine="351"/>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2017 and 2016, the total operating expenses of the Corporate and Other segment were $25.3 million and $20.4 million, respectively. The increase in these expenses was primarily related to increases in stock compensation expense resulting from the options and restricted stock units granted in February 2017, increases in public company expenses and other professional service fees.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Results</w:t>
      </w:r>
    </w:p>
    <w:p>
      <w:pPr>
        <w:spacing w:after="0" w:line="119" w:lineRule="exact"/>
        <w:rPr>
          <w:sz w:val="20"/>
          <w:szCs w:val="20"/>
          <w:color w:val="auto"/>
        </w:rPr>
      </w:pPr>
    </w:p>
    <w:p>
      <w:pPr>
        <w:ind w:right="440" w:firstLine="351"/>
        <w:spacing w:after="0" w:line="282" w:lineRule="auto"/>
        <w:rPr>
          <w:sz w:val="20"/>
          <w:szCs w:val="20"/>
          <w:color w:val="auto"/>
        </w:rPr>
      </w:pPr>
      <w:r>
        <w:rPr>
          <w:rFonts w:ascii="Times New Roman" w:cs="Times New Roman" w:eastAsia="Times New Roman" w:hAnsi="Times New Roman"/>
          <w:sz w:val="18"/>
          <w:szCs w:val="18"/>
          <w:color w:val="auto"/>
        </w:rPr>
        <w:t>Net investment income was $61.1 million for the year ended December 31, 2017 compared to $52.6 million in the prior year. The change in our net investment income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Renewable energy LLCs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10,578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204.0 %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6,056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(42.2)%</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14,079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47.6 %</w:t>
            </w: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net investment income</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47,040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43,102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9.1 %</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61,119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52,638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16.1 %</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The $8.5 million increase in net investment income year-over-year was largely driven by the performance of the Company’s renewable energy LLCs. Net investment income from renewable energy LLCs increased from $3.5 million for the year ended December 31, 2016 to $10.6 million for the year ended December 31, 2017. Excluding the private investments, our net investment income increased by $3.9 million over the prior year due to a 11.7% increase in our cash and invested assets from $1,442.1 million at December 31, 2016 to $1,611.1 million at December 31, 2017 and an increase in investment yield.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26,833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25,917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17,388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14,486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5,617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14,079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9,536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(losses) gains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investment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65,049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56,398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61,119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52,638</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investment returns:</w:t>
      </w:r>
    </w:p>
    <w:p>
      <w:pPr>
        <w:spacing w:after="0" w:line="27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24765</wp:posOffset>
            </wp:positionV>
            <wp:extent cx="2023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Annualized gross investment yield 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fixed maturity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Of our total cash and invested assets of $1,611.1 million at December 31, 2017, $163.5 million represents the cash and cash equivalents portion of the portfolio. The majority of the portfolio, or $1,098.6 million, is comprised of fixed maturity and equity securities that are classified as available-for-sale and carried at fair value with unrealized gains and losses on these securities reported, net of applicable taxes, as a separate component of accumulated comprehensive income or loss. Also included in our investments are $238.2 million of bank loan participations, $70.2 million of other invested assets, $36.8 million of short-term investments, and $3.8 million of fixed maturity securities classified as trading and held at the U.S. holding company. Our trading portfolio is carried at fair value with changes to the value reported as net investment income in our consolidated income statement.</w:t>
      </w:r>
    </w:p>
    <w:p>
      <w:pPr>
        <w:spacing w:after="0" w:line="80" w:lineRule="exact"/>
        <w:rPr>
          <w:sz w:val="20"/>
          <w:szCs w:val="20"/>
          <w:color w:val="auto"/>
        </w:rPr>
      </w:pPr>
    </w:p>
    <w:p>
      <w:pPr>
        <w:jc w:val="both"/>
        <w:ind w:right="80" w:firstLine="351"/>
        <w:spacing w:after="0" w:line="261" w:lineRule="auto"/>
        <w:rPr>
          <w:sz w:val="20"/>
          <w:szCs w:val="20"/>
          <w:color w:val="auto"/>
        </w:rPr>
      </w:pPr>
      <w:r>
        <w:rPr>
          <w:rFonts w:ascii="Times New Roman" w:cs="Times New Roman" w:eastAsia="Times New Roman" w:hAnsi="Times New Roman"/>
          <w:sz w:val="18"/>
          <w:szCs w:val="18"/>
          <w:color w:val="auto"/>
        </w:rPr>
        <w:t>The $238.2 million of bank loan participations are classified as held-for-investment and reported at amortized cost, net of an allowance for credit losses. Changes in this credit allowance are included in realized gains or losses. These bank loan participations are primarily senior, secured floating-rate debt which are generally rated “BB,” “B,” or “CCC” by Standard &amp; Poor’s or an equivalent rating from another nationally recognized statistical rating organization, and are therefore below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grade. At December 31, 2017 and 2016, the fair market value of these securities was $236.5 million and $203.1 million, respectively.</w:t>
      </w:r>
    </w:p>
    <w:p>
      <w:pPr>
        <w:spacing w:after="0" w:line="11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comprise the Company’s other invested assets and are primarily focused in renewable energy, limited partnerships, and bank holding companies. Equity interests in various renewable energy LLCs managed by affiliates of D. E. Shaw, generated investment income of $10.6 million and $3.5 million for the years ended December 31, 2017 and 2016, respectively. These investments had a carrying value of $32.1 million at December 31, 2017. Investments in loans for renewable energy projects, primarily with affiliates of D. E. Shaw, had investment income $526,000 and $450,000 for the years ended December 31, 2017 and 2016, respectively. In 2016, the Company received a $6.5 million repayment on one note. During 2015, the Company invested a total of $36.3 million in these notes and received repayments totaling $30.8 million. The Company has invested in several limited partnerships that invest in concentrated portfolios of publicly-traded small cap equities, loans of middle market private equity sponsored companies, and equity tranches of collateralized loan obligations (CLOs). Income from these partnerships was $2.6 million in 2017 compared to $5.3 million in 2016. Together, these limited partnerships had a carrying value of $26.4 million at December 31, 2017. Income from the Company’s investments in renewable energy LLCs and limited partnerships is recognized under the equity method of accounting. The Company also holds $4.5 million of subordinated notes issued by a bank holding company affiliated with the Non-Executive Chairman of the Company. Interest income from the notes was $343,000 for the years ended December 31, 2017 and 2016.</w:t>
      </w:r>
    </w:p>
    <w:p>
      <w:pPr>
        <w:spacing w:after="0" w:line="83"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2017, the Company recognized net realized investment losses of $2.0 million. This net loss was made up of an increase in our bank loan credit allowance and an other than temporary impairment on an equity security, offset by net realized gains of $1.3 million from bank loan securities, $368,000 from equity securities, and $328,000 from fixed maturity securities.</w:t>
      </w:r>
    </w:p>
    <w:p>
      <w:pPr>
        <w:spacing w:after="0" w:line="68"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Management concluded that based on the severity and duration of the impairment associated with an equity security, the security had experienced an other-than-temporary impairment. Accordingly, the Company recorded an impairment loss of $1.5 million in 2017. Management concluded that none of the other equity securities with an unrealized loss at December 31, 2017 and 2016 experienced an other-than-temporary impairment. Management has evaluated the near-term prospects of these other equity securities in relation to the severity and duration of the impairment, and management has the ability and intent to hold these securities until a recovery of their fair value.</w:t>
      </w:r>
    </w:p>
    <w:p>
      <w:pPr>
        <w:spacing w:after="0" w:line="7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At December 31, 2015, the Company held participations in two loans issued by companies that produce and supply power to Puerto Rico through power purchase agreements with PREPA, a public corporation and governmental agency of the Commonwealth of Puerto Rico. PREPA’s credit strength and ability to make timely payments was impacted by the economic conditions in Puerto Rico, thus raising doubt about the companies’ ability to meet the debt obligations held by the Company. In June 2016, one of the loans was repaid in full at its scheduled maturity. Management concluded that the remaining loan was impaired at December 31, 2016. The loan had a carrying value of $1.7 million, unpaid principal of $2.0 million, and an allowance for credit losses of $177,000 at December 31, 2016. In July 2017, PREPA filed a petition for relief in U.S. District Court under Title III of the Puerto Rico Oversight, Management, and Economic Stability Act. Also in 2017, the devastation caused by Hurricane Maria on the island of Puerto Rico raised additional doubt about PREPA's ability to make payments to the issuer. The maturity of the remaining loan, originally scheduled for November 2017, was deferred until March 2018. Management established an allowance for credit losses of $759,000 to reduce the loan's carrying value to zero at both September 30, 2017 and December 31, 2017. The unpaid principal on the loan was $807,000 at December 31, 2017.</w:t>
      </w:r>
    </w:p>
    <w:p>
      <w:pPr>
        <w:spacing w:after="0" w:line="78"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The Company’s bank loan portfolio includes loans to oil and gas companies in the energy sector. The market values of these loans have been impacted by declining energy prices. At December 31, 2017, the Company’s oil and gas exposure in the bank loan portfolio was in four loans with a carrying value of $7.9 million and an unrealized loss of $180,000. Management concluded that three of these loans were impaired as of December 31, 2017, and accordingly, an allowance for credit losses of $2.3 million was established on the loans. After recording this impairment, the loans had a carrying value of $4.6 million at December 31, 2017 and unpaid principal of $6.9 million. All of the other loans are current at December 31, 2017. At December 31, 2016, one loan was impaired with a carrying value of $1.6 million, unpaid principal of $2.2 million and an allowance for credit losses of $545,000.</w:t>
      </w:r>
    </w:p>
    <w:p>
      <w:pPr>
        <w:spacing w:after="0" w:line="80" w:lineRule="exact"/>
        <w:rPr>
          <w:sz w:val="20"/>
          <w:szCs w:val="20"/>
          <w:color w:val="auto"/>
        </w:rPr>
      </w:pPr>
    </w:p>
    <w:p>
      <w:pPr>
        <w:ind w:right="300" w:firstLine="351"/>
        <w:spacing w:after="0" w:line="266" w:lineRule="auto"/>
        <w:rPr>
          <w:sz w:val="20"/>
          <w:szCs w:val="20"/>
          <w:color w:val="auto"/>
        </w:rPr>
      </w:pPr>
      <w:r>
        <w:rPr>
          <w:rFonts w:ascii="Times New Roman" w:cs="Times New Roman" w:eastAsia="Times New Roman" w:hAnsi="Times New Roman"/>
          <w:sz w:val="18"/>
          <w:szCs w:val="18"/>
          <w:color w:val="auto"/>
        </w:rPr>
        <w:t>Management also concluded that one non-energy sector loan was impaired at December 31, 2017. At December 31, 2017, the impaired loan had a carrying value of $561,000, unpaid principal of $706,000, and an allowance for credit losses of $145,000. At December 31, 2016, three non-energy sector loans were impaired with a total carrying value of $3.2 million, unpaid principal of $3.5 million, and an allowance for credit losses of $221,000.</w:t>
      </w:r>
    </w:p>
    <w:p>
      <w:pPr>
        <w:spacing w:after="0" w:line="68" w:lineRule="exact"/>
        <w:rPr>
          <w:sz w:val="20"/>
          <w:szCs w:val="20"/>
          <w:color w:val="auto"/>
        </w:rPr>
      </w:pPr>
    </w:p>
    <w:p>
      <w:pPr>
        <w:jc w:val="both"/>
        <w:ind w:right="160" w:firstLine="351"/>
        <w:spacing w:after="0" w:line="266" w:lineRule="auto"/>
        <w:rPr>
          <w:sz w:val="20"/>
          <w:szCs w:val="20"/>
          <w:color w:val="auto"/>
        </w:rPr>
      </w:pPr>
      <w:r>
        <w:rPr>
          <w:rFonts w:ascii="Times New Roman" w:cs="Times New Roman" w:eastAsia="Times New Roman" w:hAnsi="Times New Roman"/>
          <w:sz w:val="18"/>
          <w:szCs w:val="18"/>
          <w:color w:val="auto"/>
        </w:rPr>
        <w:t>The aggregate allowance for credit losses was $3.2 million at December 31, 2017 on five impaired loans with a total carrying value of $5.1 million and unpaid principal of $8.4 million. At December 31, 2016, the aggregate allowance for credit losses was $943,000 on five impaired loans with a total carrying value of $6.5 million and unpaid principal of $7.6 million.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At December 31, 2017, our available-for-sale investment portfolio of fixed maturity and equity securities had net unrealized gains of $14.6 million representing 1.4% of the cost or amortized cost of the portfolio. Additionally, at December 31, 2017, 99.4% of our fixed maturity security portfolio was rated “BBB-” or better (“investment grade”) by Standard &amp; Poor’s or had an equivalent rating from another nationally recognized statistical rating organization. Fixed maturity securities with ratings below investment grade by Standard &amp; Poor’s or another nationally recognized statistical rating organization at December 31, 2017 had an aggregate fair value of $6.5 million and an aggregate net unrealized gain of $305,000. The average duration of our investment portfolio was 3.5 years at December 31, 2017.</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amortized cost and fair value of our investments in available-for-sale securities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 and municipal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139,382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144,366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101,793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105,841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152,703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150,798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14.8%</w:t>
            </w: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408,857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413,721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379,727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378,448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mortgage and asset-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16.5%</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backed</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182,595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182,611</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167,967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168,047</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 of U.S. government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6.4%</w:t>
            </w:r>
          </w:p>
        </w:tc>
        <w:tc>
          <w:tcPr>
            <w:tcW w:w="0" w:type="dxa"/>
            <w:vAlign w:val="bottom"/>
          </w:tcPr>
          <w:p>
            <w:pPr>
              <w:spacing w:after="0"/>
              <w:rPr>
                <w:sz w:val="1"/>
                <w:szCs w:val="1"/>
                <w:color w:val="auto"/>
              </w:rPr>
            </w:pPr>
          </w:p>
        </w:tc>
      </w:tr>
      <w:tr>
        <w:trPr>
          <w:trHeight w:val="210"/>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corporations and agencies</w:t>
            </w:r>
          </w:p>
        </w:tc>
        <w:tc>
          <w:tcPr>
            <w:tcW w:w="22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35,948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35,847</w:t>
            </w: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65,014</w:t>
            </w: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Treasury securities and</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obligations guaranteed by the U.S.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7.0%</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government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79,476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78,874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71,174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71,120</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0.2%</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1,008,662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1,016,098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940,212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941,077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92.5%</w:t>
            </w: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securities: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66,281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61,806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64,827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w:t>
            </w: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16,216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16,241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12,747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11,574</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1.1%</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82,522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76,401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7.5%</w:t>
            </w:r>
          </w:p>
        </w:tc>
        <w:tc>
          <w:tcPr>
            <w:tcW w:w="0" w:type="dxa"/>
            <w:vAlign w:val="bottom"/>
          </w:tcPr>
          <w:p>
            <w:pPr>
              <w:spacing w:after="0"/>
              <w:rPr>
                <w:sz w:val="1"/>
                <w:szCs w:val="1"/>
                <w:color w:val="auto"/>
              </w:rPr>
            </w:pPr>
          </w:p>
        </w:tc>
      </w:tr>
      <w:tr>
        <w:trPr>
          <w:trHeight w:val="244"/>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investments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1,083,980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1,098,620</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100.0%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1,014,765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1,017,478</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100.0%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composition of the Company’s portfolio of fixed maturity securities (both available-for-sale and trading) by rating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0"/>
        </w:trPr>
        <w:tc>
          <w:tcPr>
            <w:tcW w:w="8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185,202</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405,296</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7"/>
        </w:trPr>
        <w:tc>
          <w:tcPr>
            <w:tcW w:w="8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315,405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107,473</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7"/>
        </w:trPr>
        <w:tc>
          <w:tcPr>
            <w:tcW w:w="8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3"/>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Below BB and unrated</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7"/>
        </w:trPr>
        <w:tc>
          <w:tcPr>
            <w:tcW w:w="8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1,019,906</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4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2017, our portfolio of available-for-sale fixed maturity securities contained corporate fixed maturity securities with a fair value of $413.7 million. A summary of these securities by industry segment is shown below as of December 31, 2017:</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0"/>
        </w:trPr>
        <w:tc>
          <w:tcPr>
            <w:tcW w:w="8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 and other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152,129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43"/>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Consumer Discretionary</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74,829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69,778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Health Care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61,461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55,524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7"/>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413,721</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60" w:firstLine="351"/>
        <w:spacing w:after="0" w:line="282" w:lineRule="auto"/>
        <w:rPr>
          <w:sz w:val="20"/>
          <w:szCs w:val="20"/>
          <w:color w:val="auto"/>
        </w:rPr>
      </w:pPr>
      <w:r>
        <w:rPr>
          <w:rFonts w:ascii="Times New Roman" w:cs="Times New Roman" w:eastAsia="Times New Roman" w:hAnsi="Times New Roman"/>
          <w:sz w:val="18"/>
          <w:szCs w:val="18"/>
          <w:color w:val="auto"/>
        </w:rPr>
        <w:t>Corporate available-for-sale fixed maturity securities include public traded securities and privately placed bonds is shown below as of December 31, 2017: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Public/Private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0"/>
        </w:trPr>
        <w:tc>
          <w:tcPr>
            <w:tcW w:w="8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55"/>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Publicly traded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384,812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Privately placed</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28,909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413,721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66,852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66,770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274,421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27.0%</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195,995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127,383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135,622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13.3%</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663,663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672,808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66.2%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15.6%</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182,611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57"/>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1,008,662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1,016,098</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60" w:firstLine="351"/>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2017, the Company had no investments in securitizations of alternative-A mortgages or sub-prime mortgages. </w:t>
      </w:r>
      <w:r>
        <w:rPr>
          <w:rFonts w:ascii="Times New Roman" w:cs="Times New Roman" w:eastAsia="Times New Roman" w:hAnsi="Times New Roman"/>
          <w:sz w:val="18"/>
          <w:szCs w:val="18"/>
          <w:i w:val="1"/>
          <w:iCs w:val="1"/>
          <w:color w:val="auto"/>
        </w:rPr>
        <w:t>Other Expenses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expenses for the years ended December 31, 2017 and 2016 were $539,000 and $1.6 million, respectively. In 2017, these expenses include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$535,000 of legal and other professional services related to secondary share offerings in 2017. In 2016, these expenses include $1.5 million of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680" w:firstLine="351"/>
        <w:spacing w:after="0" w:line="282" w:lineRule="auto"/>
        <w:rPr>
          <w:sz w:val="20"/>
          <w:szCs w:val="20"/>
          <w:color w:val="auto"/>
        </w:rPr>
      </w:pPr>
      <w:r>
        <w:rPr>
          <w:rFonts w:ascii="Times New Roman" w:cs="Times New Roman" w:eastAsia="Times New Roman" w:hAnsi="Times New Roman"/>
          <w:sz w:val="18"/>
          <w:szCs w:val="18"/>
          <w:color w:val="auto"/>
        </w:rPr>
        <w:t>Interest expense was $8.9 million and $8.4 million for the years ended December 31, 2017 and 2016, respectively. See “—Liquidity and Capital Resources—Sources and Uses of Funds” for information regarding our senior bank debt facility and trust preferred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recorded $597,000 of amortization of intangibles for each of the years ended December 31, 2017 and 2016,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Impairment</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completed its impairment tests and fair value analysis for goodwill and other intangible assets during the fourth quarter of 2017 and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present for the years ended December 31, 2017 or 2016.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tax jurisdiction. In 2017, particularly, the Company experienced a higher proportion of U.S.-sourced income, increasing the effective tax rate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For U.S.-sourced income, our U.S. federal income tax expense differs from the amounts computed by applying the federal statutory income tax rate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due primarily to interest income on tax-advantaged state and municipal securities (state and municipal securities represented 13.1%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of our available-for-sale securities at December 31, 2017 and 2016, respectively), dividends received income, and excess tax benefits on share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For the years ended December 31, 2017 and 2016, our effective tax rate was 21.0% and 6.1%, respectively. Income taxes for 2017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of U.S. withholding taxes on an intercompany dividend paid from the U.S. holding company to our U.K. intermediate holding company.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for 2017 also include a $3.5 million tax benefit as the U.S. net deferred tax liability was remeasured at 21%, down from 35% in prior periods,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enactment of the Tax Act.</w:t>
      </w:r>
    </w:p>
    <w:p>
      <w:pPr>
        <w:spacing w:after="0" w:line="9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Financial results for 2017 reflect provisional amounts related to the December 2017 enactment of the Tax Act. These provisional estimates are based on the Company’s initial analysis and current interpretation of the legislation. Given the complexity of the Tax Act, anticipated guidance from the U.S. Department of the Treasury, and the potential for additional guidance from the Securities and Exchange Commission (SEC) or the Financial Accounting Standards Board, these estimates may be adjusted during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20" w:firstLine="351"/>
        <w:spacing w:after="0" w:line="261"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2"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“U.S. Insurance Regulation—State Regulation” for additional information. 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At December 31, 2018, the maximum combined amount of dividends that can be paid without prior regulatory approval was approximately $109.8 million. However, this dividend amount is subject to annual enhanced solvency requirement calculations. Additionally, the maximum amount of dividends available to the U.S. holding company from our U.S. insurance subsidiaries during 2019 without regulatory approval is $24.2 million.</w:t>
      </w:r>
    </w:p>
    <w:p>
      <w:pPr>
        <w:spacing w:after="0" w:line="85" w:lineRule="exact"/>
        <w:rPr>
          <w:sz w:val="20"/>
          <w:szCs w:val="20"/>
          <w:color w:val="auto"/>
        </w:rPr>
      </w:pPr>
    </w:p>
    <w:p>
      <w:pPr>
        <w:ind w:right="240" w:firstLine="351"/>
        <w:spacing w:after="0" w:line="261" w:lineRule="auto"/>
        <w:rPr>
          <w:sz w:val="20"/>
          <w:szCs w:val="20"/>
          <w:color w:val="auto"/>
        </w:rPr>
      </w:pPr>
      <w:r>
        <w:rPr>
          <w:rFonts w:ascii="Times New Roman" w:cs="Times New Roman" w:eastAsia="Times New Roman" w:hAnsi="Times New Roman"/>
          <w:sz w:val="18"/>
          <w:szCs w:val="18"/>
          <w:color w:val="auto"/>
        </w:rPr>
        <w:t>At December 31, 2018, our Bermuda holding company had $240,000 of cash and cash equivalent assets. At December 31, 2018, our U.S. holding company had $53.7 million of cash and invested assets, comprised of cash and cash equivalents of $7.3 million, other invested assets of $46.1 million, and short-term investments of $325,000, which are not subject to regulatory restrictions. Additionally, our U.K. intermediate holding company had no invested assets and cash of less than $10,000 at December 31, 2018.</w:t>
      </w:r>
    </w:p>
    <w:p>
      <w:pPr>
        <w:spacing w:after="0" w:line="72" w:lineRule="exact"/>
        <w:rPr>
          <w:sz w:val="20"/>
          <w:szCs w:val="20"/>
          <w:color w:val="auto"/>
        </w:rPr>
      </w:pPr>
    </w:p>
    <w:p>
      <w:pPr>
        <w:jc w:val="both"/>
        <w:ind w:right="60" w:firstLine="351"/>
        <w:spacing w:after="0" w:line="266" w:lineRule="auto"/>
        <w:rPr>
          <w:sz w:val="20"/>
          <w:szCs w:val="20"/>
          <w:color w:val="auto"/>
        </w:rPr>
      </w:pPr>
      <w:r>
        <w:rPr>
          <w:rFonts w:ascii="Times New Roman" w:cs="Times New Roman" w:eastAsia="Times New Roman" w:hAnsi="Times New Roman"/>
          <w:sz w:val="18"/>
          <w:szCs w:val="18"/>
          <w:color w:val="auto"/>
        </w:rPr>
        <w:t>Our net written premiums to surplus ratio (defined as net written premiums to regulatory capital and surplus) is reviewed by management as well as our rating agency as a component of leverage and efficiency of deployed capital. Our net written premiums to surplus ratio was 1.1x, 1.2x, and 0.9x for the years ended December 31, 2018, 2017, and 2016,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9" w:lineRule="exact"/>
        <w:rPr>
          <w:sz w:val="20"/>
          <w:szCs w:val="20"/>
          <w:color w:val="auto"/>
        </w:rPr>
      </w:pPr>
    </w:p>
    <w:p>
      <w:pPr>
        <w:ind w:right="440" w:firstLine="351"/>
        <w:spacing w:after="0" w:line="282" w:lineRule="auto"/>
        <w:rPr>
          <w:sz w:val="20"/>
          <w:szCs w:val="20"/>
          <w:color w:val="auto"/>
        </w:rPr>
      </w:pPr>
      <w:r>
        <w:rPr>
          <w:rFonts w:ascii="Times New Roman" w:cs="Times New Roman" w:eastAsia="Times New Roman" w:hAnsi="Times New Roman"/>
          <w:sz w:val="18"/>
          <w:szCs w:val="18"/>
          <w:color w:val="auto"/>
        </w:rPr>
        <w:t>The Company has a $215.0 million senior revolving credit facility (as amended or amended and restated, the “2013 Facility”). The 2013 Facility is comprised of the following at December 31, 2018:</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122" w:right="279" w:bottom="1440" w:gutter="0" w:footer="0" w:header="0"/>
        </w:sectPr>
      </w:pPr>
    </w:p>
    <w:bookmarkStart w:id="100" w:name="page101"/>
    <w:bookmarkEnd w:id="10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69" w:lineRule="exact"/>
        <w:rPr>
          <w:sz w:val="20"/>
          <w:szCs w:val="20"/>
          <w:color w:val="auto"/>
        </w:rPr>
      </w:pPr>
    </w:p>
    <w:p>
      <w:pPr>
        <w:ind w:left="660" w:right="180" w:hanging="328"/>
        <w:spacing w:after="0" w:line="32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$102.5 million secured revolving facility utilized by JRG Re to issue letters of credit for the benefit of third-party reinsureds. This portion of our credit facility is secured by our investment securities. At December 31, 2018, the Company had $75.5 million of letters of credit issued under the secured facility.</w:t>
      </w:r>
    </w:p>
    <w:p>
      <w:pPr>
        <w:spacing w:after="0" w:line="60" w:lineRule="exact"/>
        <w:rPr>
          <w:rFonts w:ascii="Times New Roman" w:cs="Times New Roman" w:eastAsia="Times New Roman" w:hAnsi="Times New Roman"/>
          <w:sz w:val="18"/>
          <w:szCs w:val="18"/>
          <w:color w:val="auto"/>
        </w:rPr>
      </w:pPr>
    </w:p>
    <w:p>
      <w:pPr>
        <w:ind w:left="660" w:right="120" w:hanging="328"/>
        <w:spacing w:after="0" w:line="313"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December 31, 2018 and 2017, the Company had a drawn balance of $73.3 million outstanding on the unsecured revolver.</w:t>
      </w:r>
    </w:p>
    <w:p>
      <w:pPr>
        <w:spacing w:after="0" w:line="41"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The 2013 Facility has been amended from time to time since its inception in 2013. On December 7, 2016, the Company entered into an Amended and Restated Credit Agreement for the 2013 Facility which, among other things, extended the maturity date of the Facility until December 7, 2021 and modified other terms including reducing the rate of interest and reducing the number of financial covenants. On June 8, 2017, the Company entered into a First Amendment to the amended and restated 2013 Facility, which among other things, modified the financial covenants and increased the amount of additional debt the Company may incur under new financings, subject to compliance with certain conditions.</w:t>
      </w:r>
    </w:p>
    <w:p>
      <w:pPr>
        <w:spacing w:after="0" w:line="76" w:lineRule="exact"/>
        <w:rPr>
          <w:sz w:val="20"/>
          <w:szCs w:val="20"/>
          <w:color w:val="auto"/>
        </w:rPr>
      </w:pPr>
    </w:p>
    <w:p>
      <w:pPr>
        <w:jc w:val="both"/>
        <w:ind w:right="120" w:firstLine="351"/>
        <w:spacing w:after="0" w:line="282"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risk-based capital, minimum shareholders’ equity levels, maximum ratios of total debt outstanding to total capitalization and minimum fixed charge coverage ratios) with which the Company was in compliance at December 31, 2018.</w:t>
      </w:r>
    </w:p>
    <w:p>
      <w:pPr>
        <w:spacing w:after="0" w:line="5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which we are in compliance with at December 31, 2018. The loans and letters of credit made or issued under the revolving line of credit of the 2017 Facility may be used to finance the borrowers' general corporate purposes. At December 31, 2018, unsecured loans of $30.0 million and secured letters of credit totaling $7.6 million were outstanding on the 2017 Facility.</w:t>
      </w:r>
    </w:p>
    <w:p>
      <w:pPr>
        <w:spacing w:after="0" w:line="81"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December 31, 2018, and which, among other things, restrict our ability to assume senior indebtedness secured by our U.S. holding company's common stock or its subsidiaries' capital stock or to issue shares of its subsidiaries' capital stock.</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payable is included in “accrued expenses” in the accompanying consolidated balance sheets.</w:t>
      </w:r>
    </w:p>
    <w:p>
      <w:pPr>
        <w:spacing w:after="0" w:line="117" w:lineRule="exact"/>
        <w:rPr>
          <w:sz w:val="20"/>
          <w:szCs w:val="20"/>
          <w:color w:val="auto"/>
        </w:rPr>
      </w:pPr>
    </w:p>
    <w:p>
      <w:pPr>
        <w:ind w:right="34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December 31, 2018 (including the Company’s repurchase of a portion of these trust preferred securities):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8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Trust II</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Trust III</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IV</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Issue date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26, 2004</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2004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15, 2006</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11, 2007</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10, 2008</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Principal amount of trust preferred securities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$54,000</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Principal amount of junior subordinated debt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$7,217</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$55,670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$30,928</w:t>
            </w:r>
          </w:p>
        </w:tc>
        <w:tc>
          <w:tcPr>
            <w:tcW w:w="0" w:type="dxa"/>
            <w:vAlign w:val="bottom"/>
          </w:tcPr>
          <w:p>
            <w:pPr>
              <w:spacing w:after="0"/>
              <w:rPr>
                <w:sz w:val="1"/>
                <w:szCs w:val="1"/>
                <w:color w:val="auto"/>
              </w:rPr>
            </w:pPr>
          </w:p>
        </w:tc>
      </w:tr>
      <w:tr>
        <w:trPr>
          <w:trHeight w:val="153"/>
        </w:trPr>
        <w:tc>
          <w:tcPr>
            <w:tcW w:w="29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Carrying amount of junior subordinated debt net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$7,217</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$44,827</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$15,928</w:t>
            </w:r>
          </w:p>
        </w:tc>
        <w:tc>
          <w:tcPr>
            <w:tcW w:w="0" w:type="dxa"/>
            <w:vAlign w:val="bottom"/>
          </w:tcPr>
          <w:p>
            <w:pPr>
              <w:spacing w:after="0"/>
              <w:rPr>
                <w:sz w:val="1"/>
                <w:szCs w:val="1"/>
                <w:color w:val="auto"/>
              </w:rPr>
            </w:pPr>
          </w:p>
        </w:tc>
      </w:tr>
      <w:tr>
        <w:trPr>
          <w:trHeight w:val="193"/>
        </w:trPr>
        <w:tc>
          <w:tcPr>
            <w:tcW w:w="2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repurchases</w:t>
            </w:r>
          </w:p>
        </w:tc>
        <w:tc>
          <w:tcPr>
            <w:tcW w:w="158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Maturity date of junior subordinated debt, unless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24, 2034</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2034</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15, 2036</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2037</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15, 2038</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accelerated earlier</w:t>
            </w:r>
          </w:p>
        </w:tc>
        <w:tc>
          <w:tcPr>
            <w:tcW w:w="1580" w:type="dxa"/>
            <w:vAlign w:val="bottom"/>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Trust common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$217</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$464</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$619</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$1,670</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$928</w:t>
            </w: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Interest rate, per annum</w:t>
            </w:r>
          </w:p>
        </w:tc>
        <w:tc>
          <w:tcPr>
            <w:tcW w:w="15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Three-Month</w:t>
            </w:r>
          </w:p>
        </w:tc>
        <w:tc>
          <w:tcPr>
            <w:tcW w:w="18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Three-Month</w:t>
            </w:r>
          </w:p>
        </w:tc>
        <w:tc>
          <w:tcPr>
            <w:tcW w:w="16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Three-Month</w:t>
            </w:r>
          </w:p>
        </w:tc>
        <w:tc>
          <w:tcPr>
            <w:tcW w:w="17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Three-Month</w:t>
            </w:r>
          </w:p>
        </w:tc>
        <w:tc>
          <w:tcPr>
            <w:tcW w:w="16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Three-Month</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LIBOR plus</w:t>
            </w:r>
          </w:p>
        </w:tc>
        <w:tc>
          <w:tcPr>
            <w:tcW w:w="1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LIBOR plus</w:t>
            </w:r>
          </w:p>
        </w:tc>
        <w:tc>
          <w:tcPr>
            <w:tcW w:w="1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LIBOR plus</w:t>
            </w:r>
          </w:p>
        </w:tc>
        <w:tc>
          <w:tcPr>
            <w:tcW w:w="1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LIBOR plus</w:t>
            </w:r>
          </w:p>
        </w:tc>
        <w:tc>
          <w:tcPr>
            <w:tcW w:w="1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LIBOR plus</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3.0%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December 31, 2018.</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120" w:firstLine="351"/>
        <w:spacing w:after="0" w:line="266" w:lineRule="auto"/>
        <w:rPr>
          <w:sz w:val="20"/>
          <w:szCs w:val="20"/>
          <w:color w:val="auto"/>
        </w:rPr>
      </w:pPr>
      <w:r>
        <w:rPr>
          <w:rFonts w:ascii="Times New Roman" w:cs="Times New Roman" w:eastAsia="Times New Roman" w:hAnsi="Times New Roman"/>
          <w:sz w:val="18"/>
          <w:szCs w:val="18"/>
          <w:color w:val="auto"/>
        </w:rPr>
        <w:t>At December 31, 2018 and December 31, 2017, the ratio of total debt outstanding, including both senior debt and junior subordinated debt, to total capitalization (defined as total debt plus total shareholders’ equity) was 23.9% and 22.6%, respectively. Having debt as part of our capital structure allows us to generate a higher return on equity and greater book value per share results than we could by using equity capital alone.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2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years ended December 31, 2018, 2017, and 2016 our net premium retention was 65.4%, 70.9% and 75.6%, respectively.</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ceded reinsurance in place as of December 31, 2018:</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340" w:type="dxa"/>
            <w:vAlign w:val="bottom"/>
          </w:tcPr>
          <w:p>
            <w:pPr>
              <w:spacing w:after="0"/>
              <w:rPr>
                <w:sz w:val="16"/>
                <w:szCs w:val="16"/>
                <w:color w:val="auto"/>
              </w:rPr>
            </w:pPr>
          </w:p>
        </w:tc>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 Retention</w:t>
            </w:r>
          </w:p>
        </w:tc>
      </w:tr>
      <w:tr>
        <w:trPr>
          <w:trHeight w:val="24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Casualty</w:t>
            </w:r>
          </w:p>
        </w:tc>
        <w:tc>
          <w:tcPr>
            <w:tcW w:w="71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25"/>
        </w:trPr>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Primary Specialty Casualty, including Professional</w:t>
            </w:r>
          </w:p>
        </w:tc>
        <w:tc>
          <w:tcPr>
            <w:tcW w:w="7180" w:type="dxa"/>
            <w:vAlign w:val="bottom"/>
            <w:shd w:val="clear" w:color="auto" w:fill="CCEEFF"/>
          </w:tcPr>
          <w:p>
            <w:pPr>
              <w:spacing w:after="0"/>
              <w:rPr>
                <w:sz w:val="19"/>
                <w:szCs w:val="19"/>
                <w:color w:val="auto"/>
              </w:rPr>
            </w:pPr>
          </w:p>
        </w:tc>
      </w:tr>
      <w:tr>
        <w:trPr>
          <w:trHeight w:val="241"/>
        </w:trPr>
        <w:tc>
          <w:tcPr>
            <w:tcW w:w="4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$1.0 million per occurrence, subject to a $1.0 million aggregate deductible.</w:t>
            </w: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Primary Casualty</w:t>
            </w:r>
          </w:p>
        </w:tc>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Up to $2.0 million per occurrence.</w:t>
            </w:r>
            <w:r>
              <w:rPr>
                <w:rFonts w:ascii="Times New Roman" w:cs="Times New Roman" w:eastAsia="Times New Roman" w:hAnsi="Times New Roman"/>
                <w:sz w:val="25"/>
                <w:szCs w:val="25"/>
                <w:color w:val="auto"/>
                <w:vertAlign w:val="superscript"/>
              </w:rPr>
              <w:t>(1)</w:t>
            </w:r>
          </w:p>
        </w:tc>
      </w:tr>
      <w:tr>
        <w:trPr>
          <w:trHeight w:val="270"/>
        </w:trPr>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Casualty</w:t>
            </w:r>
          </w:p>
        </w:tc>
        <w:tc>
          <w:tcPr>
            <w:tcW w:w="71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Up to $1.0 million per occurrence.</w:t>
            </w:r>
            <w:r>
              <w:rPr>
                <w:rFonts w:ascii="Times New Roman" w:cs="Times New Roman" w:eastAsia="Times New Roman" w:hAnsi="Times New Roman"/>
                <w:sz w:val="25"/>
                <w:szCs w:val="25"/>
                <w:color w:val="auto"/>
                <w:vertAlign w:val="superscript"/>
              </w:rPr>
              <w:t>(2)</w:t>
            </w:r>
          </w:p>
        </w:tc>
      </w:tr>
      <w:tr>
        <w:trPr>
          <w:trHeight w:val="341"/>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 to $5.0 million per event.</w:t>
            </w:r>
            <w:r>
              <w:rPr>
                <w:rFonts w:ascii="Times New Roman" w:cs="Times New Roman" w:eastAsia="Times New Roman" w:hAnsi="Times New Roman"/>
                <w:sz w:val="25"/>
                <w:szCs w:val="25"/>
                <w:color w:val="auto"/>
                <w:vertAlign w:val="superscript"/>
              </w:rPr>
              <w:t>(3)</w:t>
            </w:r>
          </w:p>
        </w:tc>
      </w:tr>
    </w:tbl>
    <w:p>
      <w:pPr>
        <w:spacing w:after="0" w:line="5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$1.0 million.</w:t>
      </w:r>
    </w:p>
    <w:p>
      <w:pPr>
        <w:spacing w:after="0" w:line="2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policies with an occurrence limit up to $10.0 million, the excess casualty treaty is set such that our retention is no more than $1.0 million.</w:t>
      </w:r>
    </w:p>
    <w:p>
      <w:pPr>
        <w:spacing w:after="0" w:line="42"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$40.0 million with one reinstatement.</w:t>
      </w:r>
    </w:p>
    <w:p>
      <w:pPr>
        <w:spacing w:after="0" w:line="133" w:lineRule="exact"/>
        <w:rPr>
          <w:sz w:val="20"/>
          <w:szCs w:val="20"/>
          <w:color w:val="auto"/>
        </w:rPr>
      </w:pPr>
    </w:p>
    <w:p>
      <w:pPr>
        <w:jc w:val="both"/>
        <w:ind w:right="300" w:firstLine="351"/>
        <w:spacing w:after="0" w:line="266"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In our Excess and Surplus Lines segment, we have a surplus share reinsurance treaty in effect that was specifically designed to cover property risks. The surplus share treaty along with facultative reinsurance helps ensure that our net retained limit per risk will be $5.0 million or less.</w:t>
      </w:r>
    </w:p>
    <w:p>
      <w:pPr>
        <w:spacing w:after="0" w:line="68"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PML accumulations. A PML is an estimate of the amount we would expect to pay in any one catastrophe event within a given annual probability of occurrence (i.e. a return period or loss exceedance probability). Based upon the modeling of our Excess and Surplus Lines segment, a $45.0 million gross catastrophe loss would exceed our 1 in 1,000 year PML. In the event of a $45.0 million gross property catastrophe loss to the Excess and Surplus Lines segment, we estimate our pre-tax cost at approximately $7.1 million, including reinstatement premiums and net retentions. In addition to this retention, we would retain any losses in excess of our reinsurance coverage limits.</w:t>
      </w:r>
    </w:p>
    <w:p>
      <w:pPr>
        <w:spacing w:after="0" w:line="80"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December 31, 2018:</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340" w:type="dxa"/>
            <w:vAlign w:val="bottom"/>
          </w:tcPr>
          <w:p>
            <w:pPr>
              <w:spacing w:after="0"/>
              <w:rPr>
                <w:sz w:val="16"/>
                <w:szCs w:val="16"/>
                <w:color w:val="auto"/>
              </w:rPr>
            </w:pPr>
          </w:p>
        </w:tc>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4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Casualty</w:t>
            </w:r>
          </w:p>
        </w:tc>
        <w:tc>
          <w:tcPr>
            <w:tcW w:w="71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25"/>
        </w:trPr>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Workers’ Compensation</w:t>
            </w:r>
          </w:p>
        </w:tc>
        <w:tc>
          <w:tcPr>
            <w:tcW w:w="71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Quota share coverage for 50% of the first $600,000.</w:t>
            </w:r>
            <w:r>
              <w:rPr>
                <w:rFonts w:ascii="Times New Roman" w:cs="Times New Roman" w:eastAsia="Times New Roman" w:hAnsi="Times New Roman"/>
                <w:sz w:val="25"/>
                <w:szCs w:val="25"/>
                <w:color w:val="auto"/>
                <w:vertAlign w:val="superscript"/>
              </w:rPr>
              <w:t>(1)(2)</w:t>
            </w:r>
          </w:p>
        </w:tc>
      </w:tr>
      <w:tr>
        <w:trPr>
          <w:trHeight w:val="261"/>
        </w:trPr>
        <w:tc>
          <w:tcPr>
            <w:tcW w:w="3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180" w:type="dxa"/>
            <w:vAlign w:val="bottom"/>
            <w:shd w:val="clear" w:color="auto" w:fill="CCEEFF"/>
          </w:tcPr>
          <w:p>
            <w:pPr>
              <w:ind w:left="60"/>
              <w:spacing w:after="0" w:line="262" w:lineRule="exact"/>
              <w:rPr>
                <w:sz w:val="20"/>
                <w:szCs w:val="20"/>
                <w:color w:val="auto"/>
              </w:rPr>
            </w:pPr>
            <w:r>
              <w:rPr>
                <w:rFonts w:ascii="Times New Roman" w:cs="Times New Roman" w:eastAsia="Times New Roman" w:hAnsi="Times New Roman"/>
                <w:sz w:val="18"/>
                <w:szCs w:val="18"/>
                <w:color w:val="auto"/>
              </w:rPr>
              <w:t>Excess of loss coverage for $29.4 million in excess of $600,000.</w:t>
            </w:r>
            <w:r>
              <w:rPr>
                <w:rFonts w:ascii="Times New Roman" w:cs="Times New Roman" w:eastAsia="Times New Roman" w:hAnsi="Times New Roman"/>
                <w:sz w:val="25"/>
                <w:szCs w:val="25"/>
                <w:color w:val="auto"/>
                <w:vertAlign w:val="superscript"/>
              </w:rPr>
              <w:t>(1)(2)</w:t>
            </w:r>
          </w:p>
        </w:tc>
      </w:tr>
      <w:tr>
        <w:trPr>
          <w:trHeight w:val="225"/>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Auto Programs</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90% of limits up to $1.5 million liability and $5.0 million physical</w:t>
            </w:r>
          </w:p>
        </w:tc>
      </w:t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damage per occurrence</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25"/>
        </w:trPr>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Liability &amp; Professional Liability –</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90% - 100% of limits up to $2.0 million per occurrence.</w:t>
            </w:r>
          </w:p>
        </w:tc>
      </w:tr>
      <w:tr>
        <w:trPr>
          <w:trHeight w:val="241"/>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718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71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Property within Package - Programs</w:t>
            </w:r>
          </w:p>
        </w:tc>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$25.0 million per occurrence.</w:t>
            </w:r>
          </w:p>
        </w:tc>
      </w:tr>
      <w:tr>
        <w:trPr>
          <w:trHeight w:val="243"/>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Catastrophe Coverage</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Loss coverage for $44.0 million in excess of $1.0 million</w:t>
            </w:r>
          </w:p>
        </w:tc>
      </w:tr>
    </w:tbl>
    <w:p>
      <w:pPr>
        <w:spacing w:after="0" w:line="142" w:lineRule="exact"/>
        <w:rPr>
          <w:sz w:val="20"/>
          <w:szCs w:val="20"/>
          <w:color w:val="auto"/>
        </w:rPr>
      </w:pPr>
    </w:p>
    <w:p>
      <w:pPr>
        <w:ind w:left="340" w:right="80" w:hanging="332"/>
        <w:spacing w:after="0" w:line="293" w:lineRule="auto"/>
        <w:tabs>
          <w:tab w:leader="none" w:pos="34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one program which has quota share coverage for 90% of the first $1.0 million per occurrence and excess of loss coverage for $49.0 million in excess of $1.0 million.</w:t>
      </w:r>
    </w:p>
    <w:p>
      <w:pPr>
        <w:spacing w:after="0" w:line="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any residual market pools.</w:t>
      </w:r>
    </w:p>
    <w:p>
      <w:pPr>
        <w:spacing w:after="0" w:line="112" w:lineRule="exact"/>
        <w:rPr>
          <w:sz w:val="20"/>
          <w:szCs w:val="20"/>
          <w:color w:val="auto"/>
        </w:rPr>
      </w:pPr>
    </w:p>
    <w:p>
      <w:pPr>
        <w:ind w:right="340" w:firstLine="351"/>
        <w:spacing w:after="0" w:line="282" w:lineRule="auto"/>
        <w:rPr>
          <w:sz w:val="20"/>
          <w:szCs w:val="20"/>
          <w:color w:val="auto"/>
        </w:rPr>
      </w:pPr>
      <w:r>
        <w:rPr>
          <w:rFonts w:ascii="Times New Roman" w:cs="Times New Roman" w:eastAsia="Times New Roman" w:hAnsi="Times New Roman"/>
          <w:sz w:val="18"/>
          <w:szCs w:val="18"/>
          <w:color w:val="auto"/>
        </w:rPr>
        <w:t>In our Casualty Reinsurance segment, we also have limited property catastrophe exposure. In the aggregate, we believe our pre-tax group-wide PML from a 1 in 1,000 year property catastrophe event would not exceed $10.0 million, inclusive of reinstatement premiums payable.</w:t>
      </w:r>
    </w:p>
    <w:p>
      <w:pPr>
        <w:spacing w:after="0" w:line="54" w:lineRule="exact"/>
        <w:rPr>
          <w:sz w:val="20"/>
          <w:szCs w:val="20"/>
          <w:color w:val="auto"/>
        </w:rPr>
      </w:pPr>
    </w:p>
    <w:p>
      <w:pPr>
        <w:jc w:val="both"/>
        <w:ind w:right="100" w:firstLine="351"/>
        <w:spacing w:after="0" w:line="261" w:lineRule="auto"/>
        <w:rPr>
          <w:sz w:val="20"/>
          <w:szCs w:val="20"/>
          <w:color w:val="auto"/>
        </w:rPr>
      </w:pPr>
      <w:r>
        <w:rPr>
          <w:rFonts w:ascii="Times New Roman" w:cs="Times New Roman" w:eastAsia="Times New Roman" w:hAnsi="Times New Roman"/>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December 31, 2018, our average net retained limit per risk is $2.5 million.</w:t>
      </w:r>
    </w:p>
    <w:p>
      <w:pPr>
        <w:spacing w:after="0" w:line="7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allowances for amounts considered uncollectible. At December 31, 2018,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8"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At December 31, 2018, we had reinsurance recoverables on unpaid losses of $467.4 million and reinsurance recoverables on paid losses of $18.3 million, and all material recoverable amounts were from companies with A.M. Best ratings of “A-” or better or collateral had been posted by the reinsurer for our benefit.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68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most significant reinsurers by amount of reinsurance recoverables and the amount of reinsurance recoverables pertaining to each such reinsurer as well as its A.M. Best rating as of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 Rating</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160" w:type="dxa"/>
            <w:vAlign w:val="bottom"/>
          </w:tcPr>
          <w:p>
            <w:pPr>
              <w:spacing w:after="0"/>
              <w:rPr>
                <w:sz w:val="12"/>
                <w:szCs w:val="12"/>
                <w:color w:val="auto"/>
              </w:rPr>
            </w:pPr>
          </w:p>
        </w:tc>
        <w:tc>
          <w:tcPr>
            <w:tcW w:w="14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Recoverable as of</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8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151,590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Berkley Insurance Company</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47,867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 National Casualty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0"/>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 Carolina Reinsurance Facility</w:t>
            </w:r>
          </w:p>
        </w:tc>
        <w:tc>
          <w:tcPr>
            <w:tcW w:w="160" w:type="dxa"/>
            <w:vAlign w:val="bottom"/>
          </w:tcPr>
          <w:p>
            <w:pPr>
              <w:spacing w:after="0"/>
              <w:rPr>
                <w:sz w:val="23"/>
                <w:szCs w:val="23"/>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24,639</w:t>
            </w:r>
          </w:p>
        </w:tc>
        <w:tc>
          <w:tcPr>
            <w:tcW w:w="100" w:type="dxa"/>
            <w:vAlign w:val="bottom"/>
          </w:tcPr>
          <w:p>
            <w:pPr>
              <w:spacing w:after="0"/>
              <w:rPr>
                <w:sz w:val="23"/>
                <w:szCs w:val="23"/>
                <w:color w:val="auto"/>
              </w:rPr>
            </w:pPr>
          </w:p>
        </w:tc>
        <w:tc>
          <w:tcPr>
            <w:tcW w:w="14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2"/>
              </w:rPr>
              <w:t>Unrated</w:t>
            </w:r>
            <w:r>
              <w:rPr>
                <w:rFonts w:ascii="Times New Roman" w:cs="Times New Roman" w:eastAsia="Times New Roman" w:hAnsi="Times New Roman"/>
                <w:sz w:val="25"/>
                <w:szCs w:val="25"/>
                <w:color w:val="auto"/>
                <w:w w:val="92"/>
                <w:vertAlign w:val="superscript"/>
              </w:rPr>
              <w:t>(1)</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Munich Reinsurance America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Endurance Assurance Corporation</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22,405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Donegal Mutual Insurance Company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Cincinnati Insurance Company</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American European Insurance Company</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w w:val="93"/>
                <w:vertAlign w:val="subscript"/>
              </w:rPr>
              <w:t>B</w:t>
            </w:r>
            <w:r>
              <w:rPr>
                <w:rFonts w:ascii="Times New Roman" w:cs="Times New Roman" w:eastAsia="Times New Roman" w:hAnsi="Times New Roman"/>
                <w:sz w:val="12"/>
                <w:szCs w:val="12"/>
                <w:color w:val="auto"/>
                <w:w w:val="93"/>
              </w:rPr>
              <w:t>(1)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Partner Reinsurance Company Limited</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Top 10 Total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371,296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96,075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467,371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ind w:right="178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(1) These reinsurers are unrated or below A-. All material reinsurance recoverable amounts from these reinsurers are collateralized. </w:t>
      </w:r>
      <w:r>
        <w:rPr>
          <w:rFonts w:ascii="Times New Roman" w:cs="Times New Roman" w:eastAsia="Times New Roman" w:hAnsi="Times New Roman"/>
          <w:sz w:val="18"/>
          <w:szCs w:val="18"/>
          <w:b w:val="1"/>
          <w:bCs w:val="1"/>
          <w:i w:val="1"/>
          <w:iCs w:val="1"/>
          <w:color w:val="auto"/>
        </w:rPr>
        <w:t>Amounts Recoverable from an Indemnifying Party</w:t>
      </w:r>
    </w:p>
    <w:p>
      <w:pPr>
        <w:spacing w:after="0" w:line="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December 31, 2018, the cash equivalent collateral held in the collateral trust arrangement was approximately $1,099.2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Our sources of operating funds consist primarily of premiums written, investment income, reinsurance recoveries and proceeds from offerings of debt and equity securities and from sales and redemptions of investments. We use the operating cash flows primarily to pay operating expenses, losses and loss adjustment expenses, and income taxes. Cash flow from operations may differ substantially from net income. The potential for a large claim under an insurance or reinsurance contract means that substantial and unpredictable payments may need to be made within relatively short periods of time. We have generated positive cash flow from operations in each of the three years ended December 31, 2018, 2017, and 2016. The following table summarizes our cash flows: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9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24765</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290,028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207,816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154,349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reflects our growth and the fact that we are collecting premiums receivable at a quicker rate than we are paying loss and loss adjustment expenses. The growth in reserves for losses and loss adjustment expenses exceeded the growth in premiums receivable and reinsurance balances by $226.6 million in 2018, $147.7 million in 2017, and $1.4 million in 2016.</w:t>
      </w:r>
    </w:p>
    <w:p>
      <w:pPr>
        <w:spacing w:after="0" w:line="68" w:lineRule="exact"/>
        <w:rPr>
          <w:sz w:val="20"/>
          <w:szCs w:val="20"/>
          <w:color w:val="auto"/>
        </w:rPr>
      </w:pPr>
    </w:p>
    <w:p>
      <w:pPr>
        <w:jc w:val="both"/>
        <w:ind w:right="60" w:firstLine="351"/>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reflects our efforts to enhance the yield in our investment portfolio by investing available cash and cash equivalents into higher yielding fixed maturity securities and bank loan participations. Cash and cash equivalents comprised 9.3%, 10.1% and 7.6% of total cash and invested assets at December 31, 2018, 2017 and 2016, respectively.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used in financing activities is primarily due to dividends to shareholders of $36.1 million in 2018, $50.8 million in 2017, and $66.0 million in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drew down $20.0 million and $10.0 million on our 2017 Facility in 2018 and 2017,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76"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Share activity in 2017 and 2018 includes issuances from stock option exercises and RSU vesting, increasing the number of common shares outstanding from 29,257,566 at December 31, 2016 to 29,696,682 at December 31, 2017 and 29,988,460 at December 31,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the Company recognized $6.2 million, $7.7 million and $5.5 million, respectively, of share based compensation expense. As of December 31, 2018, the Company had $8.4 million of unrecognized share based compensation expense expected to be charged to earnings over a weighted-average period of 1.8 years.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option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4"/>
        </w:trPr>
        <w:tc>
          <w:tcPr>
            <w:tcW w:w="26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1,479,236</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2,234,699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2,058,085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205,244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706,203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(308,025)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(55,887)</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1,115,324</w:t>
            </w:r>
          </w:p>
        </w:tc>
        <w:tc>
          <w:tcPr>
            <w:tcW w:w="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1,479,236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2,234,699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814,421</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846,371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1,207,479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outstanding options vest over two to four years and have a contractual life of seven years from the original date of grant.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beginning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178,882</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196,800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234,922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137,034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60,291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end of year</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300,142</w:t>
            </w:r>
          </w:p>
        </w:tc>
        <w:tc>
          <w:tcPr>
            <w:tcW w:w="60" w:type="dxa"/>
            <w:vAlign w:val="bottom"/>
            <w:tcBorders>
              <w:top w:val="single" w:sz="8" w:color="auto"/>
              <w:bottom w:val="single" w:sz="8" w:color="auto"/>
            </w:tcBorders>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178,882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196,800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illustrates our contractual obligations and commercial commitments by due date as of December 31, 2018:</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3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80" w:type="dxa"/>
            <w:vAlign w:val="bottom"/>
          </w:tcPr>
          <w:p>
            <w:pPr>
              <w:spacing w:after="0"/>
              <w:rPr>
                <w:sz w:val="12"/>
                <w:szCs w:val="12"/>
                <w:color w:val="auto"/>
              </w:rPr>
            </w:pPr>
          </w:p>
        </w:tc>
        <w:tc>
          <w:tcPr>
            <w:tcW w:w="1200" w:type="dxa"/>
            <w:vAlign w:val="bottom"/>
          </w:tcPr>
          <w:p>
            <w:pPr>
              <w:jc w:val="right"/>
              <w:ind w:right="334"/>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 $</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1,661,459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528,293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655,280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316,228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161,658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104,055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94,856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2,081,034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575,054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759,524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336,182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410,274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 management’s estimate of the ultimate cost of settling losses. As more fully discussed in “—Critical Accounting Policies—Reserves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spacing w:after="0" w:line="81"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Financing obligations represent obligations for a build-to-suit lease relating to an investment by the Company for a minority interest in a real estate limited partnership pursuant to which we were deemed to be an owner for accounting purposes. Upon adoption of </w:t>
      </w:r>
      <w:r>
        <w:rPr>
          <w:rFonts w:ascii="Times New Roman" w:cs="Times New Roman" w:eastAsia="Times New Roman" w:hAnsi="Times New Roman"/>
          <w:sz w:val="18"/>
          <w:szCs w:val="18"/>
          <w:color w:val="231F20"/>
        </w:rPr>
        <w:t>ASU 2016-02,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January 1, 2019</w:t>
      </w:r>
      <w:r>
        <w:rPr>
          <w:rFonts w:ascii="Times New Roman" w:cs="Times New Roman" w:eastAsia="Times New Roman" w:hAnsi="Times New Roman"/>
          <w:sz w:val="18"/>
          <w:szCs w:val="18"/>
          <w:color w:val="000000"/>
        </w:rPr>
        <w:t>, the Company will derecognize the $30.9 million financing obligation associated with the lease designated as build-to-suit under the previous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guidance. The lease will be classified as an operating lease under the new standard. The Company will record a right-of-use asset and lease liability for the lease under the new standard.</w:t>
      </w:r>
    </w:p>
    <w:p>
      <w:pPr>
        <w:spacing w:after="0" w:line="76"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The amounts in the above table represent our gross estimates of known liabilities as of December 31, 2018 and do not include any allowance for claims for future events within the time period specified. Accordingly, it is highly likely that the total amounts paid out in the time periods shown will be greater than those indicated in the table.</w:t>
      </w:r>
    </w:p>
    <w:p>
      <w:pPr>
        <w:spacing w:after="0" w:line="68" w:lineRule="exact"/>
        <w:rPr>
          <w:sz w:val="20"/>
          <w:szCs w:val="20"/>
          <w:color w:val="auto"/>
        </w:rPr>
      </w:pPr>
    </w:p>
    <w:p>
      <w:pPr>
        <w:ind w:right="80" w:firstLine="351"/>
        <w:spacing w:after="0" w:line="282" w:lineRule="auto"/>
        <w:rPr>
          <w:sz w:val="20"/>
          <w:szCs w:val="20"/>
          <w:color w:val="auto"/>
        </w:rPr>
      </w:pPr>
      <w:r>
        <w:rPr>
          <w:rFonts w:ascii="Times New Roman" w:cs="Times New Roman" w:eastAsia="Times New Roman" w:hAnsi="Times New Roman"/>
          <w:sz w:val="18"/>
          <w:szCs w:val="18"/>
          <w:color w:val="auto"/>
        </w:rPr>
        <w:t>Interest on debt obligations was calculated using the LIBOR rate as of December 31, 2018 with the assumption that interest rates would remain flat over the remainder of the period that the debt was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right="38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underwriting profit by individual segment and for the entire Company to consolidated income before U.S. federal income taxes for the years ended December 31, 2018, 2017 and 2016.</w:t>
      </w:r>
    </w:p>
    <w:p>
      <w:pPr>
        <w:spacing w:after="0" w:line="20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24765</wp:posOffset>
            </wp:positionV>
            <wp:extent cx="2967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underwriting profit of the operating segments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49,913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29,480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52,638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70,838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79,343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340" w:right="460" w:hanging="332"/>
        <w:spacing w:after="0" w:line="344"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profit includes gross fee income of $28.7 million, $28.3 million, and $14.2 million for the years ended December 31, 2018, 2017, and 2016, respectively.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w:t>
      </w:r>
    </w:p>
    <w:p>
      <w:pPr>
        <w:spacing w:after="0" w:line="121"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and other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1" w:lineRule="exact"/>
        <w:rPr>
          <w:sz w:val="20"/>
          <w:szCs w:val="20"/>
          <w:color w:val="auto"/>
        </w:rPr>
      </w:pPr>
    </w:p>
    <w:p>
      <w:pPr>
        <w:ind w:right="520" w:firstLine="351"/>
        <w:spacing w:after="0" w:line="282" w:lineRule="auto"/>
        <w:rPr>
          <w:sz w:val="20"/>
          <w:szCs w:val="20"/>
          <w:color w:val="auto"/>
        </w:rPr>
      </w:pPr>
      <w:r>
        <w:rPr>
          <w:rFonts w:ascii="Times New Roman" w:cs="Times New Roman" w:eastAsia="Times New Roman" w:hAnsi="Times New Roman"/>
          <w:sz w:val="18"/>
          <w:szCs w:val="18"/>
          <w:color w:val="auto"/>
        </w:rPr>
        <w:t>Our income before taxes and net income for the years ended December 31, 2018, 2017 and 2016 reconcile to our adjusted net operating income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2"/>
                <w:szCs w:val="12"/>
                <w:color w:val="auto"/>
              </w:rPr>
            </w:pPr>
          </w:p>
        </w:tc>
        <w:tc>
          <w:tcPr>
            <w:tcW w:w="9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as reported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70,838</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63,830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55,145</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43,566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74,471</w:t>
            </w: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realized and unrealized losses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(gains) on investments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 withholding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on leased building the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Company is deemed to own for</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accounting purposes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operating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79,201</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70,596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58,929</w:t>
            </w: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47,385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74,780</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71,318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and Tangible Equity per Share</w:t>
      </w:r>
    </w:p>
    <w:p>
      <w:pPr>
        <w:spacing w:after="0" w:line="12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Tangible equity before dividends increased 10.9% from $474.5 million at December 31, 2017 to $526.1 million at December 31, 2018, largely due to net income of $63.8 million and $22.2 million of unrealized losses, net of taxes, on available-for-sale fixed maturity securities. Tangible equity after dividends increased 3.2% from $474.5 million at December 31, 2017 to $489.9 million at December 31, 2018. Tangible equity per common share was $16.34 at December 31, 2018, net of $1.20 of dividends per share paid by the Company during 2018. The 2018 adjusted net operating income return on average tangible equity was 14.8%, which compares to 9.7% for the full year 2017.</w:t>
      </w:r>
    </w:p>
    <w:p>
      <w:pPr>
        <w:spacing w:after="0" w:line="81"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December 31, 2018, 2017 and 2016 and reconciles tangible equity to pre dividend tangible equity as of December 31,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122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tcPr>
          <w:p>
            <w:pPr>
              <w:spacing w:after="0"/>
              <w:rPr>
                <w:sz w:val="12"/>
                <w:szCs w:val="12"/>
                <w:color w:val="auto"/>
              </w:rPr>
            </w:pPr>
          </w:p>
        </w:tc>
        <w:tc>
          <w:tcPr>
            <w:tcW w:w="10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709,241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694,699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693,221</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Tangible equity</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489,873</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474,534</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472,459</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Dividends to shareholders</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the year ended December</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31, 2018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Pre-dividend tangible equity</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526,119</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17.54</w:t>
            </w:r>
          </w:p>
        </w:tc>
        <w:tc>
          <w:tcPr>
            <w:tcW w:w="12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-1619885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380" w:firstLine="351"/>
        <w:spacing w:after="0" w:line="282" w:lineRule="auto"/>
        <w:rPr>
          <w:sz w:val="20"/>
          <w:szCs w:val="20"/>
          <w:color w:val="auto"/>
        </w:rPr>
      </w:pPr>
      <w:r>
        <w:rPr>
          <w:rFonts w:ascii="Times New Roman" w:cs="Times New Roman" w:eastAsia="Times New Roman" w:hAnsi="Times New Roman"/>
          <w:sz w:val="18"/>
          <w:szCs w:val="18"/>
          <w:color w:val="auto"/>
        </w:rPr>
        <w:t>Our fixed maturity and preferred stock investments and borrowings are subject to interest rate risk. Increases and decreases in interest rates typically result in decreases and increases, respectively, in the fair value of these financial instruments.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majority of our investable assets come from premiums paid by policyholders. These funds are invested predominantly in high quality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and municipal bonds with relatively short durations. The investment portfolio has an average duration of approximately 3.4 years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fixed maturity securities and preferred stock investments in the portfolio have an average rating by at least one nationally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organization of “AA-”. See Note 2 to the Notes to the Audited Consolidated Financial Statements for disclosure of contractual maturity dates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maturity portfolio. The changes in the estimated fair value of the fixed maturity portfolio classified as available-for-sale are presented as a component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in accumulated other comprehensive income, net of taxes.</w:t>
      </w:r>
    </w:p>
    <w:p>
      <w:pPr>
        <w:spacing w:after="0" w:line="99" w:lineRule="exact"/>
        <w:rPr>
          <w:sz w:val="20"/>
          <w:szCs w:val="20"/>
          <w:color w:val="auto"/>
        </w:rPr>
      </w:pPr>
    </w:p>
    <w:p>
      <w:pPr>
        <w:ind w:right="240" w:firstLine="351"/>
        <w:spacing w:after="0" w:line="282" w:lineRule="auto"/>
        <w:rPr>
          <w:sz w:val="20"/>
          <w:szCs w:val="20"/>
          <w:color w:val="auto"/>
        </w:rPr>
      </w:pPr>
      <w:r>
        <w:rPr>
          <w:rFonts w:ascii="Times New Roman" w:cs="Times New Roman" w:eastAsia="Times New Roman" w:hAnsi="Times New Roman"/>
          <w:sz w:val="18"/>
          <w:szCs w:val="18"/>
          <w:color w:val="auto"/>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spacing w:after="0" w:line="5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investment manager employs a model to estimate the effect of interest rate risk on the fair values of our fixed maturity and preferred stock securities and our bank loan participations. Our bank loan participations are primarily floating-rate debt, so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spacing w:after="0" w:line="80" w:lineRule="exact"/>
        <w:rPr>
          <w:sz w:val="20"/>
          <w:szCs w:val="20"/>
          <w:color w:val="auto"/>
        </w:rPr>
      </w:pPr>
    </w:p>
    <w:p>
      <w:pPr>
        <w:ind w:right="62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interest rate risk and shows the effect of hypothetical changes in interest rates as of December 31, 2018. The selected hypothetical changes do not indicate what could be the potential best or worst case scenarios.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Hypothetical</w:t>
            </w:r>
          </w:p>
        </w:tc>
        <w:tc>
          <w:tcPr>
            <w:tcW w:w="320" w:type="dxa"/>
            <w:vAlign w:val="bottom"/>
          </w:tcPr>
          <w:p>
            <w:pPr>
              <w:spacing w:after="0"/>
              <w:rPr>
                <w:sz w:val="12"/>
                <w:szCs w:val="12"/>
                <w:color w:val="auto"/>
              </w:rPr>
            </w:pPr>
          </w:p>
        </w:tc>
        <w:tc>
          <w:tcPr>
            <w:tcW w:w="15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320" w:type="dxa"/>
            <w:vAlign w:val="bottom"/>
          </w:tcPr>
          <w:p>
            <w:pPr>
              <w:spacing w:after="0"/>
              <w:rPr>
                <w:sz w:val="12"/>
                <w:szCs w:val="12"/>
                <w:color w:val="auto"/>
              </w:rPr>
            </w:pPr>
          </w:p>
        </w:tc>
        <w:tc>
          <w:tcPr>
            <w:tcW w:w="15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after</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Hypothetical Percentage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Rates</w:t>
            </w:r>
          </w:p>
        </w:tc>
        <w:tc>
          <w:tcPr>
            <w:tcW w:w="320" w:type="dxa"/>
            <w:vAlign w:val="bottom"/>
          </w:tcPr>
          <w:p>
            <w:pPr>
              <w:spacing w:after="0"/>
              <w:rPr>
                <w:sz w:val="12"/>
                <w:szCs w:val="12"/>
                <w:color w:val="auto"/>
              </w:rPr>
            </w:pPr>
          </w:p>
        </w:tc>
        <w:tc>
          <w:tcPr>
            <w:tcW w:w="15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Hypothetical Change</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 in</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(bp=basis points)</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 Interest Rates</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2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and preferred stock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1,244,942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3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1,353,626</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1,298,848</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1,191,907</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1,141,612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250,697</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3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254,508</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251,474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250,371</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250,120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235,374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3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237,485</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236,372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234,476</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233,668</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594"/>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109</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21" w:lineRule="exact"/>
        <w:rPr>
          <w:sz w:val="20"/>
          <w:szCs w:val="20"/>
          <w:color w:val="auto"/>
        </w:rPr>
      </w:pPr>
    </w:p>
    <w:p>
      <w:pPr>
        <w:jc w:val="both"/>
        <w:ind w:right="80" w:firstLine="351"/>
        <w:spacing w:after="0" w:line="266" w:lineRule="auto"/>
        <w:rPr>
          <w:sz w:val="20"/>
          <w:szCs w:val="20"/>
          <w:color w:val="auto"/>
        </w:rPr>
      </w:pPr>
      <w:r>
        <w:rPr>
          <w:rFonts w:ascii="Times New Roman" w:cs="Times New Roman" w:eastAsia="Times New Roman" w:hAnsi="Times New Roman"/>
          <w:sz w:val="18"/>
          <w:szCs w:val="18"/>
          <w:color w:val="auto"/>
        </w:rPr>
        <w:t xml:space="preserve">A portion of our portfolio is invested in equity securities, which have historically produced higher long-term returns relative to fixed maturities. We own preferred stocks, generally in the financial services industry, and common stocks. The changes in the estimated fair value of the equity securities portfolio are </w:t>
      </w:r>
      <w:r>
        <w:rPr>
          <w:rFonts w:ascii="Times New Roman" w:cs="Times New Roman" w:eastAsia="Times New Roman" w:hAnsi="Times New Roman"/>
          <w:sz w:val="18"/>
          <w:szCs w:val="18"/>
          <w:color w:val="231F20"/>
        </w:rPr>
        <w:t>recognized in net income</w:t>
      </w:r>
      <w:r>
        <w:rPr>
          <w:rFonts w:ascii="Times New Roman" w:cs="Times New Roman" w:eastAsia="Times New Roman" w:hAnsi="Times New Roman"/>
          <w:sz w:val="18"/>
          <w:szCs w:val="18"/>
          <w:color w:val="000000"/>
        </w:rPr>
        <w:t>.</w:t>
      </w:r>
    </w:p>
    <w:p>
      <w:pPr>
        <w:spacing w:after="0" w:line="68" w:lineRule="exact"/>
        <w:rPr>
          <w:sz w:val="20"/>
          <w:szCs w:val="20"/>
          <w:color w:val="auto"/>
        </w:rPr>
      </w:pPr>
    </w:p>
    <w:p>
      <w:pPr>
        <w:jc w:val="both"/>
        <w:ind w:right="8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our equity securities portfolio was concentrated in terms of the number of issuers and industries. Such concentrations can lead to higher levels of price volatility.</w:t>
      </w:r>
    </w:p>
    <w:p>
      <w:pPr>
        <w:spacing w:after="0" w:line="54" w:lineRule="exact"/>
        <w:rPr>
          <w:sz w:val="20"/>
          <w:szCs w:val="20"/>
          <w:color w:val="auto"/>
        </w:rPr>
      </w:pPr>
    </w:p>
    <w:p>
      <w:pPr>
        <w:ind w:right="140" w:firstLine="351"/>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equity price risk and shows the effect of a hypothetical 35% increase or decrease in the fair value of our equity securities portfolio as of December 31, 2018. We believe that this range represents a reasonably likely scenario, as the largest annual increases and decreases in the S&amp;P 500 Index in the past twenty-five years were 34.1% (1995) and (38.5%) (2008), respectively. The selected hypothetical changes do not indicate what could be the potential best or worst case scenarios.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w:t>
            </w:r>
          </w:p>
        </w:tc>
        <w:tc>
          <w:tcPr>
            <w:tcW w:w="200" w:type="dxa"/>
            <w:vAlign w:val="bottom"/>
          </w:tcPr>
          <w:p>
            <w:pPr>
              <w:spacing w:after="0"/>
              <w:rPr>
                <w:sz w:val="12"/>
                <w:szCs w:val="12"/>
                <w:color w:val="auto"/>
              </w:rPr>
            </w:pPr>
          </w:p>
        </w:tc>
        <w:tc>
          <w:tcPr>
            <w:tcW w:w="13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after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Hypothetical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Change</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Change in Prices</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78,385</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105,820</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decrease</w:t>
            </w:r>
          </w:p>
        </w:tc>
        <w:tc>
          <w:tcPr>
            <w:tcW w:w="20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50,950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48" w:lineRule="exact"/>
        <w:rPr>
          <w:sz w:val="20"/>
          <w:szCs w:val="20"/>
          <w:color w:val="auto"/>
        </w:rPr>
      </w:pPr>
    </w:p>
    <w:p>
      <w:pPr>
        <w:jc w:val="both"/>
        <w:ind w:right="120" w:firstLine="351"/>
        <w:spacing w:after="0" w:line="282"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2018,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2018.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42"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 xml:space="preserve">Management has conducted an assessment, including testing, of the effectiveness of our internal control over financial reporting as of December 31, 2018. In making its assessment of internal control over financial reporting, management used the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the Company’s management has concluded that, as of December 31, 2018, the Company’s internal control over financial reporting was effective.</w:t>
      </w:r>
    </w:p>
    <w:p>
      <w:pPr>
        <w:spacing w:after="0" w:line="7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has audited the effectiveness of internal control over financial reporting as of December 31, 2018. Their attestation report, which expresses an unqualified opinion on the effectiveness of the Company’s internal control over financial reporting as of December 31, 2018, is included with our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00" w:firstLine="35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our quarter ended December 31, 2018 that have materially affected, or are reasonably likely to materially affect, our internal control over financial reporting.</w:t>
      </w:r>
    </w:p>
    <w:p>
      <w:pPr>
        <w:spacing w:after="0" w:line="68"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60"/>
          </w:cols>
          <w:pgMar w:left="240" w:top="122" w:right="299" w:bottom="1440" w:gutter="0" w:footer="0" w:header="0"/>
        </w:sectPr>
      </w:pPr>
    </w:p>
    <w:bookmarkStart w:id="112" w:name="page113"/>
    <w:bookmarkEnd w:id="11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8"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to the definitive James River Group Holdings, Ltd. Proxy Statement to be filed with the SEC not later than 120 days after the end of the fiscal year covered by this Annual Report on Form 10-K.</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definitive James River Group Holdings, Ltd. Proxy Statement to be filed with the SEC not later than 120 days after the end of the fiscal year covered by this Annual Report on Form 10-K.</w:t>
      </w:r>
    </w:p>
    <w:p>
      <w:pPr>
        <w:spacing w:after="0" w:line="77" w:lineRule="exact"/>
        <w:rPr>
          <w:sz w:val="20"/>
          <w:szCs w:val="20"/>
          <w:color w:val="auto"/>
        </w:rPr>
      </w:pPr>
    </w:p>
    <w:p>
      <w:pPr>
        <w:ind w:left="980" w:right="560" w:hanging="971"/>
        <w:spacing w:after="0" w:line="349"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by reference to the definitive James River Group Holdings, Ltd. Proxy Statement to be filed with the SEC not later than 120 days after the end of the fiscal year covered by this Annual Report on Form 10-K.</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definitive James River Group Holdings, Ltd. Proxy Statement to be filed with the SEC not later than 120 days after the end of the fiscal year covered by this Annual Report on Form 10-K.</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to the definitive James River Group Holdings, Ltd. Proxy Statement to be filed with the SEC not later than 120 days after the end of the fiscal year covered by this Annual Report on Form 10-K.</w:t>
      </w:r>
    </w:p>
    <w:p>
      <w:pPr>
        <w:spacing w:after="0" w:line="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340" w:right="5920" w:hanging="332"/>
        <w:spacing w:after="0" w:line="450" w:lineRule="auto"/>
        <w:tabs>
          <w:tab w:leader="none" w:pos="271"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and (2) Financial Statements and Financial Statement Schedules. </w:t>
      </w:r>
      <w:r>
        <w:rPr>
          <w:rFonts w:ascii="Times New Roman" w:cs="Times New Roman" w:eastAsia="Times New Roman" w:hAnsi="Times New Roman"/>
          <w:sz w:val="17"/>
          <w:szCs w:val="17"/>
          <w:color w:val="auto"/>
        </w:rPr>
        <w:t>See “Index to Financial Statements and Schedules” on Page F-1.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860" w:type="dxa"/>
            <w:vAlign w:val="bottom"/>
            <w:gridSpan w:val="14"/>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86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Borders>
              <w:top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80" w:type="dxa"/>
            <w:vAlign w:val="bottom"/>
            <w:tcBorders>
              <w:top w:val="single" w:sz="8" w:color="auto"/>
              <w:bottom w:val="single" w:sz="8" w:color="0000FF"/>
            </w:tcBorders>
            <w:gridSpan w:val="7"/>
          </w:tcPr>
          <w:p>
            <w:pPr>
              <w:spacing w:after="0" w:line="201"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Certificate of Incorporation of James River Group Holdings, Ltd. (incorporated by reference to Exhibit 3.1 of the Registration</w:t>
              </w:r>
            </w:hyperlink>
          </w:p>
        </w:tc>
        <w:tc>
          <w:tcPr>
            <w:tcW w:w="780" w:type="dxa"/>
            <w:vAlign w:val="bottom"/>
            <w:tcBorders>
              <w:top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Statement on Form S-1, Registration No. 333-199958, filed with the Commission on November 7, 2014)</w:t>
              </w:r>
            </w:hyperlink>
          </w:p>
        </w:tc>
        <w:tc>
          <w:tcPr>
            <w:tcW w:w="2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Certificate of Incorporation on Change of Name (incorporated by reference to Exhibit 3.2 of the Registration Statement on Form S-1,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Registration No. 333-199958, filed with the Commission on November 7, 2014)</w:t>
              </w:r>
            </w:hyperlink>
          </w:p>
        </w:tc>
        <w:tc>
          <w:tcPr>
            <w:tcW w:w="3800" w:type="dxa"/>
            <w:vAlign w:val="bottom"/>
            <w:tcBorders>
              <w:top w:val="single" w:sz="8" w:color="0000FF"/>
            </w:tcBorders>
            <w:gridSpan w:val="8"/>
          </w:tcPr>
          <w:p>
            <w:pPr>
              <w:spacing w:after="0"/>
              <w:rPr>
                <w:sz w:val="17"/>
                <w:szCs w:val="17"/>
                <w:color w:val="auto"/>
              </w:rPr>
            </w:pPr>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Memorandum of Association of James River Group Holdings, Ltd. (incorporated by reference to Exhibit 3.3 of the Registration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Statement on Form S-1, Registration No. 333-199958, filed with the Commission on November 7, 2014)</w:t>
              </w:r>
            </w:hyperlink>
          </w:p>
        </w:tc>
        <w:tc>
          <w:tcPr>
            <w:tcW w:w="1640" w:type="dxa"/>
            <w:vAlign w:val="bottom"/>
            <w:tcBorders>
              <w:top w:val="single" w:sz="8" w:color="0000FF"/>
            </w:tcBorders>
            <w:gridSpan w:val="4"/>
          </w:tcPr>
          <w:p>
            <w:pPr>
              <w:spacing w:after="0"/>
              <w:rPr>
                <w:sz w:val="17"/>
                <w:szCs w:val="17"/>
                <w:color w:val="auto"/>
              </w:rPr>
            </w:pPr>
          </w:p>
        </w:tc>
        <w:tc>
          <w:tcPr>
            <w:tcW w:w="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Certificate of Deposit of Memorandum of Increase of Share Capital, dated December 24, 2007 (incorporated by reference to Exhibit 3.4</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of the Registration Statement on Form S-1, Registration No. 333-199958, filed with the Commission on November 7, 2014)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Deposit of Memorandum of Increase of Share Capital, dated October 7, 2009 (incorporated by reference to Exhibit 3.5 of</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Registration Statement on Form S-1, Registration No. 333-199958, filed with the Commission on November 7, 2014)</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Third Amended and Restated Bye-Laws of James River Group Holdings, Ltd. (incorporated by reference to Exhibit 3.6 to the Annual</w:t>
              </w:r>
            </w:hyperlink>
          </w:p>
        </w:tc>
        <w:tc>
          <w:tcPr>
            <w:tcW w:w="2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4"/>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Form of Certificate of Common Shares (incorporated by reference to Exhibit 4.1 of Amendment No. 3 to the Registration Statement on</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4"/>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S-1, Registration No. 333-199958, filed with the Commission on December 9,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3"/>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Floating Rate Senior Debentures Due 2034+</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Floating Rate Junior Subordinated Debentures Due 2034+</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Amended and Restated Declaration of Trust of James River Capital Trust I, dated as of May 26, 2004, by and among James River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Regular Trustees (as defined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James River Capital Trust 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Preferred Securities Guarantee Agreement, dated as of May 26, 2004, by James River Group, Inc., as Guarantor, and Wilmington Trust</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Company, as Preferred Guarantee Trustee, for the benefit of the holders of James River Capital Trust 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Indenture, dated as of December 15, 2004, by and between James River Group, Inc. and Wilmington Trust Company, as Trustee,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relating to Floating Rate Junior Subordinated Deferrable Interest Debentures Due 2034+</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Amended and Restated Declaration of Trust of James River Capital Trust II, dated as of December 15, 2004, by and among James River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the James River Capital Trust II+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Guarantee Agreement, dated as of December 15, 2004, by James River Group, Inc., as Guarantor, and Wilmington Trust Company, as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Indenture, dated June 15, 2006,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Floating Rate Junior Subordinated Deferrable Interest Debentures Due 2036+</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Amended and Restated Declaration of Trust of James River Capital Trust III, dated as of June 15, 2006, by and among James River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the James River Capital Trust III+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Guarantee Agreement, dated as of June 15, 2006, by James River Group, Inc., as Guarantor, and Wilmington Trust Company, as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III+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Indenture, dated December 11, 2007,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Fixed/Floating Rate Junior Subordinated Deferrable Interest Debentures Due 2037+</w:t>
            </w:r>
          </w:p>
        </w:tc>
        <w:tc>
          <w:tcPr>
            <w:tcW w:w="0" w:type="dxa"/>
            <w:vAlign w:val="bottom"/>
          </w:tcPr>
          <w:p>
            <w:pPr>
              <w:spacing w:after="0"/>
              <w:rPr>
                <w:sz w:val="1"/>
                <w:szCs w:val="1"/>
                <w:color w:val="auto"/>
              </w:rPr>
            </w:pPr>
          </w:p>
        </w:tc>
      </w:tr>
      <w:tr>
        <w:trPr>
          <w:trHeight w:val="594"/>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2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40" w:type="dxa"/>
            <w:vAlign w:val="bottom"/>
            <w:gridSpan w:val="19"/>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4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20" w:type="dxa"/>
            <w:vAlign w:val="bottom"/>
            <w:tcBorders>
              <w:top w:val="single" w:sz="8" w:color="auto"/>
            </w:tcBorders>
            <w:gridSpan w:val="25"/>
          </w:tcPr>
          <w:p>
            <w:pPr>
              <w:spacing w:after="0"/>
              <w:rPr>
                <w:sz w:val="20"/>
                <w:szCs w:val="20"/>
                <w:color w:val="auto"/>
              </w:rPr>
            </w:pPr>
            <w:r>
              <w:rPr>
                <w:rFonts w:ascii="Times New Roman" w:cs="Times New Roman" w:eastAsia="Times New Roman" w:hAnsi="Times New Roman"/>
                <w:sz w:val="18"/>
                <w:szCs w:val="18"/>
                <w:color w:val="auto"/>
              </w:rPr>
              <w:t>Amended and Restated Declaration of Trust, dated December 11, 2007, by and among James River Group, Inc., as Sponsor,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Wilmington Trust Company, as Institutional Trustee and Delaware Trustee and the Administrators (as defined therein) and the holders,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from time to time, of undivided beneficial interests in James River Capital Trust IV+</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Guarantee Agreement, dated as of December 11, 2007, by James River Group, Inc., as Guarantor, and Wilmington Trust Company, as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IV+</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Indenture, dated as of January 10, 2008, among James River Group Holdings, Ltd. and Wilmington Trust Company, as Trustee relating</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to Fixed/Floating Rate Junior Subordinated Deferrable Interest Debentures Due 2038+</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Amended and Restated Declaration of Trust, dated as of January 10, 2008, by and among James River Group Holdings, Ltd., as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Sponsor, Wilmington Trust Company, as Institutional Trustee and Delaware Trustee and the Administrators (as defined therein) for the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benefit of the holders, from time to time, of undivided beneficial interest in Franklin Holdings II (Bermuda) Capital Trust I+</w:t>
            </w:r>
          </w:p>
        </w:tc>
        <w:tc>
          <w:tcPr>
            <w:tcW w:w="0" w:type="dxa"/>
            <w:vAlign w:val="bottom"/>
          </w:tcPr>
          <w:p>
            <w:pPr>
              <w:spacing w:after="0"/>
              <w:rPr>
                <w:sz w:val="1"/>
                <w:szCs w:val="1"/>
                <w:color w:val="auto"/>
              </w:rPr>
            </w:pPr>
          </w:p>
        </w:tc>
      </w:tr>
      <w:tr>
        <w:trPr>
          <w:trHeight w:val="25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Guarantee Agreement, dated as of January 10, 2008, by and among James River Group Holdings, Ltd., as Guarantor, and Wilmington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Trust Company, as Guarantee Trustee, for the benefit of the holders, from time to time, of the capital securities of Franklin Holdings II</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(Bermuda) Capital Trust I+</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5"/>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Amended and Restated Credit Agreement, dated as of December 7, 2016, by and among James River Group Holdings, Ltd., JRG</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Reinsurance Company, Ltd., KeyBank National Association, as Administrative Agent and Letter of Credit Issuer, and the financial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institutions that are parties thereto (incorporated by reference to Exhibit 10.1 of the Current Report on Form 8-K filed on December 9,</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2016, Commission File No. 001-36777)</w:t>
              </w:r>
            </w:hyperlink>
          </w:p>
        </w:tc>
        <w:tc>
          <w:tcPr>
            <w:tcW w:w="69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First Amendment to Amended and Restated Credit Agreement, dated June 8, 2017, among James River Group Holdings, Ltd., JRG</w:t>
              </w:r>
            </w:hyperlink>
          </w:p>
        </w:tc>
        <w:tc>
          <w:tcPr>
            <w:tcW w:w="3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Reinsurance Company Ltd., KeyBank National Association, as Administrative Agent, and the financial institutions that are parties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thereto (incorporated by reference to Exhibit 10.1 of the Current Report on Form 8-K filed on June 13, 2017, Commission File No.</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3"/>
          </w:tcPr>
          <w:p>
            <w:pPr>
              <w:ind w:left="20"/>
              <w:spacing w:after="0" w:line="196" w:lineRule="exact"/>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001-36777)</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Continuing Guaranty of Payment, dated as of June 5, 2013, by James River Group, Inc., as Guarantor, pursuant to Credit Agreement,</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dated as of June 5, 2013, among James River Group Holdings, Ltd. and JRG Reinsurance Company Ltd., KeyBank National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Association, as Administrative Agent and as Letter of Credit Issuer, and certain Lender parties (incorporated by reference to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the Registration Statement on Form S-1, Registration No. 333-199958, filed with the Commission on November 7, 2014)</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Continuing Guaranty of Payment, dated as of December 15, 2015, by James River Group Holdings UK Limited, pursuant to Credit</w:t>
              </w:r>
            </w:hyperlink>
          </w:p>
        </w:tc>
        <w:tc>
          <w:tcPr>
            <w:tcW w:w="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Agreement, dated as of June 5, 2013, among James River Group Holdings, Ltd. and JRG Reinsurance Company Ltd., KeyBank</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National Association, as Administrative Agent and as Letter of Credit Issuer, and certain Lender parties (incorporated by reference to</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Exhibit 10.5 to the Annual Report on Form 10-K filed on March 10, 2016,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Credit Agreement, dated as of August 2, 2017, among James River Group Holdings, Ltd., JRG Reinsurance Company Ltd. and BMO</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Harris Bank N.A. (incorporated by reference to Exhibit 10.1 of the Current Report on Form 8-K filed on August 3, 2017, Commission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File No. 001-3677)</w:t>
              </w:r>
            </w:hyperlink>
          </w:p>
        </w:tc>
        <w:tc>
          <w:tcPr>
            <w:tcW w:w="8280" w:type="dxa"/>
            <w:vAlign w:val="bottom"/>
            <w:tcBorders>
              <w:top w:val="single" w:sz="8" w:color="0000FF"/>
            </w:tcBorders>
            <w:gridSpan w:val="19"/>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Pledge and Security Agreement, dated as of August 2, 2017, by and between JRG Reinsurance Company Ltd., and BMO Harris Bank</w:t>
              </w:r>
            </w:hyperlink>
          </w:p>
        </w:tc>
        <w:tc>
          <w:tcPr>
            <w:tcW w:w="1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N.A. (incorporated by reference to Exhibit 10.2 of the Current Report on Form 8-K filed on August 3, 2017, Commission File No. 001-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3"/>
          </w:tcPr>
          <w:p>
            <w:pPr>
              <w:ind w:left="20"/>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3677)</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Director and Officer Indemnification Agreement (incorporated by reference to Exhibit 10.7 of Amendment No. 1 to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Registration Statement on Form S-1, Registration No. 333-199958, filed with the Commission on November 24, 2014)</w:t>
              </w:r>
            </w:hyperlink>
          </w:p>
        </w:tc>
        <w:tc>
          <w:tcPr>
            <w:tcW w:w="720" w:type="dxa"/>
            <w:vAlign w:val="bottom"/>
            <w:tcBorders>
              <w:top w:val="single" w:sz="8" w:color="0000FF"/>
            </w:tcBorders>
            <w:gridSpan w:val="4"/>
          </w:tcPr>
          <w:p>
            <w:pPr>
              <w:spacing w:after="0"/>
              <w:rPr>
                <w:sz w:val="17"/>
                <w:szCs w:val="17"/>
                <w:color w:val="auto"/>
              </w:rPr>
            </w:pPr>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James River Group Holdings, Ltd. Equity Incentive Plan (incorporated by reference to Exhibit 10.8 of the</w:t>
              </w:r>
            </w:hyperlink>
          </w:p>
        </w:tc>
        <w:tc>
          <w:tcPr>
            <w:tcW w:w="44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Registration Statement on Form S-1, Registration No. 333-199958, filed with the Commission on November 7, 2014)*</w:t>
              </w:r>
            </w:hyperlink>
          </w:p>
        </w:tc>
        <w:tc>
          <w:tcPr>
            <w:tcW w:w="1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5"/>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Stock Option Agreement (Amended and Restated James River Group Holdings, Ltd. Equity Incentive Plan)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reference to Exhibit 10.9 of the Registration Statement on Form S-1, Registration No. 333-199958, filed with the Commission on</w:t>
              </w:r>
            </w:hyperlink>
          </w:p>
        </w:tc>
        <w:tc>
          <w:tcPr>
            <w:tcW w:w="300" w:type="dxa"/>
            <w:vAlign w:val="bottom"/>
            <w:tcBorders>
              <w:top w:val="single" w:sz="8" w:color="0000FF"/>
            </w:tcBorders>
            <w:gridSpan w:val="7"/>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November 7,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First Amendment to the Amended and Restated James River Group Holdings, Ltd. Equity Incentive Plan (incorporated by reference to</w:t>
              </w:r>
            </w:hyperlink>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5"/>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Exhibit 10.10 of Amendment No. 1 to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Commission on November 24, 2014)*</w:t>
              </w:r>
            </w:hyperlink>
          </w:p>
        </w:tc>
        <w:tc>
          <w:tcPr>
            <w:tcW w:w="6120" w:type="dxa"/>
            <w:vAlign w:val="bottom"/>
            <w:tcBorders>
              <w:top w:val="single" w:sz="8" w:color="0000FF"/>
            </w:tcBorders>
            <w:gridSpan w:val="4"/>
          </w:tcPr>
          <w:p>
            <w:pPr>
              <w:spacing w:after="0"/>
              <w:rPr>
                <w:sz w:val="17"/>
                <w:szCs w:val="17"/>
                <w:color w:val="auto"/>
              </w:rPr>
            </w:pPr>
          </w:p>
        </w:tc>
        <w:tc>
          <w:tcPr>
            <w:tcW w:w="9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40" w:type="dxa"/>
            <w:vAlign w:val="bottom"/>
            <w:gridSpan w:val="8"/>
          </w:tcPr>
          <w:p>
            <w:pPr>
              <w:jc w:val="right"/>
              <w:ind w:right="3468"/>
              <w:spacing w:after="0"/>
              <w:rPr>
                <w:sz w:val="20"/>
                <w:szCs w:val="20"/>
                <w:color w:val="auto"/>
              </w:rPr>
            </w:pPr>
            <w:r>
              <w:rPr>
                <w:rFonts w:ascii="Times New Roman" w:cs="Times New Roman" w:eastAsia="Times New Roman" w:hAnsi="Times New Roman"/>
                <w:sz w:val="18"/>
                <w:szCs w:val="18"/>
                <w:color w:val="auto"/>
              </w:rPr>
              <w:t>114</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2" w:right="279" w:bottom="1440" w:gutter="0" w:footer="0" w:header="0"/>
        </w:sectPr>
      </w:pPr>
    </w:p>
    <w:bookmarkStart w:id="115" w:name="page116"/>
    <w:bookmarkEnd w:id="11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60" w:type="dxa"/>
            <w:vAlign w:val="bottom"/>
            <w:gridSpan w:val="2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6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Borders>
              <w:top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80" w:type="dxa"/>
            <w:vAlign w:val="bottom"/>
            <w:tcBorders>
              <w:top w:val="single" w:sz="8" w:color="auto"/>
              <w:bottom w:val="single" w:sz="8" w:color="0000FF"/>
            </w:tcBorders>
            <w:gridSpan w:val="32"/>
          </w:tcPr>
          <w:p>
            <w:pPr>
              <w:spacing w:after="0" w:line="201"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James River Group Holdings, Ltd. 2014 Long-Term Incentive Plan (incorporated by reference to Exhibit 10.11 of Amendment No. 1 to</w:t>
              </w:r>
            </w:hyperlink>
          </w:p>
        </w:tc>
        <w:tc>
          <w:tcPr>
            <w:tcW w:w="80" w:type="dxa"/>
            <w:vAlign w:val="bottom"/>
            <w:tcBorders>
              <w:top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the Registration Statement on Form S-1, Registration No. 333-199958, filed with the Commission on November 24,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Amendment to the James River Group Holdings, Ltd. 2014 Long-Term Incentive Plan (incorporated by reference to Exhibit 10.1 of the</w:t>
              </w:r>
            </w:hyperlink>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Current Report on Form 8-K filed on May 3, 2017,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Form of Nonqualified Share Option Agreement (James River Group Holdings, Ltd. 2014 Long-Term Incentive Plan) (incorporated by</w:t>
              </w:r>
            </w:hyperlink>
          </w:p>
        </w:tc>
        <w:tc>
          <w:tcPr>
            <w:tcW w:w="1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reference to Exhibit 10.12 of Amendment No. 1 to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Commission on November 24, 2014)*</w:t>
              </w:r>
            </w:hyperlink>
          </w:p>
        </w:tc>
        <w:tc>
          <w:tcPr>
            <w:tcW w:w="7020" w:type="dxa"/>
            <w:vAlign w:val="bottom"/>
            <w:tcBorders>
              <w:top w:val="single" w:sz="8" w:color="0000FF"/>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Form of Restricted Share Award Agreement (James River Group Holdings, Ltd. 2014 Long-Term Incentive Plan) (incorporated by</w:t>
              </w:r>
            </w:hyperlink>
          </w:p>
        </w:tc>
        <w:tc>
          <w:tcPr>
            <w:tcW w:w="4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reference to Exhibit 10.13 of Amendment No. 1 to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Commission on November 24, 2014)*</w:t>
              </w:r>
            </w:hyperlink>
          </w:p>
        </w:tc>
        <w:tc>
          <w:tcPr>
            <w:tcW w:w="7020" w:type="dxa"/>
            <w:vAlign w:val="bottom"/>
            <w:tcBorders>
              <w:top w:val="single" w:sz="8" w:color="0000FF"/>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Form of Restricted Share Unit Award Agreement (James River Group Holdings, Ltd. 2014 Long-Term Incentive Plan) (incorporated by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reference to Exhibit 10.14 of Amendment No. 3 to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Commission on December 9, 2014)*</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James River Group Holdings, Ltd. 2014 Non-Employee Director Incentive Plan (incorporated by reference to Exhibit 10.15 of</w:t>
              </w:r>
            </w:hyperlink>
          </w:p>
        </w:tc>
        <w:tc>
          <w:tcPr>
            <w:tcW w:w="72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Amendment No. 1 to the Registration Statement on Form S-1, Registration No. 333-199958, filed with the Commission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November 24, 2014)*</w:t>
              </w:r>
            </w:hyperlink>
          </w:p>
        </w:tc>
        <w:tc>
          <w:tcPr>
            <w:tcW w:w="7320" w:type="dxa"/>
            <w:vAlign w:val="bottom"/>
            <w:tcBorders>
              <w:top w:val="single" w:sz="8" w:color="0000FF"/>
            </w:tcBorders>
            <w:gridSpan w:val="10"/>
          </w:tcPr>
          <w:p>
            <w:pPr>
              <w:spacing w:after="0"/>
              <w:rPr>
                <w:sz w:val="17"/>
                <w:szCs w:val="17"/>
                <w:color w:val="auto"/>
              </w:rPr>
            </w:pPr>
          </w:p>
        </w:tc>
        <w:tc>
          <w:tcPr>
            <w:tcW w:w="9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Restricted Share Award Agreement (James River Group Holdings, Ltd. 2014 Non-Employee Director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(incorporated by reference to Exhibit 10.16 of Amendment No. 1 to the Registration Statement on Form S-1, Registration No. 333-</w:t>
              </w:r>
            </w:hyperlink>
          </w:p>
        </w:tc>
        <w:tc>
          <w:tcPr>
            <w:tcW w:w="4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199958, filed with the Commission on November 24,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Restricted Share Unit Award Agreement (James River Group Holdings, Ltd., 2014 Non-Employee Director Incentive Plan)</w:t>
              </w:r>
            </w:hyperlink>
          </w:p>
        </w:tc>
        <w:tc>
          <w:tcPr>
            <w:tcW w:w="34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(incorporated by reference to Exhibit 10.17 of Amendment No. 3 to the Registration Statement on Form S-1, Registration No. 333-</w:t>
              </w:r>
            </w:hyperlink>
          </w:p>
        </w:tc>
        <w:tc>
          <w:tcPr>
            <w:tcW w:w="4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199958, filed with the Commission on December 9, 2014)*</w:t>
              </w:r>
            </w:hyperlink>
          </w:p>
        </w:tc>
        <w:tc>
          <w:tcPr>
            <w:tcW w:w="55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James River Management Company, Inc. Leadership Recognition Program (incorporated by reference to Exhibit 10.18 of Amendment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No. 1 to the Registration Statement on Form S-1, Registration No. 333-199958, filed with the Commission on November 24, 2014)*</w:t>
              </w:r>
            </w:hyperlink>
          </w:p>
        </w:tc>
        <w:tc>
          <w:tcPr>
            <w:tcW w:w="120" w:type="dxa"/>
            <w:vAlign w:val="bottom"/>
            <w:tcBorders>
              <w:top w:val="single" w:sz="8" w:color="0000FF"/>
            </w:tcBorders>
            <w:gridSpan w:val="5"/>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Employment Agreement, dated December 12, 2017, by and between James River Group Holdings, Ltd.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Robert P. Myron (incorporated by reference to Exhibit 10.20 to Annual Report on Form 10-K filed on March 1, 2018, Commission File</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Employment Agreement, dated December 19, 2016, by and among James River Group Holdings, Ltd., James River Group, Inc., and</w:t>
              </w:r>
            </w:hyperlink>
          </w:p>
        </w:tc>
        <w:tc>
          <w:tcPr>
            <w:tcW w:w="3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Sarah C. Doran (incorporated by reference to Exhibit 10.1 to the Current Report on Form 8-K filed on December 22, 2016, Commission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File No. 001-36777)*</w:t>
              </w:r>
            </w:hyperlink>
          </w:p>
        </w:tc>
        <w:tc>
          <w:tcPr>
            <w:tcW w:w="8240" w:type="dxa"/>
            <w:vAlign w:val="bottom"/>
            <w:tcBorders>
              <w:top w:val="single" w:sz="8" w:color="0000FF"/>
            </w:tcBorders>
            <w:gridSpan w:val="3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Amendment to Employment Agreement dated December 19, 2016, between Sarah C. Doran and James River Group Holdings, Ltd., and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its subsidiary, James River Group, Inc. (incorporated by reference to Exhibit 10.1 to the Current Report on Form 10-Q filed on</w:t>
              </w:r>
            </w:hyperlink>
          </w:p>
        </w:tc>
        <w:tc>
          <w:tcPr>
            <w:tcW w:w="680" w:type="dxa"/>
            <w:vAlign w:val="bottom"/>
            <w:tcBorders>
              <w:top w:val="single" w:sz="8" w:color="0000FF"/>
            </w:tcBorders>
            <w:gridSpan w:val="1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November 8, 2018,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Amended and Restated Employment Agreement, dated January 15, 2018, by and among James River Group, Inc., certain subsidiaries</w:t>
              </w:r>
            </w:hyperlink>
          </w:p>
        </w:tc>
        <w:tc>
          <w:tcPr>
            <w:tcW w:w="2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of James River Group, Inc. and Richard Schmitzer (incorporated by reference to Exhibit 10.22 to Annual Report on Form 10-K filed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March 1, 2018, Commission File No. 001-36777)*</w:t>
              </w:r>
            </w:hyperlink>
          </w:p>
        </w:tc>
        <w:tc>
          <w:tcPr>
            <w:tcW w:w="6100" w:type="dxa"/>
            <w:vAlign w:val="bottom"/>
            <w:tcBorders>
              <w:top w:val="single" w:sz="8" w:color="0000FF"/>
            </w:tcBorders>
            <w:gridSpan w:val="24"/>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James River Management Company, Inc. Leadership Recognition Program Award Letter, dated September 30, 2011 to Richard</w:t>
              </w:r>
            </w:hyperlink>
          </w:p>
        </w:tc>
        <w:tc>
          <w:tcPr>
            <w:tcW w:w="70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Schmitzer (incorporated by reference to Exhibit 10.22 of Amendment No. 1 to the Registration Statement on Form S-1, Registration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No. 333-199958, filed with the Commission on November 24, 2014)*</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6"/>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Employment Agreement, dated April 2, 2018, by and among James River Group, Inc., certain subsidiaries of James River Group, Inc.</w:t>
              </w:r>
            </w:hyperlink>
          </w:p>
        </w:tc>
        <w:tc>
          <w:tcPr>
            <w:tcW w:w="2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and Steven J. Hartman (incorporated by reference to Exhibit 10.1 to the Quarterly Report on Form 10-Q filed on May 4, 2018,</w:t>
              </w:r>
            </w:hyperlink>
          </w:p>
        </w:tc>
        <w:tc>
          <w:tcPr>
            <w:tcW w:w="7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w:anchor="page182">
              <w:r>
                <w:rPr>
                  <w:rFonts w:ascii="Times New Roman" w:cs="Times New Roman" w:eastAsia="Times New Roman" w:hAnsi="Times New Roman"/>
                  <w:sz w:val="18"/>
                  <w:szCs w:val="18"/>
                  <w:color w:val="0000FF"/>
                  <w:w w:val="99"/>
                </w:rPr>
                <w:t>Separation and Release Agreement, dated October 26, 2018, by and among James River Group, Inc., certain subsidiaries of James River</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w:anchor="page182">
              <w:r>
                <w:rPr>
                  <w:rFonts w:ascii="Times New Roman" w:cs="Times New Roman" w:eastAsia="Times New Roman" w:hAnsi="Times New Roman"/>
                  <w:sz w:val="18"/>
                  <w:szCs w:val="18"/>
                  <w:color w:val="0000FF"/>
                </w:rPr>
                <w:t>Group, Inc. and Steven J. Hartman*</w:t>
              </w:r>
            </w:hyperlink>
          </w:p>
        </w:tc>
        <w:tc>
          <w:tcPr>
            <w:tcW w:w="72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Amended and Restated Employment Agreement, dated January 17, 2018, by and among JRG Reinsurance, Ltd. and Dennis R. Johnson</w:t>
              </w:r>
            </w:hyperlink>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(incorporated by reference to Exhibit 10.25 to Annual Report on Form 10-K filed on March 1, 2018, Commission File No. 001-36777)*</w:t>
              </w:r>
            </w:hyperlink>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tcBorders>
              <w:top w:val="single" w:sz="8" w:color="0000FF"/>
            </w:tcBorders>
            <w:gridSpan w:val="33"/>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Termination of Employment Agreement, dated April 13, 2018, between JRG Reinsurance Company Ltd. and Dennis Johnson</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40" w:type="dxa"/>
            <w:vAlign w:val="bottom"/>
            <w:gridSpan w:val="1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(incorporated by reference to Exhibit 10.2 to the Current Report on Form 8-K filed on April 16, 2018, Commission File No. 001-</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85">
              <w:r>
                <w:rPr>
                  <w:rFonts w:ascii="Times New Roman" w:cs="Times New Roman" w:eastAsia="Times New Roman" w:hAnsi="Times New Roman"/>
                  <w:sz w:val="18"/>
                  <w:szCs w:val="18"/>
                  <w:color w:val="0000FF"/>
                  <w:w w:val="96"/>
                </w:rPr>
                <w:t>36777)</w:t>
              </w:r>
              <w:r>
                <w:rPr>
                  <w:rFonts w:ascii="Times New Roman" w:cs="Times New Roman" w:eastAsia="Times New Roman" w:hAnsi="Times New Roman"/>
                  <w:sz w:val="18"/>
                  <w:szCs w:val="18"/>
                  <w:u w:val="single" w:color="auto"/>
                  <w:color w:val="0000FF"/>
                  <w:w w:val="96"/>
                </w:rPr>
                <w:t>*</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Employment Agreement, dated April 13, 2018, between James River Group, Inc., certain subsidiaries of James River Group, Inc.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20" w:type="dxa"/>
            <w:vAlign w:val="bottom"/>
            <w:gridSpan w:val="27"/>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Dennis Johnson (incorporated by reference to Exhibit 10.1 to the Current Report on Form 8-K filed on April 16, 2018, Commission File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400"/>
          </w:cols>
          <w:pgMar w:left="240" w:top="122" w:right="259" w:bottom="1440" w:gutter="0" w:footer="0" w:header="0"/>
          <w:type w:val="continuous"/>
        </w:sectPr>
      </w:pPr>
    </w:p>
    <w:bookmarkStart w:id="116" w:name="page117"/>
    <w:bookmarkEnd w:id="11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3"/>
              </w:rPr>
              <w:t>10.30</w:t>
            </w:r>
          </w:p>
        </w:tc>
        <w:tc>
          <w:tcPr>
            <w:tcW w:w="98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189">
              <w:r>
                <w:rPr>
                  <w:rFonts w:ascii="Times New Roman" w:cs="Times New Roman" w:eastAsia="Times New Roman" w:hAnsi="Times New Roman"/>
                  <w:sz w:val="18"/>
                  <w:szCs w:val="18"/>
                  <w:color w:val="0000FF"/>
                  <w:w w:val="99"/>
                </w:rPr>
                <w:t>Employment Agreement, dated September 17, 2018, by and among James River Group, Inc., certain subsidiaries of James River Group,</w:t>
              </w:r>
            </w:hyperlink>
          </w:p>
        </w:tc>
      </w:tr>
      <w:tr>
        <w:trPr>
          <w:trHeight w:val="196"/>
        </w:trPr>
        <w:tc>
          <w:tcPr>
            <w:tcW w:w="1480" w:type="dxa"/>
            <w:vAlign w:val="bottom"/>
          </w:tcPr>
          <w:p>
            <w:pPr>
              <w:spacing w:after="0"/>
              <w:rPr>
                <w:sz w:val="17"/>
                <w:szCs w:val="17"/>
                <w:color w:val="auto"/>
              </w:rPr>
            </w:pPr>
          </w:p>
        </w:tc>
        <w:tc>
          <w:tcPr>
            <w:tcW w:w="6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189">
              <w:r>
                <w:rPr>
                  <w:rFonts w:ascii="Times New Roman" w:cs="Times New Roman" w:eastAsia="Times New Roman" w:hAnsi="Times New Roman"/>
                  <w:sz w:val="18"/>
                  <w:szCs w:val="18"/>
                  <w:color w:val="0000FF"/>
                  <w:w w:val="99"/>
                </w:rPr>
                <w:t>Inc. and Terry McCafferty, as supplemented by a letter agreement dated October 12, 2018*</w:t>
              </w:r>
            </w:hyperlink>
          </w:p>
        </w:tc>
        <w:tc>
          <w:tcPr>
            <w:tcW w:w="3260" w:type="dxa"/>
            <w:vAlign w:val="bottom"/>
            <w:gridSpan w:val="7"/>
          </w:tcPr>
          <w:p>
            <w:pPr>
              <w:spacing w:after="0"/>
              <w:rPr>
                <w:sz w:val="17"/>
                <w:szCs w:val="17"/>
                <w:color w:val="auto"/>
              </w:rPr>
            </w:pPr>
          </w:p>
        </w:tc>
      </w:tr>
      <w:tr>
        <w:trPr>
          <w:trHeight w:val="250"/>
        </w:trPr>
        <w:tc>
          <w:tcPr>
            <w:tcW w:w="14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3"/>
              </w:rPr>
              <w:t>10.31</w:t>
            </w:r>
          </w:p>
        </w:tc>
        <w:tc>
          <w:tcPr>
            <w:tcW w:w="9820" w:type="dxa"/>
            <w:vAlign w:val="bottom"/>
            <w:gridSpan w:val="10"/>
          </w:tcPr>
          <w:p>
            <w:pPr>
              <w:spacing w:after="0"/>
              <w:rPr>
                <w:rFonts w:ascii="Times New Roman" w:cs="Times New Roman" w:eastAsia="Times New Roman" w:hAnsi="Times New Roman"/>
                <w:sz w:val="18"/>
                <w:szCs w:val="18"/>
                <w:color w:val="0000FF"/>
              </w:rPr>
            </w:pPr>
            <w:hyperlink w:anchor="page203">
              <w:r>
                <w:rPr>
                  <w:rFonts w:ascii="Times New Roman" w:cs="Times New Roman" w:eastAsia="Times New Roman" w:hAnsi="Times New Roman"/>
                  <w:sz w:val="18"/>
                  <w:szCs w:val="18"/>
                  <w:color w:val="0000FF"/>
                </w:rPr>
                <w:t>Employment Agreement, dated April 5, 2018, by and among JRG Reinsurance Company, Ltd. and Daniel Heinlein*</w:t>
              </w:r>
            </w:hyperlink>
          </w:p>
        </w:tc>
      </w:tr>
      <w:tr>
        <w:trPr>
          <w:trHeight w:val="20"/>
        </w:trPr>
        <w:tc>
          <w:tcPr>
            <w:tcW w:w="1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3"/>
              </w:rPr>
              <w:t>10.32</w:t>
            </w:r>
          </w:p>
        </w:tc>
        <w:tc>
          <w:tcPr>
            <w:tcW w:w="94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Registration Rights Agreement, dated as of December 17, 2014, by and among (1) James River Group Holdings, Ltd.; (2) (a) D. E.</w:t>
              </w:r>
            </w:hyperlink>
          </w:p>
        </w:tc>
        <w:tc>
          <w:tcPr>
            <w:tcW w:w="380" w:type="dxa"/>
            <w:vAlign w:val="bottom"/>
            <w:gridSpan w:val="4"/>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9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Shaw CH-SP Franklin, L.L.C., a Delaware limited liability company, D. E. Shaw CF-SP Franklin, L.L.C., a Delaware limited liability</w:t>
              </w:r>
            </w:hyperlink>
          </w:p>
        </w:tc>
        <w:tc>
          <w:tcPr>
            <w:tcW w:w="16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0"/>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company, and D. E. Shaw Oculus Portfolios, L.L.C., a Delaware limited liability company; and (b) The Goldman Sachs Group, Inc., a</w:t>
              </w:r>
            </w:hyperlink>
          </w:p>
        </w:tc>
      </w:tr>
      <w:tr>
        <w:trPr>
          <w:trHeight w:val="20"/>
        </w:trPr>
        <w:tc>
          <w:tcPr>
            <w:tcW w:w="1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Delaware corporation, and Goldman Sachs JRVR Investors Offshore, L.P., a Cayman Islands exempted limited partnership and (3) the</w:t>
              </w:r>
            </w:hyperlink>
          </w:p>
        </w:tc>
        <w:tc>
          <w:tcPr>
            <w:tcW w:w="1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persons identified as “Management Investors” on the signature pages thereto (incorporated by reference to Exhibit 10.25 to the Annual</w:t>
              </w:r>
            </w:hyperlink>
          </w:p>
        </w:tc>
        <w:tc>
          <w:tcPr>
            <w:tcW w:w="10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0"/>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Report on Form 10-K filed on March 12, 2015, Commission File No. 001-36777)</w:t>
              </w:r>
            </w:hyperlink>
          </w:p>
        </w:tc>
      </w:tr>
      <w:tr>
        <w:trPr>
          <w:trHeight w:val="20"/>
        </w:trPr>
        <w:tc>
          <w:tcPr>
            <w:tcW w:w="1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14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3"/>
              </w:rPr>
              <w:t>10.33</w:t>
            </w:r>
          </w:p>
        </w:tc>
        <w:tc>
          <w:tcPr>
            <w:tcW w:w="96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Separation and Release Agreement, dated December 12, 2017, by and among James River Group Holdings, Ltd., James River Group,</w:t>
              </w:r>
            </w:hyperlink>
          </w:p>
        </w:tc>
        <w:tc>
          <w:tcPr>
            <w:tcW w:w="160" w:type="dxa"/>
            <w:vAlign w:val="bottom"/>
            <w:gridSpan w:val="3"/>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9820" w:type="dxa"/>
            <w:vAlign w:val="bottom"/>
            <w:gridSpan w:val="10"/>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Inc., and J. Adam Abram (incorporated by reference to Exhibit 10.28 to Annual Report on Form 10-K filed on March 1, 2018,</w:t>
              </w:r>
            </w:hyperlink>
          </w:p>
        </w:tc>
      </w:tr>
      <w:tr>
        <w:trPr>
          <w:trHeight w:val="196"/>
        </w:trPr>
        <w:tc>
          <w:tcPr>
            <w:tcW w:w="1480" w:type="dxa"/>
            <w:vAlign w:val="bottom"/>
          </w:tcPr>
          <w:p>
            <w:pPr>
              <w:spacing w:after="0"/>
              <w:rPr>
                <w:sz w:val="17"/>
                <w:szCs w:val="17"/>
                <w:color w:val="auto"/>
              </w:rPr>
            </w:pPr>
          </w:p>
        </w:tc>
        <w:tc>
          <w:tcPr>
            <w:tcW w:w="910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Commission File No. 001-36777)*</w:t>
              </w:r>
            </w:hyperlink>
          </w:p>
        </w:tc>
        <w:tc>
          <w:tcPr>
            <w:tcW w:w="720" w:type="dxa"/>
            <w:vAlign w:val="bottom"/>
            <w:gridSpan w:val="5"/>
          </w:tcPr>
          <w:p>
            <w:pPr>
              <w:spacing w:after="0"/>
              <w:rPr>
                <w:sz w:val="17"/>
                <w:szCs w:val="17"/>
                <w:color w:val="auto"/>
              </w:rPr>
            </w:pPr>
          </w:p>
        </w:tc>
      </w:tr>
      <w:tr>
        <w:trPr>
          <w:trHeight w:val="615"/>
        </w:trPr>
        <w:tc>
          <w:tcPr>
            <w:tcW w:w="1480" w:type="dxa"/>
            <w:vAlign w:val="bottom"/>
          </w:tcPr>
          <w:p>
            <w:pPr>
              <w:spacing w:after="0"/>
              <w:rPr>
                <w:sz w:val="24"/>
                <w:szCs w:val="24"/>
                <w:color w:val="auto"/>
              </w:rPr>
            </w:pPr>
          </w:p>
        </w:tc>
        <w:tc>
          <w:tcPr>
            <w:tcW w:w="2520" w:type="dxa"/>
            <w:vAlign w:val="bottom"/>
            <w:tcBorders>
              <w:top w:val="single" w:sz="8" w:color="0000FF"/>
            </w:tcBorders>
          </w:tcPr>
          <w:p>
            <w:pPr>
              <w:spacing w:after="0"/>
              <w:rPr>
                <w:sz w:val="24"/>
                <w:szCs w:val="24"/>
                <w:color w:val="auto"/>
              </w:rPr>
            </w:pPr>
          </w:p>
        </w:tc>
        <w:tc>
          <w:tcPr>
            <w:tcW w:w="336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121" w:right="299" w:bottom="1440" w:gutter="0" w:footer="0" w:header="0"/>
        </w:sectPr>
      </w:pPr>
    </w:p>
    <w:bookmarkStart w:id="117" w:name="page118"/>
    <w:bookmarkEnd w:id="11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7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60" w:type="dxa"/>
            <w:vAlign w:val="bottom"/>
            <w:tcBorders>
              <w:top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40" w:type="dxa"/>
            <w:vAlign w:val="bottom"/>
            <w:tcBorders>
              <w:top w:val="single" w:sz="8" w:color="auto"/>
            </w:tcBorders>
            <w:gridSpan w:val="7"/>
          </w:tcPr>
          <w:p>
            <w:pPr>
              <w:spacing w:after="0" w:line="201" w:lineRule="exact"/>
              <w:rPr>
                <w:rFonts w:ascii="Times New Roman" w:cs="Times New Roman" w:eastAsia="Times New Roman" w:hAnsi="Times New Roman"/>
                <w:sz w:val="18"/>
                <w:szCs w:val="18"/>
                <w:color w:val="0000FF"/>
              </w:rPr>
            </w:pPr>
            <w:hyperlink w:anchor="page213">
              <w:r>
                <w:rPr>
                  <w:rFonts w:ascii="Times New Roman" w:cs="Times New Roman" w:eastAsia="Times New Roman" w:hAnsi="Times New Roman"/>
                  <w:sz w:val="18"/>
                  <w:szCs w:val="18"/>
                  <w:color w:val="0000FF"/>
                </w:rPr>
                <w:t>List of subsidiaries of James River Group Holdings, Ltd.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214">
              <w:r>
                <w:rPr>
                  <w:rFonts w:ascii="Times New Roman" w:cs="Times New Roman" w:eastAsia="Times New Roman" w:hAnsi="Times New Roman"/>
                  <w:sz w:val="18"/>
                  <w:szCs w:val="18"/>
                  <w:color w:val="0000FF"/>
                  <w:w w:val="99"/>
                </w:rPr>
                <w:t>Consent of Ernst &amp; Young LLP, Independent Registered Public Accounting Firm</w:t>
              </w:r>
            </w:hyperlink>
          </w:p>
        </w:tc>
        <w:tc>
          <w:tcPr>
            <w:tcW w:w="40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215">
              <w:r>
                <w:rPr>
                  <w:rFonts w:ascii="Times New Roman" w:cs="Times New Roman" w:eastAsia="Times New Roman" w:hAnsi="Times New Roman"/>
                  <w:sz w:val="18"/>
                  <w:szCs w:val="18"/>
                  <w:color w:val="0000FF"/>
                  <w:w w:val="99"/>
                </w:rPr>
                <w:t>Principal Executive Officer Certification pursuant to Rule 13a-14(a)/15d-14(a)</w:t>
              </w:r>
            </w:hyperlink>
          </w:p>
        </w:tc>
        <w:tc>
          <w:tcPr>
            <w:tcW w:w="4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40" w:type="dxa"/>
            <w:vAlign w:val="bottom"/>
            <w:gridSpan w:val="7"/>
          </w:tcPr>
          <w:p>
            <w:pPr>
              <w:spacing w:after="0"/>
              <w:rPr>
                <w:rFonts w:ascii="Times New Roman" w:cs="Times New Roman" w:eastAsia="Times New Roman" w:hAnsi="Times New Roman"/>
                <w:sz w:val="18"/>
                <w:szCs w:val="18"/>
                <w:color w:val="0000FF"/>
              </w:rPr>
            </w:pPr>
            <w:hyperlink w:anchor="page216">
              <w:r>
                <w:rPr>
                  <w:rFonts w:ascii="Times New Roman" w:cs="Times New Roman" w:eastAsia="Times New Roman" w:hAnsi="Times New Roman"/>
                  <w:sz w:val="18"/>
                  <w:szCs w:val="18"/>
                  <w:color w:val="0000FF"/>
                </w:rPr>
                <w:t>Principal Financial Officer Certification pursuant to Rule 13a-14(a)/15d-14(a)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40" w:type="dxa"/>
            <w:vAlign w:val="bottom"/>
            <w:gridSpan w:val="7"/>
          </w:tcPr>
          <w:p>
            <w:pPr>
              <w:spacing w:after="0"/>
              <w:rPr>
                <w:rFonts w:ascii="Times New Roman" w:cs="Times New Roman" w:eastAsia="Times New Roman" w:hAnsi="Times New Roman"/>
                <w:sz w:val="18"/>
                <w:szCs w:val="18"/>
                <w:color w:val="0000FF"/>
              </w:rPr>
            </w:pPr>
            <w:hyperlink w:anchor="page217">
              <w:r>
                <w:rPr>
                  <w:rFonts w:ascii="Times New Roman" w:cs="Times New Roman" w:eastAsia="Times New Roman" w:hAnsi="Times New Roman"/>
                  <w:sz w:val="18"/>
                  <w:szCs w:val="18"/>
                  <w:color w:val="0000FF"/>
                </w:rPr>
                <w:t>Principal Executive Officer and Principal Financial Officer Certification pursuant to 18 U.S.C. Section 1350, as adopted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217">
              <w:r>
                <w:rPr>
                  <w:rFonts w:ascii="Times New Roman" w:cs="Times New Roman" w:eastAsia="Times New Roman" w:hAnsi="Times New Roman"/>
                  <w:sz w:val="18"/>
                  <w:szCs w:val="18"/>
                  <w:color w:val="0000FF"/>
                  <w:w w:val="99"/>
                </w:rPr>
                <w:t>Section 906 of the Sarbanes-Oxley Act of 2002.</w:t>
              </w:r>
            </w:hyperlink>
          </w:p>
        </w:tc>
        <w:tc>
          <w:tcPr>
            <w:tcW w:w="6040" w:type="dxa"/>
            <w:vAlign w:val="bottom"/>
            <w:tcBorders>
              <w:top w:val="single" w:sz="8" w:color="0000FF"/>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436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or arrangement.</w:t>
      </w:r>
    </w:p>
    <w:p>
      <w:pPr>
        <w:spacing w:after="0" w:line="158" w:lineRule="exact"/>
        <w:rPr>
          <w:sz w:val="20"/>
          <w:szCs w:val="20"/>
          <w:color w:val="auto"/>
        </w:rPr>
      </w:pPr>
    </w:p>
    <w:p>
      <w:pPr>
        <w:ind w:left="340" w:right="160" w:hanging="332"/>
        <w:spacing w:after="0" w:line="344"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not filed with the Securities and Exchange Commission pursuant to Item 601(b)(4)(iii) of Regulation S-K. The Company will furnish a copy to the SEC upon request.</w:t>
      </w:r>
    </w:p>
    <w:p>
      <w:pPr>
        <w:spacing w:after="0" w:line="200" w:lineRule="exact"/>
        <w:rPr>
          <w:sz w:val="20"/>
          <w:szCs w:val="20"/>
          <w:color w:val="auto"/>
        </w:rPr>
      </w:pPr>
    </w:p>
    <w:p>
      <w:pPr>
        <w:spacing w:after="0" w:line="2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60"/>
          </w:cols>
          <w:pgMar w:left="240" w:top="121" w:right="299" w:bottom="1440" w:gutter="0" w:footer="0" w:header="0"/>
        </w:sectPr>
      </w:pPr>
    </w:p>
    <w:bookmarkStart w:id="118" w:name="page119"/>
    <w:bookmarkEnd w:id="11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RIVER GROUP HOLDINGS, LTD.</w:t>
      </w:r>
    </w:p>
    <w:p>
      <w:pPr>
        <w:spacing w:after="0" w:line="63" w:lineRule="exact"/>
        <w:rPr>
          <w:sz w:val="20"/>
          <w:szCs w:val="20"/>
          <w:color w:val="auto"/>
        </w:rPr>
      </w:pPr>
    </w:p>
    <w:p>
      <w:pPr>
        <w:ind w:left="40"/>
        <w:spacing w:after="0"/>
        <w:tabs>
          <w:tab w:leader="none" w:pos="600" w:val="left"/>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 Myron</w:t>
      </w:r>
      <w:r>
        <w:rPr>
          <w:sz w:val="20"/>
          <w:szCs w:val="20"/>
          <w:color w:val="auto"/>
        </w:rPr>
        <w:tab/>
      </w:r>
      <w:r>
        <w:rPr>
          <w:rFonts w:ascii="Times New Roman" w:cs="Times New Roman" w:eastAsia="Times New Roman" w:hAnsi="Times New Roman"/>
          <w:sz w:val="17"/>
          <w:szCs w:val="17"/>
          <w:color w:val="auto"/>
        </w:rPr>
        <w:t>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33362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Robert P. Myron</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6" w:lineRule="exact"/>
        <w:rPr>
          <w:sz w:val="20"/>
          <w:szCs w:val="20"/>
          <w:color w:val="auto"/>
        </w:rPr>
      </w:pPr>
    </w:p>
    <w:p>
      <w:pPr>
        <w:ind w:right="480" w:firstLine="3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240" w:top="121" w:right="379" w:bottom="1440" w:gutter="0" w:footer="0" w:header="0"/>
        </w:sectPr>
      </w:pPr>
    </w:p>
    <w:p>
      <w:pPr>
        <w:spacing w:after="0" w:line="2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326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Robert P. Myron</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Sarah C. Doran</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Michael E.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Michael E. Crow</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4">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J.Adam Abram</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Janet Cowell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5">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Janet Cowell</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Christopher 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326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Christopher L. Harris</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Bryan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Bryan Martin</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Jerry R.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Jerry R. Masters</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Michael T.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Michael T. Oakes</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Ollie L. Sherman,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Ollie L. Sherman, Jr.</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Sundar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Sundar Srinivasan</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David Zwillinger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0326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David Zwillinger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54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7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7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Director, Non-Executive Chairman of the Board</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810"/>
        </w:trPr>
        <w:tc>
          <w:tcPr>
            <w:tcW w:w="4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91"/>
              <w:spacing w:after="0"/>
              <w:rPr>
                <w:sz w:val="20"/>
                <w:szCs w:val="20"/>
                <w:color w:val="auto"/>
              </w:rPr>
            </w:pPr>
            <w:r>
              <w:rPr>
                <w:rFonts w:ascii="Times New Roman" w:cs="Times New Roman" w:eastAsia="Times New Roman" w:hAnsi="Times New Roman"/>
                <w:sz w:val="18"/>
                <w:szCs w:val="18"/>
                <w:color w:val="auto"/>
                <w:w w:val="99"/>
              </w:rPr>
              <w:t>February 27, 2019</w:t>
            </w:r>
          </w:p>
        </w:tc>
      </w:tr>
    </w:tbl>
    <w:p>
      <w:pPr>
        <w:spacing w:after="0" w:line="456" w:lineRule="exact"/>
        <w:rPr>
          <w:sz w:val="20"/>
          <w:szCs w:val="20"/>
          <w:color w:val="auto"/>
        </w:rPr>
      </w:pPr>
    </w:p>
    <w:p>
      <w:pPr>
        <w:sectPr>
          <w:pgSz w:w="11900" w:h="16838" w:orient="portrait"/>
          <w:cols w:equalWidth="0" w:num="2">
            <w:col w:w="3280" w:space="720"/>
            <w:col w:w="7280"/>
          </w:cols>
          <w:pgMar w:left="24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80"/>
          </w:cols>
          <w:pgMar w:left="240" w:top="121" w:right="379" w:bottom="1440" w:gutter="0" w:footer="0" w:header="0"/>
          <w:type w:val="continuous"/>
        </w:sectPr>
      </w:pPr>
    </w:p>
    <w:bookmarkStart w:id="119" w:name="page120"/>
    <w:bookmarkEnd w:id="11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6"/>
        </w:trPr>
        <w:tc>
          <w:tcPr>
            <w:tcW w:w="10620" w:type="dxa"/>
            <w:vAlign w:val="bottom"/>
            <w:gridSpan w:val="21"/>
            <w:shd w:val="clear" w:color="auto" w:fill="CCEEFF"/>
          </w:tcPr>
          <w:p>
            <w:pPr>
              <w:ind w:left="40"/>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Report of Independent Registered Public Accounting Firm</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196" w:lineRule="exact"/>
              <w:rPr>
                <w:rFonts w:ascii="Times New Roman" w:cs="Times New Roman" w:eastAsia="Times New Roman" w:hAnsi="Times New Roman"/>
                <w:sz w:val="18"/>
                <w:szCs w:val="18"/>
                <w:color w:val="0000EE"/>
                <w:w w:val="95"/>
              </w:rPr>
            </w:pPr>
            <w:hyperlink w:anchor="page121">
              <w:r>
                <w:rPr>
                  <w:rFonts w:ascii="Times New Roman" w:cs="Times New Roman" w:eastAsia="Times New Roman" w:hAnsi="Times New Roman"/>
                  <w:sz w:val="18"/>
                  <w:szCs w:val="18"/>
                  <w:color w:val="0000EE"/>
                  <w:w w:val="95"/>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0620" w:type="dxa"/>
            <w:vAlign w:val="bottom"/>
            <w:gridSpan w:val="21"/>
          </w:tcPr>
          <w:p>
            <w:pPr>
              <w:ind w:left="40"/>
              <w:spacing w:after="0" w:line="202"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240" w:type="dxa"/>
            <w:vAlign w:val="bottom"/>
          </w:tcPr>
          <w:p>
            <w:pPr>
              <w:spacing w:after="0"/>
              <w:rPr>
                <w:sz w:val="17"/>
                <w:szCs w:val="17"/>
                <w:color w:val="auto"/>
              </w:rPr>
            </w:pPr>
          </w:p>
        </w:tc>
        <w:tc>
          <w:tcPr>
            <w:tcW w:w="560" w:type="dxa"/>
            <w:vAlign w:val="bottom"/>
            <w:gridSpan w:val="4"/>
          </w:tcPr>
          <w:p>
            <w:pPr>
              <w:jc w:val="center"/>
              <w:ind w:right="240"/>
              <w:spacing w:after="0" w:line="202" w:lineRule="exact"/>
              <w:rPr>
                <w:rFonts w:ascii="Times New Roman" w:cs="Times New Roman" w:eastAsia="Times New Roman" w:hAnsi="Times New Roman"/>
                <w:sz w:val="18"/>
                <w:szCs w:val="18"/>
                <w:color w:val="0000EE"/>
                <w:w w:val="95"/>
              </w:rPr>
            </w:pPr>
            <w:hyperlink w:anchor="page122">
              <w:r>
                <w:rPr>
                  <w:rFonts w:ascii="Times New Roman" w:cs="Times New Roman" w:eastAsia="Times New Roman" w:hAnsi="Times New Roman"/>
                  <w:sz w:val="18"/>
                  <w:szCs w:val="18"/>
                  <w:color w:val="0000EE"/>
                  <w:w w:val="95"/>
                </w:rPr>
                <w:t>F-3</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620" w:type="dxa"/>
            <w:vAlign w:val="bottom"/>
            <w:gridSpan w:val="2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Consolidated Balance Sheets as of December 31, 2018 and 2017</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5"/>
              </w:rPr>
            </w:pPr>
            <w:hyperlink w:anchor="page123">
              <w:r>
                <w:rPr>
                  <w:rFonts w:ascii="Times New Roman" w:cs="Times New Roman" w:eastAsia="Times New Roman" w:hAnsi="Times New Roman"/>
                  <w:sz w:val="18"/>
                  <w:szCs w:val="18"/>
                  <w:color w:val="0000EE"/>
                  <w:w w:val="95"/>
                </w:rPr>
                <w:t>F-4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0620" w:type="dxa"/>
            <w:vAlign w:val="bottom"/>
            <w:gridSpan w:val="21"/>
          </w:tcPr>
          <w:p>
            <w:pPr>
              <w:ind w:left="40"/>
              <w:spacing w:after="0" w:line="202"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Consolidated Statements of Income and Comprehensive Income for the Years Ended</w:t>
              </w:r>
            </w:hyperlink>
          </w:p>
        </w:tc>
        <w:tc>
          <w:tcPr>
            <w:tcW w:w="240" w:type="dxa"/>
            <w:vAlign w:val="bottom"/>
          </w:tcPr>
          <w:p>
            <w:pPr>
              <w:spacing w:after="0"/>
              <w:rPr>
                <w:sz w:val="17"/>
                <w:szCs w:val="17"/>
                <w:color w:val="auto"/>
              </w:rPr>
            </w:pPr>
          </w:p>
        </w:tc>
        <w:tc>
          <w:tcPr>
            <w:tcW w:w="560" w:type="dxa"/>
            <w:vAlign w:val="bottom"/>
            <w:gridSpan w:val="4"/>
          </w:tcPr>
          <w:p>
            <w:pPr>
              <w:jc w:val="center"/>
              <w:ind w:right="240"/>
              <w:spacing w:after="0" w:line="202" w:lineRule="exact"/>
              <w:rPr>
                <w:rFonts w:ascii="Times New Roman" w:cs="Times New Roman" w:eastAsia="Times New Roman" w:hAnsi="Times New Roman"/>
                <w:sz w:val="18"/>
                <w:szCs w:val="18"/>
                <w:color w:val="0000EE"/>
                <w:w w:val="95"/>
              </w:rPr>
            </w:pPr>
            <w:hyperlink w:anchor="page125">
              <w:r>
                <w:rPr>
                  <w:rFonts w:ascii="Times New Roman" w:cs="Times New Roman" w:eastAsia="Times New Roman" w:hAnsi="Times New Roman"/>
                  <w:sz w:val="18"/>
                  <w:szCs w:val="18"/>
                  <w:color w:val="0000EE"/>
                  <w:w w:val="95"/>
                </w:rPr>
                <w:t>F-6</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7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December 31, 2018, 2017 and 2016</w:t>
              </w:r>
            </w:hyperlink>
          </w:p>
        </w:tc>
        <w:tc>
          <w:tcPr>
            <w:tcW w:w="448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620" w:type="dxa"/>
            <w:vAlign w:val="bottom"/>
            <w:gridSpan w:val="2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Consolidated Statements of Changes in Shareholders’ Equity for the Years Ended</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5"/>
              </w:rPr>
            </w:pPr>
            <w:hyperlink w:anchor="page126">
              <w:r>
                <w:rPr>
                  <w:rFonts w:ascii="Times New Roman" w:cs="Times New Roman" w:eastAsia="Times New Roman" w:hAnsi="Times New Roman"/>
                  <w:sz w:val="18"/>
                  <w:szCs w:val="18"/>
                  <w:color w:val="0000EE"/>
                  <w:w w:val="95"/>
                </w:rPr>
                <w:t>F-7</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258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December 31, 2018, 2017 and 2016</w:t>
              </w:r>
            </w:hyperlink>
          </w:p>
        </w:tc>
        <w:tc>
          <w:tcPr>
            <w:tcW w:w="2960" w:type="dxa"/>
            <w:vAlign w:val="bottom"/>
            <w:tcBorders>
              <w:top w:val="single" w:sz="8" w:color="0000EE"/>
              <w:bottom w:val="single" w:sz="8" w:color="CCEEFF"/>
            </w:tcBorders>
            <w:gridSpan w:val="6"/>
            <w:shd w:val="clear" w:color="auto" w:fill="CCEEFF"/>
          </w:tcPr>
          <w:p>
            <w:pPr>
              <w:spacing w:after="0"/>
              <w:rPr>
                <w:sz w:val="21"/>
                <w:szCs w:val="21"/>
                <w:color w:val="auto"/>
              </w:rPr>
            </w:pPr>
          </w:p>
        </w:tc>
        <w:tc>
          <w:tcPr>
            <w:tcW w:w="472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620" w:type="dxa"/>
            <w:vAlign w:val="bottom"/>
            <w:gridSpan w:val="21"/>
          </w:tcPr>
          <w:p>
            <w:pPr>
              <w:ind w:left="40"/>
              <w:spacing w:after="0" w:line="202"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240" w:type="dxa"/>
            <w:vAlign w:val="bottom"/>
          </w:tcPr>
          <w:p>
            <w:pPr>
              <w:spacing w:after="0"/>
              <w:rPr>
                <w:sz w:val="17"/>
                <w:szCs w:val="17"/>
                <w:color w:val="auto"/>
              </w:rPr>
            </w:pPr>
          </w:p>
        </w:tc>
        <w:tc>
          <w:tcPr>
            <w:tcW w:w="560" w:type="dxa"/>
            <w:vAlign w:val="bottom"/>
            <w:gridSpan w:val="4"/>
          </w:tcPr>
          <w:p>
            <w:pPr>
              <w:jc w:val="center"/>
              <w:ind w:right="240"/>
              <w:spacing w:after="0" w:line="202" w:lineRule="exact"/>
              <w:rPr>
                <w:rFonts w:ascii="Times New Roman" w:cs="Times New Roman" w:eastAsia="Times New Roman" w:hAnsi="Times New Roman"/>
                <w:sz w:val="18"/>
                <w:szCs w:val="18"/>
                <w:color w:val="0000EE"/>
                <w:w w:val="95"/>
              </w:rPr>
            </w:pPr>
            <w:hyperlink w:anchor="page127">
              <w:r>
                <w:rPr>
                  <w:rFonts w:ascii="Times New Roman" w:cs="Times New Roman" w:eastAsia="Times New Roman" w:hAnsi="Times New Roman"/>
                  <w:sz w:val="18"/>
                  <w:szCs w:val="18"/>
                  <w:color w:val="0000EE"/>
                  <w:w w:val="95"/>
                </w:rPr>
                <w:t>F-8</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620" w:type="dxa"/>
            <w:vAlign w:val="bottom"/>
            <w:gridSpan w:val="2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Notes to Consolidated Financial Statements for the Years Ended December 31, 2018, 2017 and 2016</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202" w:lineRule="exact"/>
              <w:rPr>
                <w:rFonts w:ascii="Times New Roman" w:cs="Times New Roman" w:eastAsia="Times New Roman" w:hAnsi="Times New Roman"/>
                <w:sz w:val="18"/>
                <w:szCs w:val="18"/>
                <w:color w:val="0000EE"/>
                <w:w w:val="95"/>
              </w:rPr>
            </w:pPr>
            <w:hyperlink w:anchor="page129">
              <w:r>
                <w:rPr>
                  <w:rFonts w:ascii="Times New Roman" w:cs="Times New Roman" w:eastAsia="Times New Roman" w:hAnsi="Times New Roman"/>
                  <w:sz w:val="18"/>
                  <w:szCs w:val="18"/>
                  <w:color w:val="0000EE"/>
                  <w:w w:val="95"/>
                </w:rPr>
                <w:t>F-9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gridSpan w:val="6"/>
          </w:tcPr>
          <w:p>
            <w:pPr>
              <w:ind w:left="40"/>
              <w:spacing w:after="0" w:line="202"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Schedule I</w:t>
              </w:r>
            </w:hyperlink>
          </w:p>
        </w:tc>
        <w:tc>
          <w:tcPr>
            <w:tcW w:w="9400" w:type="dxa"/>
            <w:vAlign w:val="bottom"/>
            <w:gridSpan w:val="15"/>
          </w:tcPr>
          <w:p>
            <w:pPr>
              <w:ind w:left="300"/>
              <w:spacing w:after="0" w:line="202"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Summary of Investments</w:t>
              </w:r>
            </w:hyperlink>
          </w:p>
        </w:tc>
        <w:tc>
          <w:tcPr>
            <w:tcW w:w="800" w:type="dxa"/>
            <w:vAlign w:val="bottom"/>
            <w:gridSpan w:val="5"/>
          </w:tcPr>
          <w:p>
            <w:pPr>
              <w:jc w:val="center"/>
              <w:spacing w:after="0" w:line="202" w:lineRule="exact"/>
              <w:rPr>
                <w:rFonts w:ascii="Times New Roman" w:cs="Times New Roman" w:eastAsia="Times New Roman" w:hAnsi="Times New Roman"/>
                <w:sz w:val="18"/>
                <w:szCs w:val="18"/>
                <w:color w:val="0000EE"/>
                <w:w w:val="99"/>
              </w:rPr>
            </w:pPr>
            <w:hyperlink w:anchor="page173">
              <w:r>
                <w:rPr>
                  <w:rFonts w:ascii="Times New Roman" w:cs="Times New Roman" w:eastAsia="Times New Roman" w:hAnsi="Times New Roman"/>
                  <w:sz w:val="18"/>
                  <w:szCs w:val="18"/>
                  <w:color w:val="0000EE"/>
                  <w:w w:val="99"/>
                </w:rPr>
                <w:t>F-53</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22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Schedule II</w:t>
              </w:r>
            </w:hyperlink>
          </w:p>
        </w:tc>
        <w:tc>
          <w:tcPr>
            <w:tcW w:w="9400" w:type="dxa"/>
            <w:vAlign w:val="bottom"/>
            <w:gridSpan w:val="15"/>
            <w:shd w:val="clear" w:color="auto" w:fill="CCEEFF"/>
          </w:tcPr>
          <w:p>
            <w:pPr>
              <w:ind w:left="300"/>
              <w:spacing w:after="0" w:line="202" w:lineRule="exact"/>
              <w:rPr>
                <w:rFonts w:ascii="Times New Roman" w:cs="Times New Roman" w:eastAsia="Times New Roman" w:hAnsi="Times New Roman"/>
                <w:sz w:val="18"/>
                <w:szCs w:val="18"/>
                <w:color w:val="0000EE"/>
              </w:rPr>
            </w:pPr>
            <w:hyperlink w:anchor="page174">
              <w:r>
                <w:rPr>
                  <w:rFonts w:ascii="Times New Roman" w:cs="Times New Roman" w:eastAsia="Times New Roman" w:hAnsi="Times New Roman"/>
                  <w:sz w:val="18"/>
                  <w:szCs w:val="18"/>
                  <w:color w:val="0000EE"/>
                </w:rPr>
                <w:t>Condensed Financial Information of Registrant</w:t>
              </w:r>
            </w:hyperlink>
          </w:p>
        </w:tc>
        <w:tc>
          <w:tcPr>
            <w:tcW w:w="80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174">
              <w:r>
                <w:rPr>
                  <w:rFonts w:ascii="Times New Roman" w:cs="Times New Roman" w:eastAsia="Times New Roman" w:hAnsi="Times New Roman"/>
                  <w:sz w:val="18"/>
                  <w:szCs w:val="18"/>
                  <w:color w:val="0000EE"/>
                  <w:w w:val="99"/>
                </w:rPr>
                <w:t>F-54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gridSpan w:val="6"/>
          </w:tcPr>
          <w:p>
            <w:pPr>
              <w:ind w:left="40"/>
              <w:spacing w:after="0" w:line="202"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Schedule III</w:t>
              </w:r>
            </w:hyperlink>
          </w:p>
        </w:tc>
        <w:tc>
          <w:tcPr>
            <w:tcW w:w="9400" w:type="dxa"/>
            <w:vAlign w:val="bottom"/>
            <w:gridSpan w:val="15"/>
          </w:tcPr>
          <w:p>
            <w:pPr>
              <w:ind w:left="300"/>
              <w:spacing w:after="0" w:line="202"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Supplementary Insurance Information</w:t>
              </w:r>
            </w:hyperlink>
          </w:p>
        </w:tc>
        <w:tc>
          <w:tcPr>
            <w:tcW w:w="800" w:type="dxa"/>
            <w:vAlign w:val="bottom"/>
            <w:gridSpan w:val="5"/>
          </w:tcPr>
          <w:p>
            <w:pPr>
              <w:jc w:val="center"/>
              <w:spacing w:after="0" w:line="202" w:lineRule="exact"/>
              <w:rPr>
                <w:rFonts w:ascii="Times New Roman" w:cs="Times New Roman" w:eastAsia="Times New Roman" w:hAnsi="Times New Roman"/>
                <w:sz w:val="18"/>
                <w:szCs w:val="18"/>
                <w:color w:val="0000EE"/>
                <w:w w:val="99"/>
              </w:rPr>
            </w:pPr>
            <w:hyperlink w:anchor="page178">
              <w:r>
                <w:rPr>
                  <w:rFonts w:ascii="Times New Roman" w:cs="Times New Roman" w:eastAsia="Times New Roman" w:hAnsi="Times New Roman"/>
                  <w:sz w:val="18"/>
                  <w:szCs w:val="18"/>
                  <w:color w:val="0000EE"/>
                  <w:w w:val="99"/>
                </w:rPr>
                <w:t>F-58</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22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Schedule IV</w:t>
              </w:r>
            </w:hyperlink>
          </w:p>
        </w:tc>
        <w:tc>
          <w:tcPr>
            <w:tcW w:w="9400" w:type="dxa"/>
            <w:vAlign w:val="bottom"/>
            <w:gridSpan w:val="15"/>
            <w:shd w:val="clear" w:color="auto" w:fill="CCEEFF"/>
          </w:tcPr>
          <w:p>
            <w:pPr>
              <w:ind w:left="300"/>
              <w:spacing w:after="0" w:line="202"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Reinsurance</w:t>
              </w:r>
            </w:hyperlink>
          </w:p>
        </w:tc>
        <w:tc>
          <w:tcPr>
            <w:tcW w:w="80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179">
              <w:r>
                <w:rPr>
                  <w:rFonts w:ascii="Times New Roman" w:cs="Times New Roman" w:eastAsia="Times New Roman" w:hAnsi="Times New Roman"/>
                  <w:sz w:val="18"/>
                  <w:szCs w:val="18"/>
                  <w:color w:val="0000EE"/>
                  <w:w w:val="99"/>
                </w:rPr>
                <w:t>F-59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gridSpan w:val="6"/>
          </w:tcPr>
          <w:p>
            <w:pPr>
              <w:ind w:left="40"/>
              <w:spacing w:after="0" w:line="202"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Schedule V</w:t>
              </w:r>
            </w:hyperlink>
          </w:p>
        </w:tc>
        <w:tc>
          <w:tcPr>
            <w:tcW w:w="9400" w:type="dxa"/>
            <w:vAlign w:val="bottom"/>
            <w:gridSpan w:val="15"/>
          </w:tcPr>
          <w:p>
            <w:pPr>
              <w:ind w:left="300"/>
              <w:spacing w:after="0" w:line="202"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Valuation and Qualifying Accounts</w:t>
              </w:r>
            </w:hyperlink>
          </w:p>
        </w:tc>
        <w:tc>
          <w:tcPr>
            <w:tcW w:w="800" w:type="dxa"/>
            <w:vAlign w:val="bottom"/>
            <w:gridSpan w:val="5"/>
          </w:tcPr>
          <w:p>
            <w:pPr>
              <w:jc w:val="center"/>
              <w:spacing w:after="0" w:line="202" w:lineRule="exact"/>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F-60</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1220" w:type="dxa"/>
            <w:vAlign w:val="bottom"/>
            <w:gridSpan w:val="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Schedule VI</w:t>
              </w:r>
            </w:hyperlink>
          </w:p>
        </w:tc>
        <w:tc>
          <w:tcPr>
            <w:tcW w:w="9400" w:type="dxa"/>
            <w:vAlign w:val="bottom"/>
            <w:gridSpan w:val="15"/>
            <w:shd w:val="clear" w:color="auto" w:fill="CCEEFF"/>
          </w:tcPr>
          <w:p>
            <w:pPr>
              <w:ind w:left="300"/>
              <w:spacing w:after="0" w:line="202" w:lineRule="exact"/>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Supplementary Information Concerning Property Casualty Insurance Operations</w:t>
              </w:r>
            </w:hyperlink>
          </w:p>
        </w:tc>
        <w:tc>
          <w:tcPr>
            <w:tcW w:w="800" w:type="dxa"/>
            <w:vAlign w:val="bottom"/>
            <w:gridSpan w:val="5"/>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181">
              <w:r>
                <w:rPr>
                  <w:rFonts w:ascii="Times New Roman" w:cs="Times New Roman" w:eastAsia="Times New Roman" w:hAnsi="Times New Roman"/>
                  <w:sz w:val="18"/>
                  <w:szCs w:val="18"/>
                  <w:color w:val="0000EE"/>
                  <w:w w:val="99"/>
                </w:rPr>
                <w:t>F-61</w:t>
              </w:r>
            </w:hyperlink>
          </w:p>
        </w:tc>
      </w:tr>
      <w:tr>
        <w:trPr>
          <w:trHeight w:val="675"/>
        </w:trPr>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0" w:type="dxa"/>
            <w:vAlign w:val="bottom"/>
            <w:tcBorders>
              <w:top w:val="single" w:sz="8" w:color="0000EE"/>
            </w:tcBorders>
            <w:gridSpan w:val="5"/>
          </w:tcPr>
          <w:p>
            <w:pPr>
              <w:ind w:left="660"/>
              <w:spacing w:after="0"/>
              <w:rPr>
                <w:sz w:val="20"/>
                <w:szCs w:val="20"/>
                <w:color w:val="auto"/>
              </w:rPr>
            </w:pPr>
            <w:r>
              <w:rPr>
                <w:rFonts w:ascii="Times New Roman" w:cs="Times New Roman" w:eastAsia="Times New Roman" w:hAnsi="Times New Roman"/>
                <w:sz w:val="18"/>
                <w:szCs w:val="18"/>
                <w:color w:val="auto"/>
              </w:rPr>
              <w:t>F-1</w:t>
            </w:r>
          </w:p>
        </w:tc>
        <w:tc>
          <w:tcPr>
            <w:tcW w:w="3300" w:type="dxa"/>
            <w:vAlign w:val="bottom"/>
            <w:tcBorders>
              <w:top w:val="single" w:sz="8" w:color="CCEEFF"/>
            </w:tcBorders>
            <w:gridSpan w:val="2"/>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River Group Holdings,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James River Group Holdings, Ltd. and subsidiaries (the Company) as of December 31, 2018 and 2017, the related consolidated statements of income and comprehensive income, changes in shareholders’ equity and cash flows for each of the three years in the period ended December 31, 2018, and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27, 2019,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River Group Holdings,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audited James River Group Holdings, Ltd. and subsidiaries’ internal control over financial reporting as of December 31, 2018, based on criteria established in Internal Control - 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2018, based on the COSO criteria.</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income and comprehensive income, changes in shareholders’ equity and cash flows for each of the three years in the period ended December 31, 2018, and related notes and financial statement schedules listed in the Index at Item 15(a) and our report dated February 27, 2019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Invested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at fair value (amortized cost: 2018 – $1,199,409; 2017 – $1,008,662)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1,184,202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1,016,098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Trading, at fair value (amortized cost: 2018 – $0; 2017 – $3,801)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3,808</w:t>
            </w:r>
          </w:p>
        </w:tc>
      </w:tr>
      <w:tr>
        <w:trPr>
          <w:trHeight w:val="243"/>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 at fair value (cost: 2018 – $77,152; 2017 – $75,318)</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82,522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 loan participations held-for-investment, at amortized cost, net of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260,972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238,214</w:t>
            </w:r>
          </w:p>
        </w:tc>
      </w:tr>
      <w:tr>
        <w:trPr>
          <w:trHeight w:val="243"/>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81,966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invested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70,208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invested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1,677,846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1,447,654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172,457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163,495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307,899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352,436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467,371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302,524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11,292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112,498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91,979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54,450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72,365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94,379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83,598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3,136,776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2,756,695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22" w:right="239" w:bottom="1440" w:gutter="0" w:footer="0" w:header="0"/>
        </w:sectPr>
      </w:pPr>
    </w:p>
    <w:bookmarkStart w:id="123" w:name="page124"/>
    <w:bookmarkEnd w:id="12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1"/>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r>
      <w:tr>
        <w:trPr>
          <w:trHeight w:val="25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1,661,459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1,292,349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386,473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418,114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Payables to reinsurers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56,268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118,300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98,300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104,055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51,792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39,295</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41,879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48,368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2,427,535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2,061,996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 $0.0002 par value; 200,000,000 shares authorized. 2018 and 2017: 29,988,460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29,696,682 shares issued and outstanding, respectively</w:t>
            </w:r>
          </w:p>
        </w:tc>
        <w:tc>
          <w:tcPr>
            <w:tcW w:w="2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 2018 and 2017: $0.00125 par value; 20,000,000 shares authorized; no shares issued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645,310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636,149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79,753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48,198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10,346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709,241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694,699</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3,136,776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2,756,695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6"/>
          </w:tcPr>
          <w:p>
            <w:pPr>
              <w:jc w:val="center"/>
              <w:ind w:left="63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1,166,773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737,398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Ceded written premiums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762,672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766,626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557,708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741,109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515,663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61,119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52,638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885,599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817,625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586,227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555,377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325,421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196,993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170,828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814,761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762,480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506,884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79,343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4,872</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63,830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43,566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74,471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(losses) income: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unrealized (losses) gains, net of taxes of $(444) in 2018, $2,707 in 2017, and $(1,723) 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41,627</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declared per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29,887,990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29,461,717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29,063,075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30,307,101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30,273,149</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29,894,378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2015</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28,941,547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630,820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47,026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681,038</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74,471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74,471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 and related excess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benefits</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260,672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Vesting of RSUs and related excess 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benefits</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55,347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plans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5,492</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2016</w:t>
            </w:r>
          </w:p>
        </w:tc>
        <w:tc>
          <w:tcPr>
            <w:tcW w:w="12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29,257,566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636,856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55,232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693,221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43,566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9,219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(50,600)</w:t>
            </w: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 and related excess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benefits</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358,967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Vesting of RSUs and related excess tax</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benefits</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80,149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plans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7,688</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2017</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29,696,682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636,149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694,699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63,830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63,830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Vesting of RSUs</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54,459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plans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6,228</w:t>
            </w: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Cumulative effect of adoption of ASU No.</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2016-01, net of taxes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Cumulative effect of adoption of ASU No.</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2018-02</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at December 31, 2018</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29,988,460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645,310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79,753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709,241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121" w:right="239" w:bottom="1440" w:gutter="0" w:footer="0" w:header="0"/>
        </w:sectPr>
      </w:pPr>
    </w:p>
    <w:bookmarkStart w:id="126" w:name="page127"/>
    <w:bookmarkEnd w:id="126"/>
    <w:p>
      <w:pPr>
        <w:spacing w:after="0" w:line="32" w:lineRule="exact"/>
        <w:rPr>
          <w:sz w:val="20"/>
          <w:szCs w:val="20"/>
          <w:color w:val="auto"/>
        </w:rPr>
      </w:pPr>
    </w:p>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63,830</w:t>
            </w: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43,566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74,471</w:t>
            </w: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policy acquisition costs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(105,659)</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policy acquisition costs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111,103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116,001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101,624</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realized investment losses (gains)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from equity method investments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7,499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3,467</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(8,743)</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Trading securities purchases, sales, and maturities,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U.S. federal income tax (benefit) expense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5,093</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depreciation and amortization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2,414</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 expense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5,492</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Excess tax benefits from equity incentive plan transactions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3,191</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Reserve for losses and loss adjustment 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369,110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348,484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158,543</w:t>
            </w: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Unearned premiums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89,459</w:t>
            </w: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Premiums receivable and agents’ balances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44,537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(88,630)</w:t>
            </w:r>
          </w:p>
        </w:tc>
      </w:tr>
      <w:tr>
        <w:trPr>
          <w:trHeight w:val="265"/>
        </w:trPr>
        <w:tc>
          <w:tcPr>
            <w:tcW w:w="6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Reinsurance balances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(68,497)</w:t>
            </w:r>
          </w:p>
        </w:tc>
      </w:tr>
      <w:tr>
        <w:trPr>
          <w:trHeight w:val="27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Payable to insurance companies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265"/>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(9,361)</w:t>
            </w:r>
          </w:p>
        </w:tc>
      </w:tr>
      <w:tr>
        <w:trPr>
          <w:trHeight w:val="25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290,028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207,816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154,349</w:t>
            </w: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 fixed maturity securities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(300,135)</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 fixed maturity securities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95,793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110,124</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Maturities and calls – fixed maturity securities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129,139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121,890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135,472</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 equity securities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 equity securities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14,850</w:t>
            </w: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Bank loan participations: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(156,638)</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123,114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138,214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51,077</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Maturities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58,742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97,097</w:t>
            </w: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invested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r>
      <w:tr>
        <w:trPr>
          <w:trHeight w:val="27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of capital</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Maturities and repayments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6,500</w:t>
            </w: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Securities receivable or payable,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1,018</w:t>
            </w: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Short-term investments,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(31,574)</w:t>
            </w:r>
          </w:p>
        </w:tc>
      </w:tr>
      <w:tr>
        <w:trPr>
          <w:trHeight w:val="27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r>
      <w:tr>
        <w:trPr>
          <w:trHeight w:val="250"/>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(80,764)</w:t>
            </w: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debt issuances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paid</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(65,988)</w:t>
            </w:r>
          </w:p>
        </w:tc>
      </w:tr>
      <w:tr>
        <w:trPr>
          <w:trHeight w:val="265"/>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Issuances of common shares under equity incentive plans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2,260</w:t>
            </w:r>
          </w:p>
        </w:tc>
      </w:tr>
      <w:tr>
        <w:trPr>
          <w:trHeight w:val="27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 repurchases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r>
      <w:tr>
        <w:trPr>
          <w:trHeight w:val="265"/>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w:t>
            </w:r>
          </w:p>
        </w:tc>
      </w:tr>
      <w:tr>
        <w:trPr>
          <w:trHeight w:val="25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(70,207)</w:t>
            </w:r>
          </w:p>
        </w:tc>
      </w:tr>
      <w:tr>
        <w:trPr>
          <w:trHeight w:val="250"/>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3,378</w:t>
            </w:r>
          </w:p>
        </w:tc>
      </w:tr>
      <w:tr>
        <w:trPr>
          <w:trHeight w:val="27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163,495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109,784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106,406</w:t>
            </w:r>
          </w:p>
        </w:tc>
      </w:tr>
      <w:tr>
        <w:trPr>
          <w:trHeight w:val="282"/>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172,457</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163,495</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109,784</w:t>
            </w:r>
          </w:p>
        </w:tc>
      </w:tr>
      <w:tr>
        <w:trPr>
          <w:trHeight w:val="251"/>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taxes paid (refunded), net</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8,174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9,848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1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paid</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11,269</w:t>
            </w: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ectPr>
          <w:pgSz w:w="11900" w:h="16870" w:orient="portrait"/>
          <w:cols w:equalWidth="0" w:num="1">
            <w:col w:w="11420"/>
          </w:cols>
          <w:pgMar w:left="240" w:top="122" w:right="239" w:bottom="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9019"/>
          </w:cols>
          <w:pgMar w:left="1440" w:top="119"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9019"/>
          </w:cols>
          <w:pgMar w:left="1440" w:top="119" w:right="1440" w:bottom="1440" w:gutter="0" w:footer="0" w:header="0"/>
          <w:type w:val="continuous"/>
        </w:sectPr>
      </w:pPr>
    </w:p>
    <w:bookmarkStart w:id="128" w:name="page129"/>
    <w:bookmarkEnd w:id="12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00" w:lineRule="exact"/>
        <w:rPr>
          <w:sz w:val="20"/>
          <w:szCs w:val="20"/>
          <w:color w:val="auto"/>
        </w:rPr>
      </w:pPr>
    </w:p>
    <w:p>
      <w:pPr>
        <w:spacing w:after="0" w:line="286" w:lineRule="exact"/>
        <w:rPr>
          <w:sz w:val="20"/>
          <w:szCs w:val="20"/>
          <w:color w:val="auto"/>
        </w:rPr>
      </w:pPr>
    </w:p>
    <w:p>
      <w:pPr>
        <w:ind w:right="9540" w:firstLine="8"/>
        <w:spacing w:after="0" w:line="385" w:lineRule="auto"/>
        <w:tabs>
          <w:tab w:leader="none" w:pos="3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spacing w:after="0" w:line="2" w:lineRule="exact"/>
        <w:rPr>
          <w:sz w:val="20"/>
          <w:szCs w:val="20"/>
          <w:color w:val="auto"/>
        </w:rPr>
      </w:pPr>
    </w:p>
    <w:p>
      <w:pPr>
        <w:ind w:right="100" w:firstLine="351"/>
        <w:spacing w:after="0" w:line="282"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54" w:lineRule="exact"/>
        <w:rPr>
          <w:sz w:val="20"/>
          <w:szCs w:val="20"/>
          <w:color w:val="auto"/>
        </w:rPr>
      </w:pPr>
    </w:p>
    <w:p>
      <w:pPr>
        <w:ind w:right="580" w:firstLine="351"/>
        <w:spacing w:after="0" w:line="282" w:lineRule="auto"/>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and two Bermuda-based reinsurance companies as described below:</w:t>
      </w:r>
    </w:p>
    <w:p>
      <w:pPr>
        <w:spacing w:after="0" w:line="81" w:lineRule="exact"/>
        <w:rPr>
          <w:sz w:val="20"/>
          <w:szCs w:val="20"/>
          <w:color w:val="auto"/>
        </w:rPr>
      </w:pPr>
    </w:p>
    <w:p>
      <w:pPr>
        <w:ind w:left="660" w:right="200" w:hanging="328"/>
        <w:spacing w:after="0" w:line="379"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River Group Holdings UK Limited (“James River UK”) is an insurance holding company formed in 2015 in the United Kingdom (“U.K.”). The Company contributed James River Group, Inc. (“James River Group”), a U.S. insurance holding company, to James River UK in 2015.</w:t>
      </w:r>
    </w:p>
    <w:p>
      <w:pPr>
        <w:spacing w:after="0" w:line="17" w:lineRule="exact"/>
        <w:rPr>
          <w:rFonts w:ascii="Times New Roman" w:cs="Times New Roman" w:eastAsia="Times New Roman" w:hAnsi="Times New Roman"/>
          <w:sz w:val="17"/>
          <w:szCs w:val="17"/>
          <w:color w:val="auto"/>
        </w:rPr>
      </w:pPr>
    </w:p>
    <w:p>
      <w:pPr>
        <w:ind w:left="660" w:right="80" w:hanging="328"/>
        <w:spacing w:after="0" w:line="32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60" w:lineRule="exact"/>
        <w:rPr>
          <w:rFonts w:ascii="Times New Roman" w:cs="Times New Roman" w:eastAsia="Times New Roman" w:hAnsi="Times New Roman"/>
          <w:sz w:val="18"/>
          <w:szCs w:val="18"/>
          <w:color w:val="auto"/>
        </w:rPr>
      </w:pPr>
    </w:p>
    <w:p>
      <w:pPr>
        <w:ind w:left="660" w:right="100" w:hanging="328"/>
        <w:spacing w:after="0" w:line="344"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spacing w:after="0" w:line="4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began writing specialty admitted fronting and program business in late 2013. Falls Lake Fire and Casualty Company began operations in 2016.</w:t>
      </w:r>
    </w:p>
    <w:p>
      <w:pPr>
        <w:spacing w:after="0" w:line="41" w:lineRule="exact"/>
        <w:rPr>
          <w:rFonts w:ascii="Times New Roman" w:cs="Times New Roman" w:eastAsia="Times New Roman" w:hAnsi="Times New Roman"/>
          <w:sz w:val="18"/>
          <w:szCs w:val="18"/>
          <w:color w:val="auto"/>
        </w:rPr>
      </w:pPr>
    </w:p>
    <w:p>
      <w:pPr>
        <w:ind w:left="660" w:right="360" w:hanging="328"/>
        <w:spacing w:after="0" w:line="313" w:lineRule="auto"/>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JRG Reinsurance Company, Ltd. (“JRG Re”) was formed in 2007 and commenced operations in 2008. JRG Re, a Bermuda domiciled reinsurer, primarily provides non-catastrophe casualty reinsurance to U.S. third parties and to the Company’s U.S.-based insurance subsidiaries.</w:t>
      </w:r>
    </w:p>
    <w:p>
      <w:pPr>
        <w:spacing w:after="0" w:line="57" w:lineRule="exact"/>
        <w:rPr>
          <w:rFonts w:ascii="Times New Roman" w:cs="Times New Roman" w:eastAsia="Times New Roman" w:hAnsi="Times New Roman"/>
          <w:sz w:val="17"/>
          <w:szCs w:val="17"/>
          <w:color w:val="auto"/>
        </w:rPr>
      </w:pPr>
    </w:p>
    <w:p>
      <w:pPr>
        <w:ind w:left="660" w:right="180" w:hanging="328"/>
        <w:spacing w:after="0" w:line="344"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Carolina Re Ltd ("Carolina Re") was formed in 2018 and provides reinsurance to the Company's U.S.-based insurance subsidiaries. Carolina Re is also the cedent on a stop loss reinsurance treaty with JRG 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21"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and Equity Securities</w:t>
      </w:r>
    </w:p>
    <w:p>
      <w:pPr>
        <w:spacing w:after="0" w:line="121"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Fixed maturity securities classified as “available-for-sale” are carried at fair value, and unrealized gains and losses on such securities, net of any deferred taxes, are reported as a separate component of accumulated other comprehensive income. Fixed maturity securities purchased for short-term resale are classified as “trading” and are carried at fair value with unrealized gains and losses included in earnings as a component of net investment income. The Company does not have any securities classified as “held-to-maturity”.</w:t>
      </w:r>
    </w:p>
    <w:p>
      <w:pPr>
        <w:spacing w:after="0" w:line="72"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Fair value generally represents quoted market value prices for securities traded in the public marketplace or prices analytically determined using bid or closing prices for securities not traded in the public marketplace.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80"/>
          </w:cols>
          <w:pgMar w:left="240" w:top="121" w:right="279" w:bottom="1440" w:gutter="0" w:footer="0" w:header="0"/>
        </w:sectPr>
      </w:pPr>
    </w:p>
    <w:bookmarkStart w:id="129" w:name="page130"/>
    <w:bookmarkEnd w:id="12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180" w:firstLine="351"/>
        <w:spacing w:after="0" w:line="266" w:lineRule="auto"/>
        <w:rPr>
          <w:sz w:val="20"/>
          <w:szCs w:val="20"/>
          <w:color w:val="auto"/>
        </w:rPr>
      </w:pPr>
      <w:r>
        <w:rPr>
          <w:rFonts w:ascii="Times New Roman" w:cs="Times New Roman" w:eastAsia="Times New Roman" w:hAnsi="Times New Roman"/>
          <w:sz w:val="18"/>
          <w:szCs w:val="18"/>
          <w:color w:val="auto"/>
        </w:rPr>
        <w:t>Premiums and discounts on mortgage-backed securities and asset-backed securities are amortized or accrued using the constant yield method which considers anticipated prepayments at the date of purchase. To the extent that the estimated lives of such securities change as a result of changes in estimated prepayment rates, the adjustments are included in net investment income using the retrospective method.</w:t>
      </w:r>
    </w:p>
    <w:p>
      <w:pPr>
        <w:spacing w:after="0" w:line="68" w:lineRule="exact"/>
        <w:rPr>
          <w:sz w:val="20"/>
          <w:szCs w:val="20"/>
          <w:color w:val="auto"/>
        </w:rPr>
      </w:pPr>
    </w:p>
    <w:p>
      <w:pPr>
        <w:ind w:right="320" w:firstLine="351"/>
        <w:spacing w:after="0" w:line="282" w:lineRule="auto"/>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 Interest income is recognized as earned, and dividend income is recognized on the ex-dividend date.</w:t>
      </w:r>
    </w:p>
    <w:p>
      <w:pPr>
        <w:spacing w:after="0" w:line="54"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The Company evaluates its available-for-sale fixed maturity securities regularly to determine whether there are declines in value that are other-than-temporary. The Company’s outside investment managers assist the Company in this evaluation. When the Company determines that a security has experienced an other-than-temporary impairment, the impairment loss is recognized as a realized investment loss. The factors that the Company considers in evaluating whether such an other-than-temporary impairment has occurred include the amount and percentage that fair value is below amortized cost and the length of time that fair value has been below amortized cost. In addition, the Company considers the credit quality rating of the security, with a special emphasis on securities downgraded below investment grade. Management does not intend to sell available-for-sale fixed maturity securities in an unrealized loss position, and it is not “more likely than not” that the Company will be required to sell these securities before a recovery in fair value to their amortized cost basis occurs.</w:t>
      </w:r>
    </w:p>
    <w:p>
      <w:pPr>
        <w:spacing w:after="0" w:line="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2018, with the adoption of ASU 2016-01, </w:t>
      </w:r>
      <w:r>
        <w:rPr>
          <w:rFonts w:ascii="Times New Roman" w:cs="Times New Roman" w:eastAsia="Times New Roman" w:hAnsi="Times New Roman"/>
          <w:sz w:val="18"/>
          <w:szCs w:val="18"/>
          <w:i w:val="1"/>
          <w:iCs w:val="1"/>
          <w:color w:val="auto"/>
        </w:rPr>
        <w:t>Financial Instruments - Overall (Subtopic 825-10): Recognition and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 and Financial Liabilities</w:t>
      </w:r>
      <w:r>
        <w:rPr>
          <w:rFonts w:ascii="Times New Roman" w:cs="Times New Roman" w:eastAsia="Times New Roman" w:hAnsi="Times New Roman"/>
          <w:sz w:val="18"/>
          <w:szCs w:val="18"/>
          <w:color w:val="auto"/>
        </w:rPr>
        <w:t>, equity securities (except those accounted for under the equity method of accounting or those that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of the investee) are measured at fair value with changes in fair value recognized in net investment income. Prior to the adoption of ASU 2016-01, changes in the fair value of equity securities were recognized net of taxes as a component of accumulated other comprehensive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Loan Participations Held-for-Investment and Allowance for Credit Losses</w:t>
      </w:r>
    </w:p>
    <w:p>
      <w:pPr>
        <w:spacing w:after="0" w:line="121" w:lineRule="exact"/>
        <w:rPr>
          <w:sz w:val="20"/>
          <w:szCs w:val="20"/>
          <w:color w:val="auto"/>
        </w:rPr>
      </w:pPr>
    </w:p>
    <w:p>
      <w:pPr>
        <w:jc w:val="both"/>
        <w:ind w:right="420" w:firstLine="351"/>
        <w:spacing w:after="0" w:line="266" w:lineRule="auto"/>
        <w:rPr>
          <w:sz w:val="20"/>
          <w:szCs w:val="20"/>
          <w:color w:val="auto"/>
        </w:rPr>
      </w:pPr>
      <w:r>
        <w:rPr>
          <w:rFonts w:ascii="Times New Roman" w:cs="Times New Roman" w:eastAsia="Times New Roman" w:hAnsi="Times New Roman"/>
          <w:sz w:val="18"/>
          <w:szCs w:val="18"/>
          <w:color w:val="auto"/>
        </w:rPr>
        <w:t>Bank loan participations held-for-investment are managed by a specialized outside investment manager and are generally stated at their outstanding unpaid principal balances net of unamortized premiums or discounts and net of any allowance for credit losses. Interest income is accrued on the unpaid principal balance. Discounts and premiums are amortized to income using the interest method.</w:t>
      </w:r>
    </w:p>
    <w:p>
      <w:pPr>
        <w:spacing w:after="0" w:line="68" w:lineRule="exact"/>
        <w:rPr>
          <w:sz w:val="20"/>
          <w:szCs w:val="20"/>
          <w:color w:val="auto"/>
        </w:rPr>
      </w:pPr>
    </w:p>
    <w:p>
      <w:pPr>
        <w:jc w:val="both"/>
        <w:ind w:right="140" w:firstLine="351"/>
        <w:spacing w:after="0" w:line="261" w:lineRule="auto"/>
        <w:rPr>
          <w:sz w:val="20"/>
          <w:szCs w:val="20"/>
          <w:color w:val="auto"/>
        </w:rPr>
      </w:pPr>
      <w:r>
        <w:rPr>
          <w:rFonts w:ascii="Times New Roman" w:cs="Times New Roman" w:eastAsia="Times New Roman" w:hAnsi="Times New Roman"/>
          <w:sz w:val="18"/>
          <w:szCs w:val="18"/>
          <w:color w:val="auto"/>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2018 or 2017.</w:t>
      </w:r>
    </w:p>
    <w:p>
      <w:pPr>
        <w:spacing w:after="0" w:line="99" w:lineRule="exact"/>
        <w:rPr>
          <w:sz w:val="20"/>
          <w:szCs w:val="20"/>
          <w:color w:val="auto"/>
        </w:rPr>
      </w:pPr>
    </w:p>
    <w:p>
      <w:pPr>
        <w:ind w:right="20" w:firstLine="351"/>
        <w:spacing w:after="0" w:line="344" w:lineRule="auto"/>
        <w:rPr>
          <w:sz w:val="20"/>
          <w:szCs w:val="20"/>
          <w:color w:val="auto"/>
        </w:rPr>
      </w:pPr>
      <w:r>
        <w:rPr>
          <w:rFonts w:ascii="Times New Roman" w:cs="Times New Roman" w:eastAsia="Times New Roman" w:hAnsi="Times New Roman"/>
          <w:sz w:val="18"/>
          <w:szCs w:val="18"/>
          <w:color w:val="auto"/>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spacing w:after="0" w:line="14"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maintained at a level believed adequate by management to absorb estimated probable credit losses. Management’s periodic evaluation of the adequacy of the allowance is based on consultations and advice of the Company’s specialized investment manager, known and inherent risks in the portfolio, adverse situations that may affect the borrower’s ability to repay, the estimated value of any underlying collateral, current economic conditions, and other relevant factors. When an observable market price for a loan is available, the Company has recorded an allowance equal to the difference between the fair value and the amortized cost of bank loans that it has determined to be impaired as a practical expedient for an estimate of probable future cash flows to be collected on those bank loans. If an observable market price for a loan is not available, the Company records an allowance equal to the difference between the present value of expected future cash flows discounted at the loan’s effective interest rate and the amortized cost of the loan. Bank loans are charged off against the allowance after all means of collection have been exhausted and the potential for recovery is considered remote.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Invested Assets</w:t>
      </w:r>
    </w:p>
    <w:p>
      <w:pPr>
        <w:spacing w:after="0" w:line="121"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Other invested assets at December 31, 2018 and 2017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 For certain note agreements, original discounts and commitment fees received are recognized over the terms of the notes under the effective interest method.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122" w:right="239" w:bottom="1440" w:gutter="0" w:footer="0" w:header="0"/>
        </w:sectPr>
      </w:pPr>
    </w:p>
    <w:bookmarkStart w:id="130" w:name="page131"/>
    <w:bookmarkEnd w:id="13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ind w:right="40" w:firstLine="351"/>
        <w:spacing w:after="0" w:line="282" w:lineRule="auto"/>
        <w:rPr>
          <w:sz w:val="20"/>
          <w:szCs w:val="20"/>
          <w:color w:val="auto"/>
        </w:rPr>
      </w:pPr>
      <w:r>
        <w:rPr>
          <w:rFonts w:ascii="Times New Roman" w:cs="Times New Roman" w:eastAsia="Times New Roman" w:hAnsi="Times New Roman"/>
          <w:sz w:val="18"/>
          <w:szCs w:val="18"/>
          <w:color w:val="auto"/>
        </w:rPr>
        <w:t>Short-term investments are carried at cost, which approximates fair value. Short-term investments have maturities greater than three months but less than one year at the date of 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at the date of purchase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p>
      <w:pPr>
        <w:spacing w:after="0" w:line="121"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Assumed Reinsurance Premiums</w:t>
      </w:r>
    </w:p>
    <w:p>
      <w:pPr>
        <w:spacing w:after="0" w:line="121"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103" w:lineRule="exact"/>
        <w:rPr>
          <w:sz w:val="20"/>
          <w:szCs w:val="20"/>
          <w:color w:val="auto"/>
        </w:rPr>
      </w:pPr>
    </w:p>
    <w:p>
      <w:pPr>
        <w:ind w:right="560" w:firstLine="351"/>
        <w:spacing w:after="0" w:line="344" w:lineRule="auto"/>
        <w:rPr>
          <w:sz w:val="20"/>
          <w:szCs w:val="20"/>
          <w:color w:val="auto"/>
        </w:rPr>
      </w:pPr>
      <w:r>
        <w:rPr>
          <w:rFonts w:ascii="Times New Roman" w:cs="Times New Roman" w:eastAsia="Times New Roman" w:hAnsi="Times New Roman"/>
          <w:sz w:val="18"/>
          <w:szCs w:val="18"/>
          <w:color w:val="auto"/>
        </w:rPr>
        <w:t>Reinsurance premium estimates are reviewed by management periodically. Any adjustment to these estimates is recorded in the period in which it becomes known.</w:t>
      </w:r>
    </w:p>
    <w:p>
      <w:pPr>
        <w:spacing w:after="0" w:line="14"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 Contracts are accounted for on an individual basis, with no aggregation by counterparty.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Receivable and Agents’ Balances, Net</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Premiums receivable and agents’ balances are carried at face value net of any allowance for doubtful accounts. The allowance for doubtful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estimate of amounts considered uncollectible based on the Company’s assessment of the collectability of receivables that are past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greater than 90 days past due were $4.5 million and $2.6 million at December 31, 2018 and 2017, respectively. The allowance for doubtful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was $3.9 million and $2.8 million at December 31, 2018 and 2017, respectively. Bad debt expense was $1.5 million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$1.0 million for the year ended December 31, 2017, and $813,000 for the year ended December 31, 2016. Receivables written off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doubtful accounts totaled $313,000 for the year ended December 31, 2018, $408,000 for the year ended December 31, 2017, and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 ended December 31, 2016. Account balances are charged off against the allowance after all means of collection have been exhausted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for recovery is considered remote.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p>
      <w:pPr>
        <w:spacing w:after="0" w:line="121"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Costs which are incrementally or directly related to the successful acquisition of new or renewal insurance business are deferred. These deferred costs are primarily commissions to agents, ceding commissions paid on reinsurance assumed,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and Adjustable Features of Insurance and Reinsurance Contracts</w:t>
      </w:r>
    </w:p>
    <w:p>
      <w:pPr>
        <w:spacing w:after="0" w:line="121"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Certain premiums and losses are ceded to other insurance companies or assumed from other insurance companies under various excess of loss and quota-share reinsurance contracts. The Company enters into ceded reinsurance contracts to limit its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exposure to large losses, to limit exposure on new lines of insurance written by the Company, and to provide additional capacity for growth.</w:t>
      </w:r>
    </w:p>
    <w:p>
      <w:pPr>
        <w:spacing w:after="0" w:line="11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Other amounts payable to insurance companies and reinsurers or receivable from insurance companies and reinsurers are netted where the right of offset exists. The Company receives ceding commissions in connection with certain ceded reinsurance. The ceding commissions are recorded as a reduction of other operating expenses.</w:t>
      </w:r>
    </w:p>
    <w:p>
      <w:pPr>
        <w:spacing w:after="0" w:line="76" w:lineRule="exact"/>
        <w:rPr>
          <w:sz w:val="20"/>
          <w:szCs w:val="20"/>
          <w:color w:val="auto"/>
        </w:rPr>
      </w:pPr>
    </w:p>
    <w:p>
      <w:pPr>
        <w:jc w:val="both"/>
        <w:ind w:right="100" w:firstLine="351"/>
        <w:spacing w:after="0" w:line="266" w:lineRule="auto"/>
        <w:rPr>
          <w:sz w:val="20"/>
          <w:szCs w:val="20"/>
          <w:color w:val="auto"/>
        </w:rPr>
      </w:pPr>
      <w:r>
        <w:rPr>
          <w:rFonts w:ascii="Times New Roman" w:cs="Times New Roman" w:eastAsia="Times New Roman" w:hAnsi="Times New Roman"/>
          <w:sz w:val="18"/>
          <w:szCs w:val="18"/>
          <w:color w:val="auto"/>
        </w:rPr>
        <w:t>Certain reinsurance contracts of the Casualty Reinsurance segment include provisions that adjust premiums or acquisition expenses based upon the loss experience under the contracts. Premiums written and earned, as well as related acquisition expenses are recorded based upon the projected loss experience under the contracts.</w:t>
      </w:r>
    </w:p>
    <w:p>
      <w:pPr>
        <w:spacing w:after="0" w:line="68"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experience under the contracts.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Other income is principally comprised of fee income earned on policies for which the Company has no exposure to underwriting risk. Fee income of $13.9 million, $17.0 million, and $10.1 million is included in other income for the years ended December 31, 2018, 2017, and 2016, respectively. Fees are earned on a pro rata basis over the service period of the underlying business. Policies are accounted for on an individual basis, with no aggregation by counterparty.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Intangible assets are initially recognized and measured at fair value. Specifically identified intangible assets with indefinite lives include trademarks and state insurance licenses and authorities. Other specifically identified intangible assets with lives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80"/>
          </w:cols>
          <w:pgMar w:left="240" w:top="121" w:right="279" w:bottom="1440" w:gutter="0" w:footer="0" w:header="0"/>
        </w:sectPr>
      </w:pPr>
    </w:p>
    <w:bookmarkStart w:id="132" w:name="page133"/>
    <w:bookmarkEnd w:id="13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ranging from 7.0 to 27.5 years represent relationships with brokers. These intangible assets are amortized on a straight-line basis over their estimated useful lives.</w:t>
      </w:r>
    </w:p>
    <w:p>
      <w:pPr>
        <w:spacing w:after="0" w:line="54" w:lineRule="exact"/>
        <w:rPr>
          <w:sz w:val="20"/>
          <w:szCs w:val="20"/>
          <w:color w:val="auto"/>
        </w:rPr>
      </w:pPr>
    </w:p>
    <w:p>
      <w:pPr>
        <w:ind w:right="380" w:firstLine="351"/>
        <w:spacing w:after="0" w:line="261" w:lineRule="auto"/>
        <w:rPr>
          <w:sz w:val="20"/>
          <w:szCs w:val="20"/>
          <w:color w:val="auto"/>
        </w:rPr>
      </w:pPr>
      <w:r>
        <w:rPr>
          <w:rFonts w:ascii="Times New Roman" w:cs="Times New Roman" w:eastAsia="Times New Roman" w:hAnsi="Times New Roman"/>
          <w:sz w:val="18"/>
          <w:szCs w:val="18"/>
          <w:color w:val="auto"/>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ind w:right="540" w:firstLine="351"/>
        <w:spacing w:after="0" w:line="282" w:lineRule="auto"/>
        <w:rPr>
          <w:sz w:val="20"/>
          <w:szCs w:val="20"/>
          <w:color w:val="auto"/>
        </w:rPr>
      </w:pPr>
      <w:r>
        <w:rPr>
          <w:rFonts w:ascii="Times New Roman" w:cs="Times New Roman" w:eastAsia="Times New Roman" w:hAnsi="Times New Roman"/>
          <w:sz w:val="18"/>
          <w:szCs w:val="18"/>
          <w:color w:val="auto"/>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to ten years.</w:t>
      </w:r>
    </w:p>
    <w:p>
      <w:pPr>
        <w:spacing w:after="0" w:line="54"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In the event the Company has been deemed the owner for accounting purposes of construction projects in lease arrangements, the estimated construction costs incurred to date are recorded as assets in property and equipment, net and included in “other assets” in the accompanying consolidated balance sheets. Upon occupancy of facilities under lease, the Company assesses whether arrangements qualify for sales recognition under the sale-leaseback accounting guidance. If the Company continues to be the deemed owner for accounting purposes, the cost of the building is depreciated over its estimated useful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Losses and Loss Adjustment Expenses</w:t>
      </w:r>
    </w:p>
    <w:p>
      <w:pPr>
        <w:spacing w:after="0" w:line="121"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spacing w:after="0" w:line="72"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The Company utilizes various actuarially-accepted reserving methodologies in determining the continuum of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Casualty Reinsurance segment, the fronting and program business in the Specialty Admitted Insurance segment, and the commercial auto business in the Excess and Surplus Lines segment.</w:t>
      </w:r>
    </w:p>
    <w:p>
      <w:pPr>
        <w:spacing w:after="0" w:line="81"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Catastrophes of significant magnitude, including hurricanes and earthquakes,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 assessment of the Company’s property insurance exposures where the catastrophes occur and the Company’s progress in settling claims.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Based Compensation</w:t>
      </w:r>
    </w:p>
    <w:p>
      <w:pPr>
        <w:spacing w:after="0" w:line="121" w:lineRule="exact"/>
        <w:rPr>
          <w:sz w:val="20"/>
          <w:szCs w:val="20"/>
          <w:color w:val="auto"/>
        </w:rPr>
      </w:pPr>
    </w:p>
    <w:p>
      <w:pPr>
        <w:ind w:right="260" w:firstLine="351"/>
        <w:spacing w:after="0" w:line="261" w:lineRule="auto"/>
        <w:rPr>
          <w:sz w:val="20"/>
          <w:szCs w:val="20"/>
          <w:color w:val="auto"/>
        </w:rPr>
      </w:pPr>
      <w:r>
        <w:rPr>
          <w:rFonts w:ascii="Times New Roman" w:cs="Times New Roman" w:eastAsia="Times New Roman" w:hAnsi="Times New Roman"/>
          <w:sz w:val="18"/>
          <w:szCs w:val="18"/>
          <w:color w:val="auto"/>
        </w:rPr>
        <w:t>The Company expenses the fair value of share equity awards over the vesting period of the award on a straight-line basis. The Black-Scholes-Merton option pricing model is used to value the options granted (see Note 11).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income and comprehensive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a lease arrangement where the Company made a minority investment in a partnership that was involved in the construction of a building, the Company was deemed the owner for accounting purposes during the construction period. The Company recorded an asset for the amount of the total project costs and the related financing obligation is included in “other liabilities” in the accompanying consolidated balance sheets. Once construction was completed, the Company determined the arrangement did not qualify for sale-lease back treatment. Accordingly, the Company continues to reduce the obligation over the lease term as payments are made and depreciates the asset over its useful life. The Company does not report rent expense for the portion of the rent payment determined to be related to the assets which are owned for accounting purposes. Rather, this portion of the rent payment under the lease is recognized as a reduction of the financing obligation and as interest expense.</w:t>
      </w:r>
    </w:p>
    <w:p>
      <w:pPr>
        <w:spacing w:after="0" w:line="79"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color w:val="auto"/>
        </w:rPr>
        <w:t xml:space="preserve">Upon adoption of </w:t>
      </w:r>
      <w:r>
        <w:rPr>
          <w:rFonts w:ascii="Times New Roman" w:cs="Times New Roman" w:eastAsia="Times New Roman" w:hAnsi="Times New Roman"/>
          <w:sz w:val="18"/>
          <w:szCs w:val="18"/>
          <w:color w:val="231F20"/>
        </w:rPr>
        <w:t>ASU 2016-02,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on January 1, 2019</w:t>
      </w:r>
      <w:r>
        <w:rPr>
          <w:rFonts w:ascii="Times New Roman" w:cs="Times New Roman" w:eastAsia="Times New Roman" w:hAnsi="Times New Roman"/>
          <w:sz w:val="18"/>
          <w:szCs w:val="18"/>
          <w:color w:val="auto"/>
        </w:rPr>
        <w:t>, the Company will derecognize assets of $22.6 million and liabilities of $30.9 million associated with the above lease that was designated as build-to-suit under the previous guidance, and record a cumulative-effect adjustment to retained earnings of $8.3 million. The lease will be classified as an operating lease under the new standard. The Company will record a right-of-use asset and lease liability for the lease under the new standard.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right="220" w:firstLine="351"/>
        <w:spacing w:after="0" w:line="255"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$29.8 million and $32.1 million as of December 31, 2018 and 2017, respectively, representing the Company’s maximum exposure to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80" w:firstLine="351"/>
        <w:spacing w:after="0" w:line="261"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by the weighted-average number of common shares outstanding for the period. Diluted earnings per share reflects the dilution that could occur if securities or other contracts to issue common shares or common share equivalents were exercised or converted into common shares as calculated using the treasury stock method. When inclusion of common share equivalents increases the earnings per share or reduces the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per share, the effect on earnings is anti-dilutive, and the diluted net earnings or net loss per share is computed excluding these common share equivalents.</w:t>
      </w:r>
    </w:p>
    <w:p>
      <w:pPr>
        <w:spacing w:after="0" w:line="117" w:lineRule="exact"/>
        <w:rPr>
          <w:sz w:val="20"/>
          <w:szCs w:val="20"/>
          <w:color w:val="auto"/>
        </w:rPr>
      </w:pPr>
    </w:p>
    <w:p>
      <w:pPr>
        <w:ind w:right="300" w:firstLine="351"/>
        <w:spacing w:after="0" w:line="282"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per share computations contained in the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40" w:type="dxa"/>
            <w:vAlign w:val="bottom"/>
          </w:tcPr>
          <w:p>
            <w:pPr>
              <w:spacing w:after="0"/>
              <w:rPr>
                <w:sz w:val="13"/>
                <w:szCs w:val="13"/>
                <w:color w:val="auto"/>
              </w:rPr>
            </w:pPr>
          </w:p>
        </w:tc>
        <w:tc>
          <w:tcPr>
            <w:tcW w:w="10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jc w:val="center"/>
              <w:ind w:left="754"/>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63,830</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29,887,990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419,111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63,830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30,307,101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43,566</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29,461,717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811,432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43,566</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30,273,149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74,471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29,063,075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831,303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74,471</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29,894,378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equivalents relate to our outstanding equity awards (stock options and RSUs).</w:t>
      </w:r>
    </w:p>
    <w:p>
      <w:pPr>
        <w:spacing w:after="0" w:line="117" w:lineRule="exact"/>
        <w:rPr>
          <w:sz w:val="20"/>
          <w:szCs w:val="20"/>
          <w:color w:val="auto"/>
        </w:rPr>
      </w:pPr>
    </w:p>
    <w:p>
      <w:pPr>
        <w:jc w:val="both"/>
        <w:ind w:right="100" w:firstLine="35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and 2017, common share equivalents of 180,329 shares and 174,380 shares, respectively, are excluded from the calculations of diluted earnings per share as their effects are anti-dilutive. For the year ended December 31, 2016, all common share equivalents are 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Accounting Standards Update (“ASU”) 2014-09, </w:t>
      </w:r>
      <w:r>
        <w:rPr>
          <w:rFonts w:ascii="Times New Roman" w:cs="Times New Roman" w:eastAsia="Times New Roman" w:hAnsi="Times New Roman"/>
          <w:sz w:val="18"/>
          <w:szCs w:val="18"/>
          <w:i w:val="1"/>
          <w:iCs w:val="1"/>
          <w:color w:val="231F20"/>
        </w:rPr>
        <w:t>Revenue from Contracts with Customers (Topic 606)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guidance applies to all companies that either enter into contracts with customers to transfer goods or services or enter into contracts for the transfer of nonfinancial assets, unless those contracts are within the scope of other standards, such as insurance contracts. Under this guidance, a company recognizes revenue when it transfers promised goods or services to customers in an amount that reflects the consideration to which the company expects to be entitled in exchange for those goods or services. Judgments required in adopting this update included identifying performance obligations in the contract, estimating the amount of variable consideration to include in the transaction price and allocating the transaction price to each separate performance obligation. The adoption of ASU 2014-09 had no impact on reported fee income and there was no cumulative effect of initially applying the update.</w:t>
      </w:r>
    </w:p>
    <w:p>
      <w:pPr>
        <w:spacing w:after="0" w:line="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2016-01, </w:t>
      </w:r>
      <w:r>
        <w:rPr>
          <w:rFonts w:ascii="Times New Roman" w:cs="Times New Roman" w:eastAsia="Times New Roman" w:hAnsi="Times New Roman"/>
          <w:sz w:val="18"/>
          <w:szCs w:val="18"/>
          <w:i w:val="1"/>
          <w:iCs w:val="1"/>
          <w:color w:val="231F20"/>
        </w:rPr>
        <w:t>Financial Instruments - Overall (Subtopic 825-10): Recognition and Measurement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Financial Assets and Financial Liabilities</w:t>
      </w:r>
      <w:r>
        <w:rPr>
          <w:rFonts w:ascii="Times New Roman" w:cs="Times New Roman" w:eastAsia="Times New Roman" w:hAnsi="Times New Roman"/>
          <w:sz w:val="18"/>
          <w:szCs w:val="18"/>
          <w:color w:val="231F20"/>
        </w:rPr>
        <w:t>. Among other things, this ASU requires equity investments (except those accounted for under the equity method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accounting or those that result in consolidation of the investee) to be measured at fair value with changes in fair value recognized in net income. Upon adoption on January 1, 2018, the Company made a $4.7 million cumulative-effect adjustment to increase retained earnings and reduce accumulated other comprehensive income. The adoption of ASU 2016-01 did not materially impact the Company's financial position, cash flows, or total comprehensive income. The Company's results of operations were impacted as changes in fair value of equity instruments are now presented in net income rather than other comprehensive (loss) income. For the year ended December 31, 2018, the respective impact on net income was a reduction of $4.7 million ($0.16 reduction in basic and diluted earnings per share).</w:t>
      </w:r>
    </w:p>
    <w:p>
      <w:pPr>
        <w:spacing w:after="0" w:line="77"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w:t>
      </w:r>
      <w:r>
        <w:rPr>
          <w:rFonts w:ascii="Times New Roman" w:cs="Times New Roman" w:eastAsia="Times New Roman" w:hAnsi="Times New Roman"/>
          <w:sz w:val="18"/>
          <w:szCs w:val="18"/>
          <w:color w:val="000000"/>
        </w:rPr>
        <w:t>2018-02,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Income Statement - Reporting Comprehensive Income (Topic 220): Reclassification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Certain Tax Effects from Accumulated Other Comprehensive Income. </w:t>
      </w:r>
      <w:r>
        <w:rPr>
          <w:rFonts w:ascii="Times New Roman" w:cs="Times New Roman" w:eastAsia="Times New Roman" w:hAnsi="Times New Roman"/>
          <w:sz w:val="18"/>
          <w:szCs w:val="18"/>
          <w:color w:val="000000"/>
        </w:rPr>
        <w:t>This update was issued as a result of the enactment of Public Law No. 115-97,</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informally titled the Tax Cuts and Jobs Act (the "Tax Act"), on December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122" w:right="239" w:bottom="1440" w:gutter="0" w:footer="0" w:header="0"/>
        </w:sectPr>
      </w:pPr>
    </w:p>
    <w:bookmarkStart w:id="135" w:name="page136"/>
    <w:bookmarkEnd w:id="13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22, 2017. The ASU allows for the option to reclassify the stranded tax effects resulting from the implementation of the Tax Act out of accumulated other comprehensive income and into retained earnings. As the adoption of ASU 2016-01 in 2018 resulted in the reclassification of the entire unrealized balance on equity securities from accumulated other comprehensive income into retained earnings, only the stranded tax effects on the unrealized balances of fixed income securities were impacted by the adoption of ASU 2018-02. The reclassification resulted in a $711,000 decrease to the Company's retained earnings with a corresponding increase to accumulated other comprehensive income in the first quarter of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Accounting Standards</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In February 2016, the FASB issued ASU 2016-02,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231F20"/>
        </w:rPr>
        <w:t xml:space="preserve">. Under current guidance for lessees, leases are only included on the balance sheet if they are designated as capital leases. This update will require the recognition of a right-of-use asset and a corresponding lease liability, discounted to the present value, for all leases that extend beyond 12 months. This ASU is effective for annual and interim reporting periods beginning after December 15, 2018. </w:t>
      </w:r>
      <w:r>
        <w:rPr>
          <w:rFonts w:ascii="Times New Roman" w:cs="Times New Roman" w:eastAsia="Times New Roman" w:hAnsi="Times New Roman"/>
          <w:sz w:val="18"/>
          <w:szCs w:val="18"/>
          <w:color w:val="000000"/>
        </w:rPr>
        <w:t>In the third quarter of 2018, the FASB issued ASU 2018-10 to clarify certain aspects of the guidance and ASU 2018-11, which provides an optional alternative transition method to initially apply the new leases standard at the adoption date (collectively, with ASU 2016-02, Topic 842). Topic 842 now allows for the use of either the modified retrospective adoption method or the alternative transition method. The Company has completed its evaluation and will adopt the new standard on January 1, 2019 using a modified retrospective transition method, applying the transition provisions at the beginning of the period of adoption. The Company will elect the package of practical expedients permitted under the transition guidance within the new standard and will not elect to use hindsight in determining the lease term. The new standard will not be applied to leases with an initial term of 12 months or less. Upon adoption of the new standard, the Company will derecognize assets of $22.6 million and liabilities of $30.9 million associated with a lease that was designated as build-to-suit under the previous guidance, and record a cumulative-effect adjustment to retained earnings of $8.3 million. The lease will be classified as an operating lease under the new standard. The Company will record right-of-use assets of $17.2 million and lease liabilities of $17.8 million at adoption of the new standard. The new standard will not materially impact the Company's results of operations or cash flows, and will not impact compliance under the covenants of our current credit agreements.</w:t>
      </w:r>
    </w:p>
    <w:p>
      <w:pPr>
        <w:spacing w:after="0" w:line="7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In June 2016, the FASB issued ASU 2016-13, </w:t>
      </w:r>
      <w:r>
        <w:rPr>
          <w:rFonts w:ascii="Times New Roman" w:cs="Times New Roman" w:eastAsia="Times New Roman" w:hAnsi="Times New Roman"/>
          <w:sz w:val="18"/>
          <w:szCs w:val="18"/>
          <w:i w:val="1"/>
          <w:iCs w:val="1"/>
          <w:color w:val="231F20"/>
        </w:rPr>
        <w:t>Financial Instruments - Credit Losses (Topic 326): Measurement of Credit Losses on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Instruments. </w:t>
      </w:r>
      <w:r>
        <w:rPr>
          <w:rFonts w:ascii="Times New Roman" w:cs="Times New Roman" w:eastAsia="Times New Roman" w:hAnsi="Times New Roman"/>
          <w:sz w:val="18"/>
          <w:szCs w:val="18"/>
          <w:color w:val="231F20"/>
        </w:rPr>
        <w:t>Current GAAP delays the recognition of credit losses until it is probable a loss has been incurred. The update will require financial assets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measured at amortized cost, such as bank loan participations held for investment, to be presented at the net amount expected to be collected by means of an allowance for credit losses that runs through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has not yet completed the analysis of how adopting this ASU will affect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149,295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208,869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204,109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534,024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524,768</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197,025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107,803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107,193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1,199,409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1,184,202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139,382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158,661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408,857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413,721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182,611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35,948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78,874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1,008,662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1,016,098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20" w:firstLine="351"/>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December 31, 2018 are summarized, by contractual maturity,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3"/>
                <w:szCs w:val="13"/>
                <w:color w:val="auto"/>
              </w:rPr>
            </w:pPr>
          </w:p>
        </w:tc>
        <w:tc>
          <w:tcPr>
            <w:tcW w:w="9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52,312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52,100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406,647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403,126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213,673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209,155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116,355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116,875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208,869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204,109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199,528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197,025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1,812</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1,199,409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1,184,202</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122" w:right="239" w:bottom="1440" w:gutter="0" w:footer="0" w:header="0"/>
        </w:sectPr>
      </w:pPr>
    </w:p>
    <w:bookmarkStart w:id="137" w:name="page138"/>
    <w:bookmarkEnd w:id="13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14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243,384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438,150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414,704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852,854</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50,779</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5"/>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U.S. government corporations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agencies</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50,760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26,707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313,795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245,969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559,764</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40" w:firstLine="351"/>
        <w:spacing w:after="0" w:line="266" w:lineRule="auto"/>
        <w:rPr>
          <w:sz w:val="20"/>
          <w:szCs w:val="20"/>
          <w:color w:val="auto"/>
        </w:rPr>
      </w:pPr>
      <w:r>
        <w:rPr>
          <w:rFonts w:ascii="Times New Roman" w:cs="Times New Roman" w:eastAsia="Times New Roman" w:hAnsi="Times New Roman"/>
          <w:sz w:val="18"/>
          <w:szCs w:val="18"/>
          <w:color w:val="auto"/>
        </w:rPr>
        <w:t>The Company held securities of 222 issuers that were in an unrealized loss position at December 31, 2018 with a total fair value of $852.9 million and gross unrealized losses of $21.3 million. None of the fixed maturity securities with unrealized losses has ever missed, or been delinquent on, a scheduled principal or interest payment.</w:t>
      </w:r>
    </w:p>
    <w:p>
      <w:pPr>
        <w:spacing w:after="0" w:line="68" w:lineRule="exact"/>
        <w:rPr>
          <w:sz w:val="20"/>
          <w:szCs w:val="20"/>
          <w:color w:val="auto"/>
        </w:rPr>
      </w:pPr>
    </w:p>
    <w:p>
      <w:pPr>
        <w:ind w:right="44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100.0% of the Company’s fixed maturity security portfolio was rated “BBB-” or better (“investment grade”) by Standard &amp; Poor’s or received an equivalent rating from another nationally recognized rating agency.</w:t>
      </w:r>
    </w:p>
    <w:p>
      <w:pPr>
        <w:spacing w:after="0" w:line="54"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Management concluded that none of the fixed maturity securities with an unrealized loss at December 31, 2018, 2017, and 2016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68" w:lineRule="exact"/>
        <w:rPr>
          <w:sz w:val="20"/>
          <w:szCs w:val="20"/>
          <w:color w:val="auto"/>
        </w:rPr>
      </w:pPr>
    </w:p>
    <w:p>
      <w:pPr>
        <w:ind w:right="40" w:firstLine="351"/>
        <w:spacing w:after="0" w:line="289" w:lineRule="auto"/>
        <w:rPr>
          <w:sz w:val="20"/>
          <w:szCs w:val="20"/>
          <w:color w:val="auto"/>
        </w:rPr>
      </w:pPr>
      <w:r>
        <w:rPr>
          <w:rFonts w:ascii="Times New Roman" w:cs="Times New Roman" w:eastAsia="Times New Roman" w:hAnsi="Times New Roman"/>
          <w:sz w:val="17"/>
          <w:szCs w:val="17"/>
          <w:color w:val="auto"/>
        </w:rPr>
        <w:t>At December 31, 2017, management concluded that based on the severity and duration of the impairment associated with an equity security, the security, had experienced an other-than-temporary impairment. Accordingly, the Company recorded an impairment loss of $1.5 million in 2017. Management concluded that none of the other equity securities with an unrealized loss at December 31, 2017 and 2016 experienced an other-than-temporary impairment.</w:t>
      </w:r>
    </w:p>
    <w:p>
      <w:pPr>
        <w:spacing w:after="0" w:line="50"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At December 31, 2017 and 2016, the Company held a participation in a loan issued by a company that produces and supplies power to Puerto Rico through a power purchase agreement with Puerto Rico Electric Power Authority (“PREPA”), a public corporation and governmental agency of the Commonwealth of Puerto Rico. Management concluded that the loan was impaired at December 31, 2016 and established an allowance for credit losses on the loan of $177,000. After recording this impairment, the loan had a carrying value of $1.7 million at December 31, 2016 and unpaid principal of $2.0 million. At December 31, 2017, management concluded that the loan was still impaired and established an allowance for credit losses of $759,000 to reduce the loan's carrying value to zero at December 31, 2017. The unpaid principal on the loan was $807,000 at December 31, 2017. </w:t>
      </w:r>
      <w:r>
        <w:rPr>
          <w:rFonts w:ascii="Times New Roman" w:cs="Times New Roman" w:eastAsia="Times New Roman" w:hAnsi="Times New Roman"/>
          <w:sz w:val="18"/>
          <w:szCs w:val="18"/>
          <w:color w:val="231F20"/>
        </w:rPr>
        <w:t>In the first quarter of 2018,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full outstanding principal on the loan was repaid and the Company recognized a realized gain of $807,000 on the repayment.</w:t>
      </w:r>
    </w:p>
    <w:p>
      <w:pPr>
        <w:spacing w:after="0" w:line="81"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231F20"/>
        </w:rPr>
        <w:t xml:space="preserve">Management concluded that none of the loans in the Company's bank loan portfolio were impaired 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At </w:t>
      </w:r>
      <w:r>
        <w:rPr>
          <w:rFonts w:ascii="Times New Roman" w:cs="Times New Roman" w:eastAsia="Times New Roman" w:hAnsi="Times New Roman"/>
          <w:sz w:val="18"/>
          <w:szCs w:val="18"/>
          <w:color w:val="000000"/>
        </w:rPr>
        <w:t>December 31, 2017,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aggregate allowance for credit losses was $3.2 million on five impaired loans with a total carrying value of $5.1 million and unpaid principal of $8.4 million. At December 31, 2016, the aggregate allowance for credit losses was $943,000 on five impaired loans with a total carrying value of $6.5 million and unpaid principal of $7.6 million. At December 31, 2017 and 2016, impairments in the bank loan portfolio largely reflect the impact of declining energy prices on the market values of loans to oil and gas companies in the energy sector.</w:t>
      </w:r>
    </w:p>
    <w:p>
      <w:pPr>
        <w:spacing w:after="0" w:line="76"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The average recorded investment in impaired bank loans was $2.6 million, $5.8 million, and $6.4 million during the years ended December 31, 2018, 2017, and 2016, respectively, and investment income of $125,000, $300,000, and $297,000 was recognized during the time that the loans were impaired. The Company recorded realized losses of $858,000 and $2.4 million, and realized gains of $415,000, during the years ended December 31, 2018, 2017, and 2016, respectively, for changes in the fair value of impaired bank loans.</w:t>
      </w:r>
    </w:p>
    <w:p>
      <w:pPr>
        <w:spacing w:after="0" w:line="72" w:lineRule="exact"/>
        <w:rPr>
          <w:sz w:val="20"/>
          <w:szCs w:val="20"/>
          <w:color w:val="auto"/>
        </w:rPr>
      </w:pPr>
    </w:p>
    <w:p>
      <w:pPr>
        <w:ind w:right="104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unamortized discounts on bank loan participations were $1.8 million, and unamortized premiums were $17,000. At December 31, 2017, unamortized discounts on bank loan participations were $1.1 million, and unamortized premiums were $3,000.</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25,917</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14,486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5,617</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short-term investments,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(losses) gains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65,049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56,398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61,119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351"/>
        <w:spacing w:after="0" w:line="261" w:lineRule="auto"/>
        <w:rPr>
          <w:sz w:val="20"/>
          <w:szCs w:val="20"/>
          <w:color w:val="auto"/>
        </w:rPr>
      </w:pPr>
      <w:r>
        <w:rPr>
          <w:rFonts w:ascii="Times New Roman" w:cs="Times New Roman" w:eastAsia="Times New Roman" w:hAnsi="Times New Roman"/>
          <w:sz w:val="18"/>
          <w:szCs w:val="18"/>
          <w:color w:val="auto"/>
        </w:rPr>
        <w:t>Changes in unrealized gains or losses on securities held for trading are recorded as trading gains or losses within net investment income. Net investment income for the year ended December 31, 2018 included $4,000 of net trading losses, all relating to securities sold during 2018. Net investment income for the year ended December 31, 2017 included $4,000 of net trading losses, all of which related to securities still held at December 31, 2017. Net investment income for the year ended December 31, 2016 included $18,000 of net trading gains, all of which related to securities still held at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realized and unrealized losses and gains on investments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1,810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4,761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4,761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2,827</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7,565</w:t>
            </w: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1008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available-for-sale gross unrealized gains or losses by investment type: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gross unrealized gains (losses):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11,927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20" w:firstLine="351"/>
        <w:spacing w:after="0" w:line="282"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45"/>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5"/>
        </w:trPr>
        <w:tc>
          <w:tcPr>
            <w:tcW w:w="4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5"/>
        </w:trPr>
        <w:tc>
          <w:tcPr>
            <w:tcW w:w="4120" w:type="dxa"/>
            <w:vAlign w:val="bottom"/>
            <w:shd w:val="clear" w:color="auto" w:fill="CCEEFF"/>
          </w:tcPr>
          <w:p>
            <w:pPr>
              <w:ind w:left="40"/>
              <w:spacing w:after="0" w:line="275" w:lineRule="exact"/>
              <w:rPr>
                <w:sz w:val="20"/>
                <w:szCs w:val="20"/>
                <w:color w:val="auto"/>
              </w:rPr>
            </w:pPr>
            <w:r>
              <w:rPr>
                <w:rFonts w:ascii="Times New Roman" w:cs="Times New Roman" w:eastAsia="Times New Roman" w:hAnsi="Times New Roman"/>
                <w:sz w:val="18"/>
                <w:szCs w:val="18"/>
                <w:color w:val="auto"/>
              </w:rPr>
              <w:t>Renewable energy LLCs</w:t>
            </w:r>
            <w:r>
              <w:rPr>
                <w:rFonts w:ascii="Times New Roman" w:cs="Times New Roman" w:eastAsia="Times New Roman" w:hAnsi="Times New Roman"/>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29,795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32,063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10,578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3,480</w:t>
            </w:r>
          </w:p>
        </w:tc>
      </w:tr>
      <w:tr>
        <w:trPr>
          <w:trHeight w:val="270"/>
        </w:trPr>
        <w:tc>
          <w:tcPr>
            <w:tcW w:w="4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Renewable energy notes receivable</w:t>
            </w:r>
            <w:r>
              <w:rPr>
                <w:rFonts w:ascii="Times New Roman" w:cs="Times New Roman" w:eastAsia="Times New Roman" w:hAnsi="Times New Roman"/>
                <w:sz w:val="25"/>
                <w:szCs w:val="25"/>
                <w:color w:val="auto"/>
                <w:vertAlign w:val="superscript"/>
              </w:rPr>
              <w:t>(b)</w:t>
            </w:r>
          </w:p>
        </w:tc>
        <w:tc>
          <w:tcPr>
            <w:tcW w:w="34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Limited partnerships</w:t>
            </w:r>
            <w:r>
              <w:rPr>
                <w:rFonts w:ascii="Times New Roman" w:cs="Times New Roman" w:eastAsia="Times New Roman" w:hAnsi="Times New Roman"/>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29,276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5,263</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Bank holding companies</w:t>
            </w:r>
            <w:r>
              <w:rPr>
                <w:rFonts w:ascii="Times New Roman" w:cs="Times New Roman" w:eastAsia="Times New Roman" w:hAnsi="Times New Roman"/>
                <w:sz w:val="25"/>
                <w:szCs w:val="25"/>
                <w:color w:val="auto"/>
                <w:vertAlign w:val="superscript"/>
              </w:rPr>
              <w:t>(d)</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343</w:t>
            </w: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72,321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70,208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5,165</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14,079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9,536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1420"/>
          </w:cols>
          <w:pgMar w:left="240" w:top="121" w:right="239" w:bottom="1440" w:gutter="0" w:footer="0" w:header="0"/>
          <w:type w:val="continuous"/>
        </w:sectPr>
      </w:pPr>
    </w:p>
    <w:bookmarkStart w:id="140" w:name="page141"/>
    <w:bookmarkEnd w:id="14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left="340" w:right="20" w:hanging="332"/>
        <w:spacing w:after="0" w:line="255"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and Other segment owns equity interests ranging from 2.6% to 32.8% in various LLCs whose principal objective is capital appreciation and income generation from owning and operating renewable energy production facilities (wind and solar). The LLCs are managed by an entity for which two of our directors serve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$5.8 million and $5.6 million for the years ended December 31, 2018 and 2017, respectively.</w:t>
      </w:r>
    </w:p>
    <w:p>
      <w:pPr>
        <w:spacing w:after="0" w:line="108" w:lineRule="exact"/>
        <w:rPr>
          <w:rFonts w:ascii="Times New Roman" w:cs="Times New Roman" w:eastAsia="Times New Roman" w:hAnsi="Times New Roman"/>
          <w:sz w:val="18"/>
          <w:szCs w:val="18"/>
          <w:color w:val="auto"/>
        </w:rPr>
      </w:pPr>
    </w:p>
    <w:p>
      <w:pPr>
        <w:ind w:left="340" w:right="20" w:hanging="332"/>
        <w:spacing w:after="0" w:line="305"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Corporate and Other segment has invested in notes receivable for renewable energy projects. </w:t>
      </w:r>
      <w:r>
        <w:rPr>
          <w:rFonts w:ascii="Times New Roman" w:cs="Times New Roman" w:eastAsia="Times New Roman" w:hAnsi="Times New Roman"/>
          <w:sz w:val="18"/>
          <w:szCs w:val="18"/>
          <w:color w:val="231F20"/>
        </w:rPr>
        <w:t>At</w:t>
      </w:r>
      <w:r>
        <w:rPr>
          <w:rFonts w:ascii="Times New Roman" w:cs="Times New Roman" w:eastAsia="Times New Roman" w:hAnsi="Times New Roman"/>
          <w:sz w:val="18"/>
          <w:szCs w:val="18"/>
          <w:color w:val="auto"/>
        </w:rPr>
        <w:t xml:space="preserve"> December 31, 2018</w:t>
      </w:r>
      <w:r>
        <w:rPr>
          <w:rFonts w:ascii="Times New Roman" w:cs="Times New Roman" w:eastAsia="Times New Roman" w:hAnsi="Times New Roman"/>
          <w:sz w:val="18"/>
          <w:szCs w:val="18"/>
          <w:color w:val="231F20"/>
        </w:rPr>
        <w:t>, the Company 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one $8.8 million note issued by an </w:t>
      </w:r>
      <w:r>
        <w:rPr>
          <w:rFonts w:ascii="Times New Roman" w:cs="Times New Roman" w:eastAsia="Times New Roman" w:hAnsi="Times New Roman"/>
          <w:sz w:val="18"/>
          <w:szCs w:val="18"/>
          <w:color w:val="000000"/>
        </w:rPr>
        <w:t>entity for which two of our directors serve as officers</w:t>
      </w:r>
      <w:r>
        <w:rPr>
          <w:rFonts w:ascii="Times New Roman" w:cs="Times New Roman" w:eastAsia="Times New Roman" w:hAnsi="Times New Roman"/>
          <w:sz w:val="18"/>
          <w:szCs w:val="18"/>
          <w:color w:val="231F20"/>
        </w:rPr>
        <w:t xml:space="preserve">. The amount </w:t>
      </w:r>
      <w:r>
        <w:rPr>
          <w:rFonts w:ascii="Times New Roman" w:cs="Times New Roman" w:eastAsia="Times New Roman" w:hAnsi="Times New Roman"/>
          <w:sz w:val="18"/>
          <w:szCs w:val="18"/>
          <w:color w:val="000000"/>
        </w:rPr>
        <w:t>invested in the note was $7.3 million 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2017. Interest on the note, which matures in 2021, is fixed at 15%. Interest income on the note was $1.3 million and $526,000 for the years ended December 31, 2018 and 2017, respectively. In 2016, the outstanding balance of a $6.5 million note was fully repaid. Income prior to repayment of the note was $450,000 for the year ended December 31, 2016.</w:t>
      </w:r>
    </w:p>
    <w:p>
      <w:pPr>
        <w:spacing w:after="0" w:line="75" w:lineRule="exact"/>
        <w:rPr>
          <w:rFonts w:ascii="Times New Roman" w:cs="Times New Roman" w:eastAsia="Times New Roman" w:hAnsi="Times New Roman"/>
          <w:sz w:val="18"/>
          <w:szCs w:val="18"/>
          <w:color w:val="auto"/>
        </w:rPr>
      </w:pPr>
    </w:p>
    <w:p>
      <w:pPr>
        <w:ind w:left="340" w:hanging="332"/>
        <w:spacing w:after="0" w:line="30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investments in limited partnerships that invest in concentrated portfolios including publicly-traded small cap equities, loans of middle market private equity sponsored companies, equity tranches of collateralized loan obligations ("CLOs"), and tranches of distressed home loans. Income from the partnerships is recognized under the equity method of accounting. The Company’s Corporate and Other segment held an investment in a limited partnership with a carrying value of $3.1 million and $3.0 million at December 31, 2018 and 2017, and recognized investment income of $70,000, $394,000, and $455,000 for the years ended December 31, 2018, 2017 and 2016, respectively. The Company’s Excess and Surplus Lines segment holds investments in limited partnerships of $26.2 million and $23.4 million at December 31, 2018 and 2017, respectively. Investment income of $496,000, $2.2 million, and $4.8 million were recognized on these investments for the years ended December 31, 2018, 2017, and 2016, respectively. At December 31, 2018, the Company’s Excess and Surplus Lines segment has outstanding commitments to invest another $625,000 in these limited partnerships.</w:t>
      </w:r>
    </w:p>
    <w:p>
      <w:pPr>
        <w:spacing w:after="0" w:line="54"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and Other segment holds $4.5 million of subordinated notes issued by a bank holding company for which the Company’s Non-Executive Chairman was previously the Lead Independent Director and an investor and for which one of the Company’s directors was an investor and is currently a lender (the "Bank Holding Company"). Interest on the notes, which mature in 2023, is fixed at 7.6% per annum. Interest income on the notes was $343,000 in each of the years ended December 31, 2018, 2017 and 2016.</w:t>
      </w:r>
    </w:p>
    <w:p>
      <w:pPr>
        <w:spacing w:after="0" w:line="7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previously held common shares issued by the Bank Holding Company. Dividend income of $299,000 was recorded on the shares for the year ended December 31, 2016. Realized investment gains of $409,000 and $3.6 million were recognized on the sale of the common shares for the years ended December 31, 2017 and 2016, respectively.</w:t>
      </w:r>
    </w:p>
    <w:p>
      <w:pPr>
        <w:spacing w:after="0" w:line="68"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At December 31, 2018 and 2017, the Company held an investment in a collateralized loan obligation (CLO) where one of the underlying loans was issued by the Bank Holding Company. The investment, with a carrying value of $4.2 million at December 31, 2018, is classified as an available-for-sale fixed maturity.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maintains fixed maturity securities, short-term investments, accrued investment income, and cash and cash equivalents amounting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$471.4 million at December 31, 2018 in trust accounts or on deposit as collateral for outstanding letters of credit issued as security to third-party reinsureds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assumed by JRG Re.</w:t>
      </w:r>
    </w:p>
    <w:p>
      <w:pPr>
        <w:spacing w:after="0" w:line="99" w:lineRule="exact"/>
        <w:rPr>
          <w:sz w:val="20"/>
          <w:szCs w:val="20"/>
          <w:color w:val="auto"/>
        </w:rPr>
      </w:pPr>
    </w:p>
    <w:p>
      <w:pPr>
        <w:ind w:right="42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and 2017, cash and investments with a fair value of $25.5 million and $16.5 million, respectively, were on deposit with state insurance departments to satisfy regulatory requirements.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December 31, 2018, the Company held no investments in securitizations of alternative-A mortgages or sub-prime mortgages.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analysis of deferred policy acquisition costs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64,789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60,754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Policy acquisition costs deferred:</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107,387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92,736</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Underwriting and other issue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12,923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123,577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105,659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4,035</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72,365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64,789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5" w:lineRule="exact"/>
        <w:rPr>
          <w:sz w:val="20"/>
          <w:szCs w:val="20"/>
          <w:color w:val="auto"/>
        </w:rPr>
      </w:pPr>
    </w:p>
    <w:p>
      <w:pPr>
        <w:jc w:val="both"/>
        <w:ind w:right="400" w:firstLine="351"/>
        <w:spacing w:after="0" w:line="266"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spacing w:after="0" w:line="68"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color w:val="auto"/>
        </w:rPr>
        <w:t>All of the Company’s goodwill is an asset of the Excess and Surplus Lines segment. The Company’s annual testing performed in the fourth quarter of 2018, 2017 and 2016 indicated that no impairment of goodwill had occurred. The carrying amount of goodwill at December 31, 2018 and 2017 was $181.8 million. Accumulated goodwill impairment losses were $99.6 million at December 31, 2018 and 2017. The most recent goodwill impairment losses occurred in 2010.</w:t>
      </w:r>
    </w:p>
    <w:p>
      <w:pPr>
        <w:spacing w:after="0" w:line="7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Specifically identifiable intangible assets were acquired in the Merger. During the fourth quarters of 2018, 2017 and 2016, the indefinite-lived intangible assets for trademarks and insurance licenses and authorities were tested for impairment. Intangible assets for broker relationships that have specific lives and are subject to amortization were also reviewed for impairment. In the Specialty Admitted Insurance segment, Falls Lake General Insurance Company was merged into Falls Lake National in the fourth quarter of 2018. In connection with this merger, Falls Lake General Insurance Company surrendered its licenses to the various state insurance departments and reduced the carrying value of its intangible asset for "State Licenses" to $0. This caused a $200,000 impairment in 2018 in the Specialty Admitted Insurance segment. There were no impairments recognized in 2017 or 2016.</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11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1"/>
                <w:szCs w:val="11"/>
                <w:color w:val="auto"/>
              </w:rPr>
            </w:pPr>
          </w:p>
        </w:tc>
        <w:tc>
          <w:tcPr>
            <w:tcW w:w="9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9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Identifiable intangibles not subject to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 relationships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5,238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0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2" w:name="page143"/>
    <w:bookmarkEnd w:id="14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Future estimated amortization of specifically identifiable intangible assets as of December 31, 2018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7"/>
            <w:vMerge w:val="restart"/>
          </w:tcPr>
          <w:p>
            <w:pPr>
              <w:ind w:left="360"/>
              <w:spacing w:after="0"/>
              <w:rPr>
                <w:sz w:val="20"/>
                <w:szCs w:val="20"/>
                <w:color w:val="auto"/>
              </w:rPr>
            </w:pPr>
            <w:r>
              <w:rPr>
                <w:rFonts w:ascii="Times New Roman" w:cs="Times New Roman" w:eastAsia="Times New Roman" w:hAnsi="Times New Roman"/>
                <w:sz w:val="18"/>
                <w:szCs w:val="18"/>
                <w:color w:val="auto"/>
              </w:rPr>
              <w:t>The table below summarizes the changes in the net carrying values of intangible assets by segment for 2018:</w:t>
            </w:r>
          </w:p>
        </w:tc>
        <w:tc>
          <w:tcPr>
            <w:tcW w:w="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60" w:type="dxa"/>
            <w:vAlign w:val="bottom"/>
            <w:gridSpan w:val="7"/>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3"/>
                <w:szCs w:val="13"/>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 relationships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Broker relationships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38,334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summarizes the changes in the net carrying values of intangible assets by segment for 2017:</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3"/>
                <w:szCs w:val="13"/>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 relationships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30,927</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Broker relationships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7,407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38,334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420"/>
          </w:cols>
          <w:pgMar w:left="240" w:top="122" w:right="239" w:bottom="1440" w:gutter="0" w:footer="0" w:header="0"/>
          <w:type w:val="continuous"/>
        </w:sectPr>
      </w:pPr>
    </w:p>
    <w:bookmarkStart w:id="143" w:name="page144"/>
    <w:bookmarkEnd w:id="14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$362,000 for the Excess and Surplus Lines segment and $235,000 for the Specialty Admitted Insurance segment for the year ended December 31, 2016.</w:t>
      </w:r>
    </w:p>
    <w:p>
      <w:pPr>
        <w:spacing w:after="0" w:line="198"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3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of accumulated depreciation, is included in "other assets" on the consolidated balance sheets and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leased for which the Company has been deemed the owner for accounting purposes (Note 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30,971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30,902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data processing hardware and software</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cost basis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41,056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39,717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23,311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25,001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 for Losses and Loss Adjustment Expenses</w:t>
      </w:r>
    </w:p>
    <w:p>
      <w:pPr>
        <w:spacing w:after="0" w:line="135"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In establishing the reserve for losses and loss adjustment expenses, the Company’s internal actuaries estimate an initial expected ultimate loss ratio for each of our lines of business by accident year (or for our Casualty Reinsurance segment, on a contract by contract basis). Input from the Company’s underwriting and claims departments, including premium pricing assumptions and historical experience, are considered by the Company’s internal actuaries in estimating the initial expected loss ratios. The Company’s internal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8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internal actuaries perform a study on each of these parameters annually and make recommendations for the initial expected loss ratios, the incurred and paid loss development factors and the weighting of the five actuarial methods by accident year and line of business. Members of management’s Reserve Committee review and approve the parameter review actuarial recommendations, and these approved parameters are used in the reserve estimation process for the next four quarters at which time a new parameter study is performed. For the Casualty Reinsurance segment, periodic assessments are made on a contract by contract basis with the goal of keeping the initial expected loss ratios and the incurred and paid loss development factors as constant as possible until sufficient evidence presents itself to support adjustments. Method weights are generally less rigid for the Casualty Reinsurance segment given the heterogeneous nature of the various contracts, and the potential for significant changes in mix of business within individual treaties.</w:t>
      </w:r>
    </w:p>
    <w:p>
      <w:pPr>
        <w:spacing w:after="0" w:line="85"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Different reserving methods are appropriate in different situations, and the Company’s internal actuaries use their judgment and experience to determine the weighting of the methods to use for each accident year and each line of business and, for our Casualty Reinsurance segment, on a contract by contract basis. For example, the current accident year has very little incurred and paid loss development data on which to base reserve projections. As a result, the Company relies heavily on the initial expected loss ratio in estimating reserves for the current accident year. The Company generally sets the initial expected loss ratio for the current accident year consistent with the internal actuaries’ pricing assumptions.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122" w:right="239" w:bottom="1440" w:gutter="0" w:footer="0" w:header="0"/>
        </w:sectPr>
      </w:pPr>
    </w:p>
    <w:bookmarkStart w:id="144" w:name="page145"/>
    <w:bookmarkEnd w:id="14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development data is available for the oldest accident years, so more weight is given to this development data and less weight is given to the initial expected loss ratio.</w:t>
      </w:r>
    </w:p>
    <w:p>
      <w:pPr>
        <w:spacing w:after="0" w:line="54"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 net of reinsurance recoverables at beginning of</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989,825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761,128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653,534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582,604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533,905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349,137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555,377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325,421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103,205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39,473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223,475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178,354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396,013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326,680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217,827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 net of reinsurance recoverables at end of period</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1,194,088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989,825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761,128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Reinsurance recoverables on unpaid losses and loss adjustment expenses at end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302,524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182,737</w:t>
            </w:r>
          </w:p>
        </w:tc>
        <w:tc>
          <w:tcPr>
            <w:tcW w:w="0" w:type="dxa"/>
            <w:vAlign w:val="bottom"/>
          </w:tcPr>
          <w:p>
            <w:pPr>
              <w:spacing w:after="0"/>
              <w:rPr>
                <w:sz w:val="1"/>
                <w:szCs w:val="1"/>
                <w:color w:val="auto"/>
              </w:rPr>
            </w:pPr>
          </w:p>
        </w:tc>
      </w:tr>
      <w:tr>
        <w:trPr>
          <w:trHeight w:val="205"/>
        </w:trPr>
        <w:tc>
          <w:tcPr>
            <w:tcW w:w="70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Reserve for losses and loss adjustment expenses gross of reinsurance recoverables on unpaid</w:t>
            </w: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1,661,459</w:t>
            </w:r>
          </w:p>
        </w:tc>
        <w:tc>
          <w:tcPr>
            <w:tcW w:w="6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1,292,349</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943,865</w:t>
            </w:r>
          </w:p>
        </w:tc>
        <w:tc>
          <w:tcPr>
            <w:tcW w:w="0" w:type="dxa"/>
            <w:vAlign w:val="bottom"/>
          </w:tcPr>
          <w:p>
            <w:pPr>
              <w:spacing w:after="0"/>
              <w:rPr>
                <w:sz w:val="1"/>
                <w:szCs w:val="1"/>
                <w:color w:val="auto"/>
              </w:rPr>
            </w:pPr>
          </w:p>
        </w:tc>
      </w:tr>
      <w:tr>
        <w:trPr>
          <w:trHeight w:val="241"/>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expenses at end of period</w:t>
            </w:r>
          </w:p>
        </w:tc>
        <w:tc>
          <w:tcPr>
            <w:tcW w:w="3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The foregoing reconciliation shows that $17.7 million of adverse development was experienced in 2018 on the reserve for losses and loss adjustment expenses held at December 31, 2017. This adverse reserve development included $15.0 million of adverse development in the Excess and Surplus Lines segment, including $20.7 million of adverse development in the commercial auto line of business that was primarily related to the 2016 contract year with one insured. The adverse development for commercial auto was partially offset by $5.7 million of favorable development in other Excess and Surplus Lines underwriting divisions primarily from favorable development in the Excess Property underwriting division related to the 2017 hurricanes. Favorable reserve development in the Specialty Admitted Insurance segment was $5.6 million and primarily came from accident years 2014 through 2016, as loss emergence on our workers’ compensation business written prior to 2016 continued to develop more favorably than we had anticipated. In addition, $8.2 million of adverse development occurred in the Casualty Reinsurance segment, with a majority of this adverse development coming from accident years at least four years old and treaties the Company has since non-renewed.</w:t>
      </w:r>
    </w:p>
    <w:p>
      <w:pPr>
        <w:spacing w:after="0" w:line="8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The foregoing reconciliation shows that $21.5 million of adverse development was experienced in 2017 on the reserve for losses and loss adjustment expenses held at December 31, 2016. This adverse reserve development included $20.0 million of adverse development in the Excess and Surplus Lines segment, including $38.7 million of adverse development in the commercial auto line of business that was primarily related to the 2016 contract year with one insured. The adverse development for commercial auto was partially offset by favorable development of $18.6 million in other Excess and Surplus Lines underwriting divisions primarily from the 2014 through 2016 accident years. This favorable development occurred because our actuarial studies at December 31, 2017 for the Excess and Surplus Lines segment indicated that our loss experience on our casualty business excluding commercial auto continued to be below our initial expected ultimate loss ratios. The Company also experienced $2.7 million of favorable development on prior accident years in the Specialty Admitted Insurance segment primarily from accident years 2010 through 2015, as losses on our workers’ compensation business written prior to 2016 continued to develop more favorably than we had anticipated. The Casualty Reinsurance segment experienced $4.2 million of adverse development on prior accident years primarily from two contracts from 2010 through 2013 that had higher than expected reported losses in 2017.</w:t>
      </w:r>
    </w:p>
    <w:p>
      <w:pPr>
        <w:spacing w:after="0" w:line="78" w:lineRule="exact"/>
        <w:rPr>
          <w:sz w:val="20"/>
          <w:szCs w:val="20"/>
          <w:color w:val="auto"/>
        </w:rPr>
      </w:pPr>
    </w:p>
    <w:p>
      <w:pPr>
        <w:ind w:right="320" w:firstLine="351"/>
        <w:spacing w:after="0" w:line="282" w:lineRule="auto"/>
        <w:rPr>
          <w:sz w:val="20"/>
          <w:szCs w:val="20"/>
          <w:color w:val="auto"/>
        </w:rPr>
      </w:pPr>
      <w:r>
        <w:rPr>
          <w:rFonts w:ascii="Times New Roman" w:cs="Times New Roman" w:eastAsia="Times New Roman" w:hAnsi="Times New Roman"/>
          <w:sz w:val="18"/>
          <w:szCs w:val="18"/>
          <w:color w:val="auto"/>
        </w:rPr>
        <w:t>The foregoing reconciliation shows that a $23.7 million redundancy developed in 2016 on the reserve for losses and loss adjustment expenses held at December 31, 2015. This favorable reserve development included $24.1 million of favorable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development in the Excess and Surplus Lines segment primarily from the 2013, 2014 and 2015 accident years with favorable development of $4.5 million, $10.7 million and $10.0 million, respectively. This favorable development occurred because our actuarial studies at December 31, 2016 for the Excess and Surplus Lines segment indicated that our loss experience on our casualty business continued to be below our initial expected ultimate loss ratios. The Company also experienced $3.8 million of favorable development on prior accident years in the Specialty Admitted Insurance segment primarily from accident years 2010 through 2014, as losses on our workers’ compensation business written prior to 2015 continued to develop more favorably than we had anticipated. The Casualty Reinsurance segment experienced $4.2 million of adverse development on prior accident years primarily from two contracts from 2012 and 2013 that had higher than expected reported losses in 2016.</w:t>
      </w:r>
    </w:p>
    <w:p>
      <w:pPr>
        <w:spacing w:after="0" w:line="81"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The following tables present incurred and paid losses and loss adjustment expenses, net of reinsurance as of December 31, 2018 for: (1) the Excess and Surplus Lines segment split between all excess and surplus lines business excluding commercial auto and commercial auto, (2) the Specialty Admitted Insurance segment split between individual risk workers’ compensation and fronting and programs, and (3) the Casualty Reinsurance segment. The information provided herein about incurred and paid accident year claims development for the years ended December 31, 2017 and prior is presented as unaudited supplementary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Excluding Commercial Auto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6"/>
                <w:szCs w:val="16"/>
                <w:color w:val="auto"/>
              </w:rPr>
            </w:pPr>
          </w:p>
        </w:tc>
        <w:tc>
          <w:tcPr>
            <w:tcW w:w="74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114,834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110,783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106,480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98,502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86,691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81,764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83,431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83,846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85,470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85,807</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78,424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71,312</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111,190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119,927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106,564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106,536</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97,908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101,271</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96,729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96,064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85,433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81,009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82,830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83,855</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84,074</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126,443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113,417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102,434</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126,050</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144,349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131,897</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167,004</w:t>
            </w:r>
          </w:p>
        </w:tc>
      </w:tr>
      <w:tr>
        <w:trPr>
          <w:trHeight w:val="24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1,060,240</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533"/>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2009</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29,860</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41,687</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51,731</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61,548</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67,293</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71,245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76,091</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79,014</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81,496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82,560</w:t>
            </w:r>
          </w:p>
        </w:tc>
      </w:tr>
      <w:tr>
        <w:trPr>
          <w:trHeight w:val="33"/>
        </w:trPr>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26,418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52,071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65,246</w:t>
            </w: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27,684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72,732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81,696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90,884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99,798</w:t>
            </w:r>
          </w:p>
        </w:tc>
      </w:tr>
      <w:tr>
        <w:trPr>
          <w:trHeight w:val="33"/>
        </w:trPr>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88,812</w:t>
            </w: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30,382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44,421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59,641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66,553</w:t>
            </w:r>
          </w:p>
        </w:tc>
      </w:tr>
      <w:tr>
        <w:trPr>
          <w:trHeight w:val="33"/>
        </w:trPr>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58,774</w:t>
            </w: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34,801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55,911</w:t>
            </w:r>
          </w:p>
        </w:tc>
      </w:tr>
      <w:tr>
        <w:trPr>
          <w:trHeight w:val="33"/>
        </w:trPr>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46,045</w:t>
            </w:r>
          </w:p>
        </w:tc>
      </w:tr>
      <w:tr>
        <w:trPr>
          <w:trHeight w:val="237"/>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22,956</w:t>
            </w:r>
          </w:p>
        </w:tc>
      </w:tr>
      <w:tr>
        <w:trPr>
          <w:trHeight w:val="33"/>
        </w:trPr>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6,000</w:t>
            </w:r>
          </w:p>
        </w:tc>
      </w:tr>
      <w:tr>
        <w:trPr>
          <w:trHeight w:val="284"/>
        </w:trPr>
        <w:tc>
          <w:tcPr>
            <w:tcW w:w="1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592,655</w:t>
            </w:r>
          </w:p>
        </w:tc>
      </w:tr>
      <w:tr>
        <w:trPr>
          <w:trHeight w:val="237"/>
        </w:trPr>
        <w:tc>
          <w:tcPr>
            <w:tcW w:w="7400" w:type="dxa"/>
            <w:vAlign w:val="bottom"/>
            <w:tcBorders>
              <w:bottom w:val="single" w:sz="8" w:color="CCEEFF"/>
            </w:tcBorders>
            <w:gridSpan w:val="19"/>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2009, net of reinsurance (33 claims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12,187</w:t>
            </w:r>
          </w:p>
        </w:tc>
      </w:tr>
      <w:tr>
        <w:trPr>
          <w:trHeight w:val="20"/>
        </w:trPr>
        <w:tc>
          <w:tcPr>
            <w:tcW w:w="21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gridSpan w:val="13"/>
          </w:tcPr>
          <w:p>
            <w:pPr>
              <w:ind w:left="4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479,772</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1420"/>
          </w:cols>
          <w:pgMar w:left="240" w:top="121" w:right="239" w:bottom="1440" w:gutter="0" w:footer="0" w:header="0"/>
          <w:type w:val="continuous"/>
        </w:sectPr>
      </w:pPr>
    </w:p>
    <w:bookmarkStart w:id="146" w:name="page147"/>
    <w:bookmarkEnd w:id="14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Commercial Auto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Incurred losses and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300" w:type="dxa"/>
            <w:vAlign w:val="bottom"/>
          </w:tcPr>
          <w:p>
            <w:pPr>
              <w:spacing w:after="0"/>
              <w:rPr>
                <w:sz w:val="16"/>
                <w:szCs w:val="16"/>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1,277</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20,487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19,779</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30,109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36,139</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126,791</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207,355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208,743</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255,881</w:t>
            </w:r>
          </w:p>
        </w:tc>
      </w:tr>
      <w:tr>
        <w:trPr>
          <w:trHeight w:val="25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648,610</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gridSpan w:val="2"/>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1,291</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16,359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18,678</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24,282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31,592</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18,295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54,054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89,381</w:t>
            </w:r>
          </w:p>
        </w:tc>
        <w:tc>
          <w:tcPr>
            <w:tcW w:w="0" w:type="dxa"/>
            <w:vAlign w:val="bottom"/>
          </w:tcPr>
          <w:p>
            <w:pPr>
              <w:spacing w:after="0"/>
              <w:rPr>
                <w:sz w:val="1"/>
                <w:szCs w:val="1"/>
                <w:color w:val="auto"/>
              </w:rPr>
            </w:pPr>
          </w:p>
        </w:tc>
      </w:tr>
      <w:tr>
        <w:trPr>
          <w:trHeight w:val="257"/>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41,467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107,377</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45,136</w:t>
            </w:r>
          </w:p>
        </w:tc>
        <w:tc>
          <w:tcPr>
            <w:tcW w:w="0" w:type="dxa"/>
            <w:vAlign w:val="bottom"/>
          </w:tcPr>
          <w:p>
            <w:pPr>
              <w:spacing w:after="0"/>
              <w:rPr>
                <w:sz w:val="1"/>
                <w:szCs w:val="1"/>
                <w:color w:val="auto"/>
              </w:rPr>
            </w:pPr>
          </w:p>
        </w:tc>
      </w:tr>
      <w:tr>
        <w:trPr>
          <w:trHeight w:val="297"/>
        </w:trPr>
        <w:tc>
          <w:tcPr>
            <w:tcW w:w="1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293,439</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gridSpan w:val="1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outstanding losses and loss adjustment expenses, net of reinsurance</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355,171</w:t>
            </w:r>
          </w:p>
        </w:tc>
        <w:tc>
          <w:tcPr>
            <w:tcW w:w="0" w:type="dxa"/>
            <w:vAlign w:val="bottom"/>
          </w:tcPr>
          <w:p>
            <w:pPr>
              <w:spacing w:after="0"/>
              <w:rPr>
                <w:sz w:val="1"/>
                <w:szCs w:val="1"/>
                <w:color w:val="auto"/>
              </w:rPr>
            </w:pPr>
          </w:p>
        </w:tc>
      </w:tr>
      <w:tr>
        <w:trPr>
          <w:trHeight w:val="20"/>
        </w:trPr>
        <w:tc>
          <w:tcPr>
            <w:tcW w:w="51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Specialty Admitted — Individual Risk Workers’ Compensation</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gridSpan w:val="1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w w:val="99"/>
              </w:rPr>
              <w:t>Incurred losses and loss adjustment expenses, net of reinsurance (in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9"/>
                <w:szCs w:val="19"/>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   28,691</w:t>
            </w:r>
          </w:p>
        </w:tc>
        <w:tc>
          <w:tcPr>
            <w:tcW w:w="12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28,526</w:t>
            </w:r>
          </w:p>
        </w:tc>
        <w:tc>
          <w:tcPr>
            <w:tcW w:w="40" w:type="dxa"/>
            <w:vAlign w:val="bottom"/>
          </w:tcPr>
          <w:p>
            <w:pPr>
              <w:spacing w:after="0"/>
              <w:rPr>
                <w:sz w:val="19"/>
                <w:szCs w:val="19"/>
                <w:color w:val="auto"/>
              </w:rPr>
            </w:pP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   27,535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28,116</w:t>
            </w:r>
          </w:p>
        </w:tc>
        <w:tc>
          <w:tcPr>
            <w:tcW w:w="114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color w:val="auto"/>
              </w:rPr>
              <w:t>$   27,795</w:t>
            </w:r>
          </w:p>
        </w:tc>
        <w:tc>
          <w:tcPr>
            <w:tcW w:w="10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   26,171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26,169</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26,232</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   26,194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25,660</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27,209</w:t>
            </w: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28,736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30,464</w:t>
            </w:r>
          </w:p>
        </w:tc>
        <w:tc>
          <w:tcPr>
            <w:tcW w:w="114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30,373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28,963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27,590</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27,099</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37,834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41,421</w:t>
            </w:r>
          </w:p>
        </w:tc>
        <w:tc>
          <w:tcPr>
            <w:tcW w:w="114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color w:val="auto"/>
              </w:rPr>
              <w:t>40,154</w:t>
            </w:r>
          </w:p>
        </w:tc>
        <w:tc>
          <w:tcPr>
            <w:tcW w:w="10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38,999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38,311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37,455</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36,594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36,593</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32,116</w:t>
            </w:r>
          </w:p>
        </w:tc>
        <w:tc>
          <w:tcPr>
            <w:tcW w:w="1140" w:type="dxa"/>
            <w:vAlign w:val="bottom"/>
            <w:tcBorders>
              <w:bottom w:val="single" w:sz="8" w:color="CCEEFF"/>
            </w:tcBorders>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32,420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31,490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28,255</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28,186</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color w:val="auto"/>
              </w:rPr>
              <w:t>12,525</w:t>
            </w:r>
          </w:p>
        </w:tc>
        <w:tc>
          <w:tcPr>
            <w:tcW w:w="10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13,668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12,786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11,578</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10,907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16,638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14,620</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12,704</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20,938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21,274</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18,376</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21,678</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18,050</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24,869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22,071</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16,432</w:t>
            </w:r>
          </w:p>
        </w:tc>
        <w:tc>
          <w:tcPr>
            <w:tcW w:w="0" w:type="dxa"/>
            <w:vAlign w:val="bottom"/>
          </w:tcPr>
          <w:p>
            <w:pPr>
              <w:spacing w:after="0"/>
              <w:rPr>
                <w:sz w:val="1"/>
                <w:szCs w:val="1"/>
                <w:color w:val="auto"/>
              </w:rPr>
            </w:pPr>
          </w:p>
        </w:tc>
      </w:tr>
      <w:tr>
        <w:trPr>
          <w:trHeight w:val="24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rPr>
              <w:t>216,080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F-27</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7,277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16,945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21,095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22,646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24,231</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   24,192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24,350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24,418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25,660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25,660</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26,358</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23,127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29,021</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33,204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34,287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34,334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34,614</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26,963</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10,309</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12,282</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15,889</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12,135</w:t>
            </w: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12,782</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4,497</w:t>
            </w:r>
          </w:p>
        </w:tc>
      </w:tr>
      <w:tr>
        <w:trPr>
          <w:trHeight w:val="284"/>
        </w:trPr>
        <w:tc>
          <w:tcPr>
            <w:tcW w:w="1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181,489</w:t>
            </w:r>
          </w:p>
        </w:tc>
      </w:tr>
      <w:tr>
        <w:trPr>
          <w:trHeight w:val="237"/>
        </w:trPr>
        <w:tc>
          <w:tcPr>
            <w:tcW w:w="7400" w:type="dxa"/>
            <w:vAlign w:val="bottom"/>
            <w:tcBorders>
              <w:bottom w:val="single" w:sz="8" w:color="CCEEFF"/>
            </w:tcBorders>
            <w:gridSpan w:val="19"/>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2009, net of reinsurance (4 claims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w:t>
            </w:r>
          </w:p>
        </w:tc>
      </w:tr>
      <w:tr>
        <w:trPr>
          <w:trHeight w:val="20"/>
        </w:trPr>
        <w:tc>
          <w:tcPr>
            <w:tcW w:w="10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7"/>
        </w:trPr>
        <w:tc>
          <w:tcPr>
            <w:tcW w:w="7400" w:type="dxa"/>
            <w:vAlign w:val="bottom"/>
            <w:tcBorders>
              <w:bottom w:val="single" w:sz="8" w:color="CCEEFF"/>
            </w:tcBorders>
            <w:gridSpan w:val="19"/>
          </w:tcPr>
          <w:p>
            <w:pPr>
              <w:ind w:left="40"/>
              <w:spacing w:after="0"/>
              <w:rPr>
                <w:sz w:val="20"/>
                <w:szCs w:val="20"/>
                <w:color w:val="auto"/>
              </w:rPr>
            </w:pPr>
            <w:r>
              <w:rPr>
                <w:rFonts w:ascii="Times New Roman" w:cs="Times New Roman" w:eastAsia="Times New Roman" w:hAnsi="Times New Roman"/>
                <w:sz w:val="16"/>
                <w:szCs w:val="16"/>
                <w:color w:val="auto"/>
              </w:rPr>
              <w:t>Outstanding losses and loss adjustment expenses assumed from involuntary workers’ compensation pools</w:t>
            </w: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4,966</w:t>
            </w:r>
          </w:p>
        </w:tc>
      </w:tr>
      <w:tr>
        <w:trPr>
          <w:trHeight w:val="237"/>
        </w:trPr>
        <w:tc>
          <w:tcPr>
            <w:tcW w:w="538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40,613</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Fronting and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300" w:type="dxa"/>
            <w:vAlign w:val="bottom"/>
          </w:tcPr>
          <w:p>
            <w:pPr>
              <w:spacing w:after="0"/>
              <w:rPr>
                <w:sz w:val="16"/>
                <w:szCs w:val="16"/>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3,818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3,228</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9,632</w:t>
            </w: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8,974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11,542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14,682</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24,271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21,758</w:t>
            </w:r>
          </w:p>
        </w:tc>
      </w:tr>
      <w:tr>
        <w:trPr>
          <w:trHeight w:val="25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72,965</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2"/>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21"/>
                <w:szCs w:val="21"/>
                <w:color w:val="auto"/>
              </w:rPr>
            </w:pPr>
          </w:p>
        </w:tc>
        <w:tc>
          <w:tcPr>
            <w:tcW w:w="88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8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2,369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4,666</w:t>
            </w: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1,894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24,280</w:t>
            </w: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outstanding losses and loss adjustment expenses, net of reinsurance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48,685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F-28</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Casualty Reinsurance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34,587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28,244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24,125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26,458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27,078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27,116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26,989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26,931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26,980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27,168</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61,068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62,605</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114,908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103,123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97,366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97,812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99,282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103,196</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148,251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143,305</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130,361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134,446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137,801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143,124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121,200</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119,157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108,870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108,699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109,117</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103,544</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134,628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128,472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121,529</w:t>
            </w:r>
          </w:p>
        </w:tc>
        <w:tc>
          <w:tcPr>
            <w:tcW w:w="0" w:type="dxa"/>
            <w:vAlign w:val="bottom"/>
          </w:tcPr>
          <w:p>
            <w:pPr>
              <w:spacing w:after="0"/>
              <w:rPr>
                <w:sz w:val="1"/>
                <w:szCs w:val="1"/>
                <w:color w:val="auto"/>
              </w:rPr>
            </w:pPr>
          </w:p>
        </w:tc>
      </w:tr>
      <w:tr>
        <w:trPr>
          <w:trHeight w:val="24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1,063,260</w:t>
            </w:r>
          </w:p>
        </w:tc>
        <w:tc>
          <w:tcPr>
            <w:tcW w:w="0" w:type="dxa"/>
            <w:vAlign w:val="bottom"/>
          </w:tcPr>
          <w:p>
            <w:pPr>
              <w:spacing w:after="0"/>
              <w:rPr>
                <w:sz w:val="1"/>
                <w:szCs w:val="1"/>
                <w:color w:val="auto"/>
              </w:rPr>
            </w:pPr>
          </w:p>
        </w:tc>
      </w:tr>
      <w:tr>
        <w:trPr>
          <w:trHeight w:val="20"/>
        </w:trPr>
        <w:tc>
          <w:tcPr>
            <w:tcW w:w="7400" w:type="dxa"/>
            <w:vAlign w:val="bottom"/>
            <w:gridSpan w:val="20"/>
            <w:vMerge w:val="restart"/>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00" w:type="dxa"/>
            <w:vAlign w:val="bottom"/>
            <w:gridSpan w:val="20"/>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20" w:type="dxa"/>
            <w:vAlign w:val="bottom"/>
          </w:tcPr>
          <w:p>
            <w:pPr>
              <w:spacing w:after="0"/>
              <w:rPr>
                <w:sz w:val="24"/>
                <w:szCs w:val="24"/>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2"/>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6,487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9,926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12,956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16,466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19,672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21,646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23,024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23,796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24,649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25,209</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58,707</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48,688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61,922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68,616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78,164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94,627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97,715</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133,606</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59,756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75,094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93,902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108,396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127,732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101,366</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80,208</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65,409</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72,891</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30,903</w:t>
            </w:r>
          </w:p>
        </w:tc>
        <w:tc>
          <w:tcPr>
            <w:tcW w:w="0" w:type="dxa"/>
            <w:vAlign w:val="bottom"/>
          </w:tcPr>
          <w:p>
            <w:pPr>
              <w:spacing w:after="0"/>
              <w:rPr>
                <w:sz w:val="1"/>
                <w:szCs w:val="1"/>
                <w:color w:val="auto"/>
              </w:rPr>
            </w:pPr>
          </w:p>
        </w:tc>
      </w:tr>
      <w:tr>
        <w:trPr>
          <w:trHeight w:val="284"/>
        </w:trPr>
        <w:tc>
          <w:tcPr>
            <w:tcW w:w="1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793,746</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gridSpan w:val="1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2009, net of reinsurance</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
        </w:trPr>
        <w:tc>
          <w:tcPr>
            <w:tcW w:w="538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gridSpan w:val="14"/>
          </w:tcPr>
          <w:p>
            <w:pPr>
              <w:ind w:left="4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269,847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-3197860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-3197860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460" w:firstLine="351"/>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claims development tables to the reserve for losses and loss adjustment expenses in the consolidated balance sheet at December 31, 2018 is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E&amp;S – excluding commercial auto</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479,772</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E&amp;S – commercial auto</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355,171</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Admitted – individual risk workers’ compensation</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40,613</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Specialty Admitted – fronting and programs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48,685</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Casualty Reinsurance</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269,847</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reserve for 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1,194,088</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Reinsurance recoverables on unpaid losses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467,371</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reserve for losses and loss adjustment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1,661,459</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The following is unaudited supplementary information about average annual percentage payouts of incurred claims by age, net of reinsurance, for the Excess and Surplus Lines segment and the Specialty Admitted Insurance segments as of December 31, 2018. The Specialty Admitted Insurance segment’s first full year of writing fronting and programs business was 2014, so the average annual percentage payouts for fronting and programs only shows five years of payout information.</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420"/>
          </w:cols>
          <w:pgMar w:left="240" w:top="122" w:right="239" w:bottom="1440" w:gutter="0" w:footer="0" w:header="0"/>
          <w:type w:val="continuous"/>
        </w:sectPr>
      </w:pPr>
    </w:p>
    <w:bookmarkStart w:id="149" w:name="page150"/>
    <w:bookmarkEnd w:id="14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Year 5</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Year 6</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7</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8</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9</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10</w:t>
            </w:r>
          </w:p>
        </w:tc>
      </w:tr>
      <w:tr>
        <w:trPr>
          <w:trHeight w:val="33"/>
        </w:trPr>
        <w:tc>
          <w:tcPr>
            <w:tcW w:w="3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E&amp;S – excluding commercial auto</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3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E&amp;S – commercial auto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Specialty Admitted – individual risk workers’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3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33"/>
        </w:trPr>
        <w:tc>
          <w:tcPr>
            <w:tcW w:w="3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Specialty Admitted – fronting and programs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Casualty Reinsurance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123" w:lineRule="exact"/>
        <w:rPr>
          <w:sz w:val="20"/>
          <w:szCs w:val="20"/>
          <w:color w:val="auto"/>
        </w:rPr>
      </w:pPr>
    </w:p>
    <w:p>
      <w:pPr>
        <w:ind w:right="80" w:firstLine="351"/>
        <w:spacing w:after="0" w:line="261" w:lineRule="auto"/>
        <w:rPr>
          <w:sz w:val="20"/>
          <w:szCs w:val="20"/>
          <w:color w:val="auto"/>
        </w:rPr>
      </w:pPr>
      <w:r>
        <w:rPr>
          <w:rFonts w:ascii="Times New Roman" w:cs="Times New Roman" w:eastAsia="Times New Roman" w:hAnsi="Times New Roman"/>
          <w:sz w:val="18"/>
          <w:szCs w:val="18"/>
          <w:color w:val="auto"/>
        </w:rPr>
        <w:t>In determining the cumulative number of reported claims, the Company measures claim counts by individual claimant for individual risk workers’ compensation policies in the Specialty Admitted Insurance segment. In the Excess and Surplus Lines insurance segment and for fronting and programs in the Specialty Admitted Insurance segment, the Company measures claim counts by claim event. The claim counts include all claims reported, even if the Company does not establish a liability for the claim (i.e. reserve for loss and loss adjustment expenses).</w:t>
      </w:r>
    </w:p>
    <w:p>
      <w:pPr>
        <w:spacing w:after="0" w:line="72"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The Casualty Reinsurance segment typically assumes written premium under quota share arrangements. The Company typically does not have direct access to claim frequency information underlying its assumed quota arrangements given the nature of that business. In addition, multiple claims are often aggregated by the ceding company before being reported to the Company. We do not use claim frequency information in the Casualty Reinsurance segment in the determination of loss reserves or for other internal purposes. Based on these considerations, the Company does not believe providing claims frequency information is practicable as it relates to the Casualty Reinsurance segment.</w:t>
      </w:r>
    </w:p>
    <w:p>
      <w:pPr>
        <w:spacing w:after="0" w:line="76"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Excluding Commercial Auto</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80" w:type="dxa"/>
            <w:vAlign w:val="bottom"/>
          </w:tcPr>
          <w:p>
            <w:pPr>
              <w:spacing w:after="0"/>
              <w:rPr>
                <w:sz w:val="12"/>
                <w:szCs w:val="12"/>
                <w:color w:val="auto"/>
              </w:rPr>
            </w:pPr>
          </w:p>
        </w:tc>
        <w:tc>
          <w:tcPr>
            <w:tcW w:w="138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IBNR</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2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3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85,807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2,188</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71,312</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2,890</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106,536</w:t>
            </w:r>
          </w:p>
        </w:tc>
        <w:tc>
          <w:tcPr>
            <w:tcW w:w="28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3,919</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101,271</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4,339</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83,855</w:t>
            </w:r>
          </w:p>
        </w:tc>
        <w:tc>
          <w:tcPr>
            <w:tcW w:w="28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10,248</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84,074</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12,440</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102,434</w:t>
            </w:r>
          </w:p>
        </w:tc>
        <w:tc>
          <w:tcPr>
            <w:tcW w:w="28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21,215</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126,050</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44,649</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131,897</w:t>
            </w:r>
          </w:p>
        </w:tc>
        <w:tc>
          <w:tcPr>
            <w:tcW w:w="28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79,836</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167,004</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135,018</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567"/>
        </w:trPr>
        <w:tc>
          <w:tcPr>
            <w:tcW w:w="3220" w:type="dxa"/>
            <w:vAlign w:val="bottom"/>
          </w:tcPr>
          <w:p>
            <w:pPr>
              <w:spacing w:after="0"/>
              <w:rPr>
                <w:sz w:val="24"/>
                <w:szCs w:val="24"/>
                <w:color w:val="auto"/>
              </w:rPr>
            </w:pPr>
          </w:p>
        </w:tc>
        <w:tc>
          <w:tcPr>
            <w:tcW w:w="37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F-30</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0" w:name="page151"/>
    <w:bookmarkEnd w:id="15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Commercial Auto</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480" w:type="dxa"/>
            <w:vAlign w:val="bottom"/>
          </w:tcPr>
          <w:p>
            <w:pPr>
              <w:spacing w:after="0"/>
              <w:rPr>
                <w:sz w:val="12"/>
                <w:szCs w:val="12"/>
                <w:color w:val="auto"/>
              </w:rPr>
            </w:pPr>
          </w:p>
        </w:tc>
        <w:tc>
          <w:tcPr>
            <w:tcW w:w="1360" w:type="dxa"/>
            <w:vAlign w:val="bottom"/>
            <w:vMerge w:val="restart"/>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IBNR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1,277</w:t>
            </w:r>
          </w:p>
        </w:tc>
        <w:tc>
          <w:tcPr>
            <w:tcW w:w="4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19,779</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653</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36,139</w:t>
            </w:r>
          </w:p>
        </w:tc>
        <w:tc>
          <w:tcPr>
            <w:tcW w:w="480" w:type="dxa"/>
            <w:vAlign w:val="bottom"/>
          </w:tcPr>
          <w:p>
            <w:pPr>
              <w:spacing w:after="0"/>
              <w:rPr>
                <w:sz w:val="21"/>
                <w:szCs w:val="21"/>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1,761</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41,723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126,791</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9,206</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88,746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208,743</w:t>
            </w:r>
          </w:p>
        </w:tc>
        <w:tc>
          <w:tcPr>
            <w:tcW w:w="480" w:type="dxa"/>
            <w:vAlign w:val="bottom"/>
          </w:tcPr>
          <w:p>
            <w:pPr>
              <w:spacing w:after="0"/>
              <w:rPr>
                <w:sz w:val="21"/>
                <w:szCs w:val="21"/>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23,777</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132,191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255,881</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155,760</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91,798</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Specialty Admitted - Individual Risk Workers’ Compensation</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480" w:type="dxa"/>
            <w:vAlign w:val="bottom"/>
          </w:tcPr>
          <w:p>
            <w:pPr>
              <w:spacing w:after="0"/>
              <w:rPr>
                <w:sz w:val="12"/>
                <w:szCs w:val="12"/>
                <w:color w:val="auto"/>
              </w:rPr>
            </w:pPr>
          </w:p>
        </w:tc>
        <w:tc>
          <w:tcPr>
            <w:tcW w:w="1360" w:type="dxa"/>
            <w:vAlign w:val="bottom"/>
            <w:vMerge w:val="restart"/>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IBNR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25,660</w:t>
            </w:r>
          </w:p>
        </w:tc>
        <w:tc>
          <w:tcPr>
            <w:tcW w:w="4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27,099</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699</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36,593</w:t>
            </w:r>
          </w:p>
        </w:tc>
        <w:tc>
          <w:tcPr>
            <w:tcW w:w="480" w:type="dxa"/>
            <w:vAlign w:val="bottom"/>
          </w:tcPr>
          <w:p>
            <w:pPr>
              <w:spacing w:after="0"/>
              <w:rPr>
                <w:sz w:val="21"/>
                <w:szCs w:val="21"/>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1,786</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28,186</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1,020</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10,909</w:t>
            </w:r>
          </w:p>
        </w:tc>
        <w:tc>
          <w:tcPr>
            <w:tcW w:w="480" w:type="dxa"/>
            <w:vAlign w:val="bottom"/>
          </w:tcPr>
          <w:p>
            <w:pPr>
              <w:spacing w:after="0"/>
              <w:rPr>
                <w:sz w:val="21"/>
                <w:szCs w:val="21"/>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510</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12,704</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422</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18,376</w:t>
            </w:r>
          </w:p>
        </w:tc>
        <w:tc>
          <w:tcPr>
            <w:tcW w:w="480" w:type="dxa"/>
            <w:vAlign w:val="bottom"/>
          </w:tcPr>
          <w:p>
            <w:pPr>
              <w:spacing w:after="0"/>
              <w:rPr>
                <w:sz w:val="21"/>
                <w:szCs w:val="21"/>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2,177</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18,050</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5,010</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22,071</w:t>
            </w:r>
          </w:p>
        </w:tc>
        <w:tc>
          <w:tcPr>
            <w:tcW w:w="480" w:type="dxa"/>
            <w:vAlign w:val="bottom"/>
          </w:tcPr>
          <w:p>
            <w:pPr>
              <w:spacing w:after="0"/>
              <w:rPr>
                <w:sz w:val="21"/>
                <w:szCs w:val="21"/>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6,434</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16,432</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5,422</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783"/>
        </w:trPr>
        <w:tc>
          <w:tcPr>
            <w:tcW w:w="5160" w:type="dxa"/>
            <w:vAlign w:val="bottom"/>
          </w:tcPr>
          <w:p>
            <w:pPr>
              <w:spacing w:after="0"/>
              <w:rPr>
                <w:sz w:val="24"/>
                <w:szCs w:val="24"/>
                <w:color w:val="auto"/>
              </w:rPr>
            </w:pPr>
          </w:p>
        </w:tc>
        <w:tc>
          <w:tcPr>
            <w:tcW w:w="178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F-31</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1" w:name="page152"/>
    <w:bookmarkEnd w:id="15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Fronting and Programs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180" w:type="dxa"/>
            <w:vAlign w:val="bottom"/>
          </w:tcPr>
          <w:p>
            <w:pPr>
              <w:spacing w:after="0"/>
              <w:rPr>
                <w:sz w:val="12"/>
                <w:szCs w:val="12"/>
                <w:color w:val="auto"/>
              </w:rPr>
            </w:pPr>
          </w:p>
        </w:tc>
        <w:tc>
          <w:tcPr>
            <w:tcW w:w="13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IBNR</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245"/>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3,203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10,083</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16,058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32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Casualty Reinsurance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60" w:type="dxa"/>
            <w:vAlign w:val="bottom"/>
          </w:tcPr>
          <w:p>
            <w:pPr>
              <w:spacing w:after="0"/>
              <w:rPr>
                <w:sz w:val="12"/>
                <w:szCs w:val="12"/>
                <w:color w:val="auto"/>
              </w:rPr>
            </w:pPr>
          </w:p>
        </w:tc>
        <w:tc>
          <w:tcPr>
            <w:tcW w:w="130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5"/>
        </w:trPr>
        <w:tc>
          <w:tcPr>
            <w:tcW w:w="67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3"/>
          </w:tcPr>
          <w:p>
            <w:pPr>
              <w:jc w:val="right"/>
              <w:ind w:right="95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27,168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62,605</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103,196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143,305</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143,124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121,200</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109,117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14,595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103,544</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26,675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128,472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52,785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121,529</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55,052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pacing w:after="0" w:line="172"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spacing w:after="0" w:line="77"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At December 31, 2018, the Company had reinsurance recoverables on unpaid losses of $467.4 million and reinsurance recoverables on paid losses of $18.3 million. All material reinsurance recoverables are from companies with A.M. Best Company ratings of “A-” (Excellent) or better, or are collateralized with letters of credit or by a trust agreement.</w:t>
      </w:r>
    </w:p>
    <w:p>
      <w:pPr>
        <w:spacing w:after="0" w:line="68"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reinsurance recoverables on unpaid losses from the Company’s three largest reinsurers were $151.6 million, $47.9 million, and $44.1 million, representing 52.1% of the total balance.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480" w:firstLine="351"/>
        <w:spacing w:after="0" w:line="282" w:lineRule="auto"/>
        <w:rPr>
          <w:sz w:val="20"/>
          <w:szCs w:val="20"/>
          <w:color w:val="auto"/>
        </w:rPr>
      </w:pPr>
      <w:r>
        <w:rPr>
          <w:rFonts w:ascii="Times New Roman" w:cs="Times New Roman" w:eastAsia="Times New Roman" w:hAnsi="Times New Roman"/>
          <w:sz w:val="18"/>
          <w:szCs w:val="18"/>
          <w:color w:val="auto"/>
        </w:rPr>
        <w:t>At December 31, 2018, prepaid reinsurance premiums ceded to three reinsurers totaled $30.8 million, $13.4 million, and $9.6 million, representing 47.8% of the total balance.</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Premiums written, premiums earned, and losses and loss adjustment expenses incurred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Written premiums: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1,027,222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843,719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549,700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187,698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762,672</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766,626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557,708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Earned premiums: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990,221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842,182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483,166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164,771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(132,274)</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815,398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741,109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515,663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769,490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626,318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314,920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108,029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600,276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555,377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325,421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Debt</w:t>
      </w:r>
    </w:p>
    <w:p>
      <w:pPr>
        <w:spacing w:after="0" w:line="135" w:lineRule="exact"/>
        <w:rPr>
          <w:sz w:val="20"/>
          <w:szCs w:val="20"/>
          <w:color w:val="auto"/>
        </w:rPr>
      </w:pPr>
    </w:p>
    <w:p>
      <w:pPr>
        <w:ind w:right="480" w:firstLine="351"/>
        <w:spacing w:after="0" w:line="282" w:lineRule="auto"/>
        <w:rPr>
          <w:sz w:val="20"/>
          <w:szCs w:val="20"/>
          <w:color w:val="auto"/>
        </w:rPr>
      </w:pPr>
      <w:r>
        <w:rPr>
          <w:rFonts w:ascii="Times New Roman" w:cs="Times New Roman" w:eastAsia="Times New Roman" w:hAnsi="Times New Roman"/>
          <w:sz w:val="18"/>
          <w:szCs w:val="18"/>
          <w:color w:val="auto"/>
        </w:rPr>
        <w:t>The Company has a $215.0 million senior revolving credit facility (as amended or amended and restated, the "2013 Facility”). The 2013 Facility is comprised of the following at December 31, 2018:</w:t>
      </w:r>
    </w:p>
    <w:p>
      <w:pPr>
        <w:spacing w:after="0" w:line="81" w:lineRule="exact"/>
        <w:rPr>
          <w:sz w:val="20"/>
          <w:szCs w:val="20"/>
          <w:color w:val="auto"/>
        </w:rPr>
      </w:pPr>
    </w:p>
    <w:p>
      <w:pPr>
        <w:ind w:left="660" w:right="180" w:hanging="328"/>
        <w:spacing w:after="0" w:line="32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$102.5 million secured revolving facility utilized by JRG Re to issue letters of credit for the benefit of third-party reinsureds. This portion of our credit facility is secured by our investment securities. At December 31, 2018, the Company had $75.5 million of letters of credit issued under the secured facility.</w:t>
      </w:r>
    </w:p>
    <w:p>
      <w:pPr>
        <w:spacing w:after="0" w:line="60" w:lineRule="exact"/>
        <w:rPr>
          <w:rFonts w:ascii="Times New Roman" w:cs="Times New Roman" w:eastAsia="Times New Roman" w:hAnsi="Times New Roman"/>
          <w:sz w:val="18"/>
          <w:szCs w:val="18"/>
          <w:color w:val="auto"/>
        </w:rPr>
      </w:pPr>
    </w:p>
    <w:p>
      <w:pPr>
        <w:ind w:left="660" w:right="100" w:hanging="328"/>
        <w:spacing w:after="0" w:line="313"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$112.5 million unsecured revolving facility to meet the working capital needs of the Company. All unpaid principal on the revolver is due at maturity. Interest accrues quarterly and is payable in arrears at LIBOR plus a margin which is currently 1.5%, which is subject to change according to terms in the credit agreement. At December 31, 2018 and 2017, the Company had a drawn balance of $73.3 million outstanding on the unsecured revolver.</w:t>
      </w:r>
    </w:p>
    <w:p>
      <w:pPr>
        <w:spacing w:after="0" w:line="41"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James River Group Holdings, Ltd. and JRG Re are borrowers on the 2013 Facility. The 2013 Facility has been amended from time to time since its inception in 2013. On December 7, 2016, the Company entered into an Amended and Restated Credit Agreement for the Facility which, among other things, extended the maturity date of the Facility until December 7, 2021 and modified other terms including reducing the rate of interest and reducing the number of financial covenants. On June 8, 2017, the Company entered into a First Amendment to the 2013 Facility, which among other things, modified the financial covenants and increased the amount of additional debt which the Company may incur under new financings, subject to compliance with certain conditions.</w:t>
      </w:r>
    </w:p>
    <w:p>
      <w:pPr>
        <w:spacing w:after="0" w:line="76"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A subsidiary of the Bank Holding Company is one of the lenders for the Facility, with a $25.0 million commitment allocation on the total $215.0 million 2013 Facility.</w:t>
      </w:r>
    </w:p>
    <w:p>
      <w:pPr>
        <w:spacing w:after="0" w:line="54" w:lineRule="exact"/>
        <w:rPr>
          <w:sz w:val="20"/>
          <w:szCs w:val="20"/>
          <w:color w:val="auto"/>
        </w:rPr>
      </w:pPr>
    </w:p>
    <w:p>
      <w:pPr>
        <w:jc w:val="both"/>
        <w:ind w:right="140" w:firstLine="324"/>
        <w:spacing w:after="0" w:line="313" w:lineRule="auto"/>
        <w:rPr>
          <w:sz w:val="20"/>
          <w:szCs w:val="20"/>
          <w:color w:val="auto"/>
        </w:rPr>
      </w:pPr>
      <w:r>
        <w:rPr>
          <w:rFonts w:ascii="Times New Roman" w:cs="Times New Roman" w:eastAsia="Times New Roman" w:hAnsi="Times New Roman"/>
          <w:sz w:val="17"/>
          <w:szCs w:val="17"/>
          <w:color w:val="auto"/>
        </w:rPr>
        <w:t>The 2013 Facility contains certain financial and other covenants (including risk-based capital, minimum shareholders’ equity levels, maximum ratios of total debt outstanding to total capitalization and minimum fixed charge coverage ratios) with which the Company was in compliance, at December 31, 2018.</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122" w:right="239" w:bottom="1440" w:gutter="0" w:footer="0" w:header="0"/>
        </w:sectPr>
      </w:pPr>
    </w:p>
    <w:bookmarkStart w:id="153" w:name="page154"/>
    <w:bookmarkEnd w:id="15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The loans and letters of credit made or issued under the revolving line of credit may be used to finance the Borrowers’ general corporate purposes. Obligations under the 2017 Facility will carry a variable rate of interest subject to terms in the credit agreement and will mature 30 days after notice of termination from the lender. Interest accrues quarterly and is payable in arrears at variable rates which are subject to change according to terms in the credit agreement. At December 31, 2018, unsecured loans of $30.0 million and secured letters of credit totaling $7.6 million were outstanding under the facility.</w:t>
      </w:r>
    </w:p>
    <w:p>
      <w:pPr>
        <w:spacing w:after="0" w:line="8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order to secure borrowings and letters of credit made or issued under the secured portion of the revolving line of credit, JRG Re entered into a pledge and security agreement on August 2, 2017 with the lender, pursuant to which JRG Re will pledge certain investment securities. In the event the Company elects to pledge investment securities as collateral for the secured portion of the revolving credit facility, the Company will enter into a similar pledge and security agreement.</w:t>
      </w:r>
    </w:p>
    <w:p>
      <w:pPr>
        <w:spacing w:after="0" w:line="7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lender under the credit agreement and its affiliate is a joint lead arranger under the Company’s Amended and Restated Credit Agreement dated as of December 7, 2016, as amended, and its affiliate was also an underwriter in the December 2014 initial public offering of the Company’s common shares.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2017 Facility contains certain financial and other covenants which we are in compliance with at December 31, 2018.</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LIBOR on the Determination Date (as defined in the indenture) plus 3.85%. The Senior Debt is redeemable prior to its stated maturity in whole or in part, at the option of James River Group.</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terms of the indenture generally provide that so long as the Senior Debt is outstanding, neither James River Group nor any of its subsidiaries may:</w:t>
      </w:r>
    </w:p>
    <w:p>
      <w:pPr>
        <w:spacing w:after="0" w:line="144" w:lineRule="exact"/>
        <w:rPr>
          <w:sz w:val="20"/>
          <w:szCs w:val="20"/>
          <w:color w:val="auto"/>
        </w:rPr>
      </w:pPr>
    </w:p>
    <w:p>
      <w:pPr>
        <w:ind w:left="660" w:right="160" w:hanging="328"/>
        <w:spacing w:after="0" w:line="34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or permit to exist any indebtedness that is secured by any encumbrance on the capital stock of James River Group or any of its subsidiaries which is senior to the Senior Debt; or</w:t>
      </w:r>
    </w:p>
    <w:p>
      <w:pPr>
        <w:spacing w:after="0" w:line="1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or otherwise dispose of any shares of, securities convertible into, or warrants, rights or options to subscribe for or purchase shares of, capital stock of any subsidiary.</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terms of the Senior Debt contain certain covenants, with which we are in compliance at December 31, 2018, and which, among other things, restrict our ability to assume senior indebtedness secured by our U.S. holding company's common stock or its subsidiaries' capital stock or to issue shares of its subsidiaries' capital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payable is included in “accrued expenses” in the accompanying consolidated balance sheets.</w:t>
      </w:r>
    </w:p>
    <w:p>
      <w:pPr>
        <w:spacing w:after="0" w:line="262"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Junior Subordinated Debt</w:t>
      </w:r>
    </w:p>
    <w:p>
      <w:pPr>
        <w:spacing w:after="0" w:line="135" w:lineRule="exact"/>
        <w:rPr>
          <w:sz w:val="20"/>
          <w:szCs w:val="20"/>
          <w:color w:val="auto"/>
        </w:rPr>
      </w:pPr>
    </w:p>
    <w:p>
      <w:pPr>
        <w:ind w:right="120" w:firstLine="351"/>
        <w:spacing w:after="0" w:line="261" w:lineRule="auto"/>
        <w:rPr>
          <w:sz w:val="20"/>
          <w:szCs w:val="20"/>
          <w:color w:val="auto"/>
        </w:rPr>
      </w:pPr>
      <w:r>
        <w:rPr>
          <w:rFonts w:ascii="Times New Roman" w:cs="Times New Roman" w:eastAsia="Times New Roman" w:hAnsi="Times New Roman"/>
          <w:sz w:val="18"/>
          <w:szCs w:val="18"/>
          <w:color w:val="auto"/>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spacing w:after="0" w:line="72"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80"/>
          </w:cols>
          <w:pgMar w:left="240" w:top="122" w:right="279" w:bottom="1440" w:gutter="0" w:footer="0" w:header="0"/>
        </w:sectPr>
      </w:pPr>
    </w:p>
    <w:bookmarkStart w:id="154" w:name="page155"/>
    <w:bookmarkEnd w:id="15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IV</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Issue date</w:t>
            </w:r>
          </w:p>
        </w:tc>
        <w:tc>
          <w:tcPr>
            <w:tcW w:w="144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rPr>
              <w:t>May 26,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10,</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amount of Trust Preferred Securities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amount of Junior Subordinated Debt</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$7,217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$15,464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$20,619</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$55,670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$30,928</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Carrying amount of Junior Subordinated Debt net of</w:t>
            </w: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$7,217</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$15,464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$20,619</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$44,827</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$15,928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Maturity date of Junior Subordinated Debt, unless accelerated</w:t>
            </w:r>
          </w:p>
        </w:tc>
        <w:tc>
          <w:tcPr>
            <w:tcW w:w="144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6"/>
                <w:szCs w:val="16"/>
                <w:color w:val="auto"/>
              </w:rPr>
              <w:t>May 24,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15,</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earlier</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Trust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$217</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$619</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$1,670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per annum</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Three-Month</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Three-Month</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Three-Month</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Three-Month</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LIBOR plus 4.0%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LIBOR plus 3.4%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LIBOR plus 3.0%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LIBOR plus 3.1%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LIBOR plus 4.0%</w:t>
            </w:r>
          </w:p>
        </w:tc>
        <w:tc>
          <w:tcPr>
            <w:tcW w:w="0" w:type="dxa"/>
            <w:vAlign w:val="bottom"/>
          </w:tcPr>
          <w:p>
            <w:pPr>
              <w:spacing w:after="0"/>
              <w:rPr>
                <w:sz w:val="1"/>
                <w:szCs w:val="1"/>
                <w:color w:val="auto"/>
              </w:rPr>
            </w:pPr>
          </w:p>
        </w:tc>
      </w:tr>
      <w:tr>
        <w:trPr>
          <w:trHeight w:val="33"/>
        </w:trPr>
        <w:tc>
          <w:tcPr>
            <w:tcW w:w="4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51"/>
        <w:spacing w:after="0" w:line="266" w:lineRule="auto"/>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spacing w:after="0" w:line="68" w:lineRule="exact"/>
        <w:rPr>
          <w:sz w:val="20"/>
          <w:szCs w:val="20"/>
          <w:color w:val="auto"/>
        </w:rPr>
      </w:pPr>
    </w:p>
    <w:p>
      <w:pPr>
        <w:ind w:right="280" w:firstLine="351"/>
        <w:spacing w:after="0" w:line="261" w:lineRule="auto"/>
        <w:rPr>
          <w:sz w:val="20"/>
          <w:szCs w:val="20"/>
          <w:color w:val="auto"/>
        </w:rPr>
      </w:pPr>
      <w:r>
        <w:rPr>
          <w:rFonts w:ascii="Times New Roman" w:cs="Times New Roman" w:eastAsia="Times New Roman" w:hAnsi="Times New Roman"/>
          <w:sz w:val="18"/>
          <w:szCs w:val="18"/>
          <w:color w:val="auto"/>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2018.</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payable is included in “accrued expenses” on the accompanying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Capital Stock</w:t>
      </w:r>
    </w:p>
    <w:p>
      <w:pPr>
        <w:spacing w:after="0" w:line="148"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The Company’s authorized share capital consists of 200,000,000 common shares, par value $0.0002 per share (29,988,460 shares issued and outstanding at December 31, 2018) and 20,000,000 undesignated preferred shares, par value $0.00125 per share (no shares issued or outstanding).</w:t>
      </w:r>
    </w:p>
    <w:p>
      <w:pPr>
        <w:spacing w:after="0" w:line="54"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Share activity in 2017 and 2018 includes issuances from stock option exercises and RSU vesting, increasing the number of common shares outstanding from 29,257,566 at December 31, 2016 to 29,696,682 at December 31, 2017 and 29,988,460 at December 31, 2018.</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has 4,321,463 common shares reserved for future issuance upon exercise or vesting of equity awards, as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122" w:right="239" w:bottom="1440" w:gutter="0" w:footer="0" w:header="0"/>
        </w:sectPr>
      </w:pPr>
    </w:p>
    <w:bookmarkStart w:id="155" w:name="page156"/>
    <w:bookmarkEnd w:id="155"/>
    <w:p>
      <w:pPr>
        <w:spacing w:after="0"/>
        <w:rPr>
          <w:rFonts w:ascii="Times New Roman" w:cs="Times New Roman" w:eastAsia="Times New Roman" w:hAnsi="Times New Roman"/>
          <w:sz w:val="13"/>
          <w:szCs w:val="13"/>
          <w:color w:val="0000EE"/>
        </w:rPr>
      </w:pPr>
      <w:hyperlink w:anchor="page2">
        <w:r>
          <w:rPr>
            <w:rFonts w:ascii="Times New Roman" w:cs="Times New Roman" w:eastAsia="Times New Roman" w:hAnsi="Times New Roman"/>
            <w:sz w:val="13"/>
            <w:szCs w:val="13"/>
            <w:color w:val="0000EE"/>
          </w:rPr>
          <w:t>TABLE OF CONTENTS</w:t>
        </w:r>
      </w:hyperlink>
    </w:p>
    <w:tbl>
      <w:tblPr>
        <w:tblLayout w:type="fixed"/>
        <w:tblInd w:w="0" w:type="dxa"/>
        <w:tblCellMar>
          <w:top w:w="0" w:type="dxa"/>
          <w:left w:w="0" w:type="dxa"/>
          <w:bottom w:w="0" w:type="dxa"/>
          <w:right w:w="0" w:type="dxa"/>
        </w:tblCellMar>
      </w:tblPr>
      <w:tr>
        <w:trPr>
          <w:trHeight w:val="258"/>
        </w:trPr>
        <w:tc>
          <w:tcPr>
            <w:tcW w:w="4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80" w:type="dxa"/>
            <w:vAlign w:val="bottom"/>
            <w:tcBorders>
              <w:top w:val="single" w:sz="8" w:color="0000EE"/>
            </w:tcBorders>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3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Years ended December 2018, 2017, and 2016</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Board of Directors declared the following cash dividends in 2018, 2017, and 2016:</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Dividend per</w:t>
            </w:r>
          </w:p>
        </w:tc>
        <w:tc>
          <w:tcPr>
            <w:tcW w:w="120" w:type="dxa"/>
            <w:vAlign w:val="bottom"/>
          </w:tcPr>
          <w:p>
            <w:pPr>
              <w:spacing w:after="0"/>
              <w:rPr>
                <w:sz w:val="24"/>
                <w:szCs w:val="24"/>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Payable to Shareholders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Declaration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20" w:type="dxa"/>
            <w:vAlign w:val="bottom"/>
          </w:tcPr>
          <w:p>
            <w:pPr>
              <w:spacing w:after="0"/>
              <w:rPr>
                <w:sz w:val="20"/>
                <w:szCs w:val="20"/>
                <w:color w:val="auto"/>
              </w:rPr>
            </w:pPr>
          </w:p>
        </w:tc>
        <w:tc>
          <w:tcPr>
            <w:tcW w:w="22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of Record on</w:t>
            </w: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320" w:type="dxa"/>
            <w:vAlign w:val="bottom"/>
          </w:tcPr>
          <w:p>
            <w:pPr>
              <w:spacing w:after="0"/>
              <w:rPr>
                <w:sz w:val="20"/>
                <w:szCs w:val="20"/>
                <w:color w:val="auto"/>
              </w:rPr>
            </w:pPr>
          </w:p>
        </w:tc>
        <w:tc>
          <w:tcPr>
            <w:tcW w:w="18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2018</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22, 2018</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12, 2018</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30,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9,049,476</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May 1, 2018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11, 2018</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29, 2018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9,066,023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 2018</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10, 2018</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28,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9,080,519</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November 7, 2018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14, 2018</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28, 2018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9,088,542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36,284,560</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14,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2017</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8,878,147</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May 2, 2017</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12, 2017</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8,917,471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11, 2017</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29,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8,943,279</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November 1, 2017</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2017</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28, 2017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8,974,196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15, 2017</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28,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14,956,994</w:t>
            </w:r>
          </w:p>
        </w:tc>
        <w:tc>
          <w:tcPr>
            <w:tcW w:w="0" w:type="dxa"/>
            <w:vAlign w:val="bottom"/>
          </w:tcPr>
          <w:p>
            <w:pPr>
              <w:spacing w:after="0"/>
              <w:rPr>
                <w:sz w:val="1"/>
                <w:szCs w:val="1"/>
                <w:color w:val="auto"/>
              </w:rPr>
            </w:pPr>
          </w:p>
        </w:tc>
      </w:tr>
      <w:tr>
        <w:trPr>
          <w:trHeight w:val="297"/>
        </w:trPr>
        <w:tc>
          <w:tcPr>
            <w:tcW w:w="2420" w:type="dxa"/>
            <w:vAlign w:val="bottom"/>
            <w:tcBorders>
              <w:bottom w:val="single" w:sz="8" w:color="CCEEFF"/>
            </w:tcBorders>
            <w:gridSpan w:val="5"/>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50,670,087</w:t>
            </w:r>
          </w:p>
        </w:tc>
        <w:tc>
          <w:tcPr>
            <w:tcW w:w="0" w:type="dxa"/>
            <w:vAlign w:val="bottom"/>
          </w:tcPr>
          <w:p>
            <w:pPr>
              <w:spacing w:after="0"/>
              <w:rPr>
                <w:sz w:val="1"/>
                <w:szCs w:val="1"/>
                <w:color w:val="auto"/>
              </w:rPr>
            </w:pPr>
          </w:p>
        </w:tc>
      </w:tr>
      <w:tr>
        <w:trPr>
          <w:trHeight w:val="190"/>
        </w:trPr>
        <w:tc>
          <w:tcPr>
            <w:tcW w:w="4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w w:val="94"/>
              </w:rPr>
              <w:t>2016</w:t>
            </w: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February 16, 2016</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14, 2016</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28, 2016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5,848,561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 2016</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13, 2016</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5,873,582</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August 3, 2016</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12, 2016</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2016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5,882,342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2016</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16, 2016</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29,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8,847,431</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November 1, 2016</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16, 2016</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29, 2016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39,813,440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66,265,356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0" w:firstLine="351"/>
        <w:spacing w:after="0" w:line="282" w:lineRule="auto"/>
        <w:rPr>
          <w:sz w:val="20"/>
          <w:szCs w:val="20"/>
          <w:color w:val="auto"/>
        </w:rPr>
      </w:pPr>
      <w:r>
        <w:rPr>
          <w:rFonts w:ascii="Times New Roman" w:cs="Times New Roman" w:eastAsia="Times New Roman" w:hAnsi="Times New Roman"/>
          <w:sz w:val="18"/>
          <w:szCs w:val="18"/>
          <w:color w:val="auto"/>
        </w:rPr>
        <w:t>Included in the dividends are $391,000, $450,000 and $664,000 of dividend equivalents on RSUs, of which $557,000, $434,000 and $666,000 were payable as of December 31, 2018, 2017, and 2016,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ind w:firstLine="351"/>
        <w:spacing w:after="0" w:line="261"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72"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December 31, 2018, 1,724,865 shares are available for grant.</w:t>
      </w:r>
    </w:p>
    <w:p>
      <w:pPr>
        <w:spacing w:after="0" w:line="68"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50,000, and at December 31, 2018, 21,663 shares are available for grant.</w:t>
      </w:r>
    </w:p>
    <w:p>
      <w:pPr>
        <w:spacing w:after="0" w:line="68" w:lineRule="exact"/>
        <w:rPr>
          <w:sz w:val="20"/>
          <w:szCs w:val="20"/>
          <w:color w:val="auto"/>
        </w:rPr>
      </w:pPr>
    </w:p>
    <w:p>
      <w:pPr>
        <w:ind w:right="100" w:firstLine="351"/>
        <w:spacing w:after="0" w:line="313" w:lineRule="auto"/>
        <w:rPr>
          <w:sz w:val="20"/>
          <w:szCs w:val="20"/>
          <w:color w:val="auto"/>
        </w:rPr>
      </w:pPr>
      <w:r>
        <w:rPr>
          <w:rFonts w:ascii="Times New Roman" w:cs="Times New Roman" w:eastAsia="Times New Roman" w:hAnsi="Times New Roman"/>
          <w:sz w:val="17"/>
          <w:szCs w:val="17"/>
          <w:color w:val="auto"/>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112" w:right="239" w:bottom="1440" w:gutter="0" w:footer="0" w:header="0"/>
        </w:sectPr>
      </w:pPr>
    </w:p>
    <w:bookmarkStart w:id="156" w:name="page157"/>
    <w:bookmarkEnd w:id="15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option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4"/>
        </w:trPr>
        <w:tc>
          <w:tcPr>
            <w:tcW w:w="26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1,479,236</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2,234,699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2,058,085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205,244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706,203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(308,025)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(55,887)</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1,115,324</w:t>
            </w:r>
          </w:p>
        </w:tc>
        <w:tc>
          <w:tcPr>
            <w:tcW w:w="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1,479,236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2,234,699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814,421</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846,371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1,207,479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51"/>
        <w:spacing w:after="0" w:line="282" w:lineRule="auto"/>
        <w:rPr>
          <w:sz w:val="20"/>
          <w:szCs w:val="20"/>
          <w:color w:val="auto"/>
        </w:rPr>
      </w:pPr>
      <w:r>
        <w:rPr>
          <w:rFonts w:ascii="Times New Roman" w:cs="Times New Roman" w:eastAsia="Times New Roman" w:hAnsi="Times New Roman"/>
          <w:sz w:val="18"/>
          <w:szCs w:val="18"/>
          <w:color w:val="auto"/>
        </w:rPr>
        <w:t>All of the outstanding options vest over two to four years and have a contractual life of seven years from the original date of grant. All of the outstanding options have an exercise price equal to the fair value of the underlying shares at the date of grant.</w:t>
      </w:r>
    </w:p>
    <w:p>
      <w:pPr>
        <w:spacing w:after="0" w:line="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intrinsic value of each option is determined based on the difference between the fair value of the underlying share and the exercise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option. The total intrinsic value of options exercised during 2018, 2017 and 2016 was $4.6 million, $20.4 million and $10.2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options outstanding at December 31, 2018, 2017 and 2016 was $9.4 million, $18.5 million and $41.8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options exercisable at December 31, 2018, 2017 and 2016 was $8.5 million, $14.9 million and $28.3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used for calculating intrinsic values was $36.54, $40.01 and $41.55 at December 31, 2018, 2017 and 2016, respectively.</w:t>
      </w:r>
    </w:p>
    <w:p>
      <w:pPr>
        <w:spacing w:after="0" w:line="99" w:lineRule="exact"/>
        <w:rPr>
          <w:sz w:val="20"/>
          <w:szCs w:val="20"/>
          <w:color w:val="auto"/>
        </w:rPr>
      </w:pPr>
    </w:p>
    <w:p>
      <w:pPr>
        <w:ind w:right="300" w:firstLine="351"/>
        <w:spacing w:after="0" w:line="261" w:lineRule="auto"/>
        <w:rPr>
          <w:sz w:val="20"/>
          <w:szCs w:val="20"/>
          <w:color w:val="auto"/>
        </w:rPr>
      </w:pPr>
      <w:r>
        <w:rPr>
          <w:rFonts w:ascii="Times New Roman" w:cs="Times New Roman" w:eastAsia="Times New Roman" w:hAnsi="Times New Roman"/>
          <w:sz w:val="18"/>
          <w:szCs w:val="18"/>
          <w:color w:val="auto"/>
        </w:rPr>
        <w:t>The weighted-average remaining contractual life of the options outstanding and options exercisable at December 31, 2018 is 3.6 years and 3.3 years, respectively. There were no options granted in 2018. The weighted-average fair value of options granted during 2017 and 2016 was $8.21 and $5.55, respectively. The value of the options granted was estimated at the date of grant using the Black-Scholes-Merton option pricing model using the following assumptions: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6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7160" w:type="dxa"/>
            <w:vAlign w:val="bottom"/>
          </w:tcPr>
          <w:p>
            <w:pPr>
              <w:spacing w:after="0"/>
              <w:rPr>
                <w:sz w:val="22"/>
                <w:szCs w:val="22"/>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2"/>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7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7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 years</w:t>
            </w:r>
          </w:p>
        </w:tc>
        <w:tc>
          <w:tcPr>
            <w:tcW w:w="1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 years</w:t>
            </w:r>
          </w:p>
        </w:tc>
      </w:tr>
      <w:tr>
        <w:trPr>
          <w:trHeight w:val="27"/>
        </w:trPr>
        <w:tc>
          <w:tcPr>
            <w:tcW w:w="7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The risk-free interest rate assumption is based on the five-year U.S. Treasury rate at the date of the grant. The dividend yield assumption was based upon dividends expected to be declared over the life of the options at the date of grant. In 2017, the share price volatility assumption was based upon the Company's 100-day realized volatility. In years prior to 2017, as a relatively new public company, the share price volatility assumption was based upon historical data for property-casualty companies which the Company deemed to be its peers. The expected life is determined using the simplified method, which factors in the average of the midpoint and the contractual term of each tranche in determining a single expected life. The simplified method is used as the Company does not have sufficient historical exercise data to estimate an expected term.</w:t>
      </w:r>
    </w:p>
    <w:p>
      <w:pPr>
        <w:spacing w:after="0" w:line="80"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The Black-Scholes-Merton option pricing model was developed for use in estimating the fair value of traded options that have no vesting restrictions and are fully transferable. In addition, option valuation models require the input of highly subjective assumptions including expected share price volatility. Because the Company’s share options have characteristics significantly different from those of traded options and because changes in the subjective input assumptions can materially affect the fair value estimate, the existing models do not necessarily provide a reliable single measure of the fair value of such share options.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122" w:right="239" w:bottom="1440" w:gutter="0" w:footer="0" w:header="0"/>
        </w:sectPr>
      </w:pPr>
    </w:p>
    <w:bookmarkStart w:id="157" w:name="page158"/>
    <w:bookmarkEnd w:id="15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beginning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178,882</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196,800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234,922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137,034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60,291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end of year</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300,142</w:t>
            </w:r>
          </w:p>
        </w:tc>
        <w:tc>
          <w:tcPr>
            <w:tcW w:w="60" w:type="dxa"/>
            <w:vAlign w:val="bottom"/>
            <w:tcBorders>
              <w:top w:val="single" w:sz="8" w:color="auto"/>
              <w:bottom w:val="single" w:sz="8" w:color="auto"/>
            </w:tcBorders>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178,882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196,800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The vesting period of RSUs granted to employees range from one to five years and vest ratably over the respective vesting period, with the majority vesting in three years. All RSUs granted to date to non-employee directors had a one year vesting period. The total fair value of shares vested in 2018, 2017 and 2016 was $3.2 million, $5.5 million and $3.8 million, respectively.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ind w:right="580" w:firstLine="351"/>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 line basis over the vesting period. The amount of expense and related tax benefit is summarized below:</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7,688</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5,492</w:t>
            </w:r>
          </w:p>
        </w:tc>
      </w:tr>
      <w:tr>
        <w:trPr>
          <w:trHeight w:val="27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2,093</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1,532</w:t>
            </w:r>
          </w:p>
        </w:tc>
      </w:tr>
    </w:tbl>
    <w:p>
      <w:pPr>
        <w:spacing w:after="0" w:line="117" w:lineRule="exact"/>
        <w:rPr>
          <w:sz w:val="20"/>
          <w:szCs w:val="20"/>
          <w:color w:val="auto"/>
        </w:rPr>
      </w:pPr>
    </w:p>
    <w:p>
      <w:pPr>
        <w:ind w:right="140" w:firstLine="351"/>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$8.4 million of unrecognized share based compensation expense expected to be charged to earnings over a weighted-average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48"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Under current Bermuda law, James River Group Holdings, Ltd. and its Bermuda based subsidiaries, JRG Re and Carolina Re, are not required to pay any Bermuda taxes on their income or capital gains. Those companies have received an undertaking from the Minister of Finance in Bermuda that, in the event of any taxes being imposed, the Company will be exempt from taxation in Bermuda until March 2035.</w:t>
      </w:r>
    </w:p>
    <w:p>
      <w:pPr>
        <w:spacing w:after="0" w:line="68"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Distributions from the Company’s U.S. subsidiaries to its U.K. intermediate holding company, James River UK, are generally subject to a 5% dividend withholding tax. James River Group paid a $21.1 million dividend to James River UK during 2017 and remitted $1.1 million of dividend withholding taxes to the U.S. tax authorities for the year ending December 31, 2017. No similar distributions occurred in 2018 or 2016.</w:t>
      </w:r>
    </w:p>
    <w:p>
      <w:pPr>
        <w:spacing w:after="0" w:line="68" w:lineRule="exact"/>
        <w:rPr>
          <w:sz w:val="20"/>
          <w:szCs w:val="20"/>
          <w:color w:val="auto"/>
        </w:rPr>
      </w:pPr>
    </w:p>
    <w:p>
      <w:pPr>
        <w:ind w:right="100" w:firstLine="351"/>
        <w:spacing w:after="0" w:line="266" w:lineRule="auto"/>
        <w:rPr>
          <w:sz w:val="20"/>
          <w:szCs w:val="20"/>
          <w:color w:val="auto"/>
        </w:rPr>
      </w:pPr>
      <w:r>
        <w:rPr>
          <w:rFonts w:ascii="Times New Roman" w:cs="Times New Roman" w:eastAsia="Times New Roman" w:hAnsi="Times New Roman"/>
          <w:sz w:val="18"/>
          <w:szCs w:val="18"/>
          <w:color w:val="auto"/>
        </w:rPr>
        <w:t>The Company’s U.S. subsidiaries are subject to federal, state and local corporate income taxes, and other taxes applicable to U.S. corporations. In addition, Carolina Re is subject to Federal income taxes as a result of its irrevocable election to be taxed as a U.S. domestic corporation under Section 953(d) of the Code. The Company’s U.S.-domiciled subsidiaries and Carolina Re file a consolidated U.S. federal income tax return.</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U.S.-based subsidiaries are generally no longer subject to income tax examination by U.S. income tax authorities for the tax years ending before January 1, 2015.</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Financial results for 2017 reflect provisional amounts related to the December 2017 enactment of the Tax Act.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The Company did not record any amounts related to the changes in loss reserve discounting required by the Tax Act during 2017. These changes required the IRS to publish new discount factors based on loss payment patterns and interest rates determined under the Tax Act. During 2018, factors were published that allowed us to adjust our current and deferred tax liabilities based on the provisions of the Tax Act. The Tax Act has specific transition provisions associated with reserve discounting. The initial impact of the adjustments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provision and adjusted out of our deferred tax liability. There were other provisions of the Tax Act for which the Company finalized its estimates during 2018, and the impact of these was immaterial.</w:t>
      </w:r>
    </w:p>
    <w:p>
      <w:pPr>
        <w:spacing w:after="0" w:line="81" w:lineRule="exact"/>
        <w:rPr>
          <w:sz w:val="20"/>
          <w:szCs w:val="20"/>
          <w:color w:val="auto"/>
        </w:rPr>
      </w:pPr>
    </w:p>
    <w:p>
      <w:pPr>
        <w:ind w:right="80" w:firstLine="351"/>
        <w:spacing w:after="0" w:line="274" w:lineRule="auto"/>
        <w:rPr>
          <w:sz w:val="20"/>
          <w:szCs w:val="20"/>
          <w:color w:val="auto"/>
        </w:rPr>
      </w:pPr>
      <w:r>
        <w:rPr>
          <w:rFonts w:ascii="Times New Roman" w:cs="Times New Roman" w:eastAsia="Times New Roman" w:hAnsi="Times New Roman"/>
          <w:sz w:val="17"/>
          <w:szCs w:val="17"/>
          <w:color w:val="auto"/>
        </w:rPr>
        <w:t>The expected income tax provision computed from pre-tax income at the weighted-average tax rate has been calculated as the sum of the pre-tax income in each jurisdiction multiplied by that jurisdiction’s applicable Federal statutory tax rate. Federal statutory tax rates of 0% and 21% have been used in 2018 for Bermuda and the U.S., respectively. A Federal statutory rate of 35% has been used for the U.S. in 2017 and 2016. U.S. deferred taxes were remeasured at 21% in 2017, down from 35% in 2016. U.S. income before Federal income taxes was $37.5 million, $50.1 million, and $18.3 million for the years ending December 31, 2018, 2017, and 2016, respectively. A reconciliation of the difference between the Company’s Federal income tax provision on U.S. income and the expected Federal tax provision on U.S. income using the weighted-average tax rate as well as a reconciliation to total tax expense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4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5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income tax expense at applicable statutory rates</w:t>
            </w:r>
          </w:p>
        </w:tc>
        <w:tc>
          <w:tcPr>
            <w:tcW w:w="31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7,875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6,401</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Tax-exempt investment income</w:t>
            </w:r>
          </w:p>
        </w:tc>
        <w:tc>
          <w:tcPr>
            <w:tcW w:w="2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on share based compensation</w:t>
            </w:r>
          </w:p>
        </w:tc>
        <w:tc>
          <w:tcPr>
            <w:tcW w:w="2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tax rate reduction on deferred tax liability</w:t>
            </w: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228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7,094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10,461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4,872</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state income tax (benefit) expense</w:t>
            </w:r>
          </w:p>
        </w:tc>
        <w:tc>
          <w:tcPr>
            <w:tcW w:w="2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dividend withholding tax</w:t>
            </w: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1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7,008</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11,579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4800" w:type="dxa"/>
            <w:vAlign w:val="bottom"/>
          </w:tcPr>
          <w:p>
            <w:pPr>
              <w:spacing w:after="0"/>
              <w:rPr>
                <w:sz w:val="24"/>
                <w:szCs w:val="24"/>
                <w:color w:val="auto"/>
              </w:rPr>
            </w:pPr>
          </w:p>
        </w:tc>
        <w:tc>
          <w:tcPr>
            <w:tcW w:w="314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F-39</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9" w:name="page160"/>
    <w:bookmarkEnd w:id="15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320" w:firstLine="351"/>
        <w:spacing w:after="0" w:line="282" w:lineRule="auto"/>
        <w:rPr>
          <w:sz w:val="20"/>
          <w:szCs w:val="20"/>
          <w:color w:val="auto"/>
        </w:rPr>
      </w:pPr>
      <w:r>
        <w:rPr>
          <w:rFonts w:ascii="Times New Roman" w:cs="Times New Roman" w:eastAsia="Times New Roman" w:hAnsi="Times New Roman"/>
          <w:sz w:val="18"/>
          <w:szCs w:val="18"/>
          <w:color w:val="auto"/>
        </w:rPr>
        <w:t>The significant components of net deferred tax assets (liabilities) at the corporate income tax rate of 21% for the years ended December 31, 2018 and 2017 are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Invested asset impairments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13,644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20,588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18,891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351"/>
        <w:spacing w:after="0" w:line="261" w:lineRule="auto"/>
        <w:rPr>
          <w:sz w:val="20"/>
          <w:szCs w:val="20"/>
          <w:color w:val="auto"/>
        </w:rPr>
      </w:pPr>
      <w:r>
        <w:rPr>
          <w:rFonts w:ascii="Times New Roman" w:cs="Times New Roman" w:eastAsia="Times New Roman" w:hAnsi="Times New Roman"/>
          <w:sz w:val="18"/>
          <w:szCs w:val="18"/>
          <w:color w:val="auto"/>
        </w:rPr>
        <w:t>Deferred income taxes have not been accrued with respect to certain undistributed earnings of foreign subsidiaries. If the earnings were to be distributed, as dividends or otherwise, such amounts may be subject to withholding taxation in the jurisdiction of the paying entity. The Company asserts that U.S. unremitted earnings as of December 31, 2018 will be permanently reinvested in the U.S. and, accordingly, no provision for withholding taxes arising in respect to U.S. unremitted earnings has been made.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had no reserve for future tax contingencies or liabilities (“unrecognized tax benefits”) at December 31, 2018 or 2017.</w:t>
      </w:r>
    </w:p>
    <w:p>
      <w:pPr>
        <w:spacing w:after="0" w:line="11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The U.S. imposes a 1% excise tax on reinsurance premiums paid to non-U.S. reinsurers with respect to risks located in the U.S. The rates of tax are established based on the nature of the risk, unless reduced by an applicable U.S. tax treaty. For the years ended December 31, 2018, 2017, and 2016, the Company paid $823,000, $3.4 million, and $2.6 million, respectively, of federal excise taxes on its intercompany reinsurance transactions. The Company also paid excise taxes of $2.1 million, $2.2 million, and $1.6 million for the years ended December 31, 2018, 2017, and 2016, respectively, on written premiums assumed from third-party insurers with respect to risks located in the U.S. These excise taxes are reflected as “other operating expenses” in the Company’s consolidated income statements.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122" w:right="239" w:bottom="1440" w:gutter="0" w:footer="0" w:header="0"/>
        </w:sectPr>
      </w:pPr>
    </w:p>
    <w:bookmarkStart w:id="160" w:name="page161"/>
    <w:bookmarkEnd w:id="16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Operating Expenses and Other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111,103</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underwriting expenses of the insurance segments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26,903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201,035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196,993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170,828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expenses consist of the following:</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on leased building the Company is deemed to own for accounting purposes (see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21)</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 services related to secondary share offerings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Benefits</w:t>
      </w:r>
    </w:p>
    <w:p>
      <w:pPr>
        <w:spacing w:after="0" w:line="148"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2018, 2017, and 2016, the expense associated with the Savings Plans totaled $2.9 million, $2.5 million, and $1.9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Contingent Liabilities</w:t>
      </w:r>
    </w:p>
    <w:p>
      <w:pPr>
        <w:spacing w:after="0" w:line="148" w:lineRule="exact"/>
        <w:rPr>
          <w:sz w:val="20"/>
          <w:szCs w:val="20"/>
          <w:color w:val="auto"/>
        </w:rPr>
      </w:pPr>
    </w:p>
    <w:p>
      <w:pPr>
        <w:ind w:right="240" w:firstLine="351"/>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54" w:lineRule="exact"/>
        <w:rPr>
          <w:sz w:val="20"/>
          <w:szCs w:val="20"/>
          <w:color w:val="auto"/>
        </w:rPr>
      </w:pPr>
    </w:p>
    <w:p>
      <w:pPr>
        <w:ind w:right="100" w:firstLine="351"/>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space under operating leases that expire at various times and are subject to renewal options at market rates prevailing at the time of renewal. Rental expense for such leases was $4.6 million, $4.2 million, and $3.7 million for the years ended December 31, 2018, 2017, and 2016, respectively.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December 31, 2018, future minimum payments under non-cancelable operating leases for office space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3,946</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3,790</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3,507</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2,639</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4,705</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20,963</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420"/>
          </w:cols>
          <w:pgMar w:left="240" w:top="122" w:right="239" w:bottom="1440" w:gutter="0" w:footer="0" w:header="0"/>
          <w:type w:val="continuous"/>
        </w:sectPr>
      </w:pPr>
    </w:p>
    <w:bookmarkStart w:id="161" w:name="page162"/>
    <w:bookmarkEnd w:id="16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20" w:firstLine="351"/>
        <w:spacing w:after="0" w:line="282" w:lineRule="auto"/>
        <w:rPr>
          <w:sz w:val="20"/>
          <w:szCs w:val="20"/>
          <w:color w:val="auto"/>
        </w:rPr>
      </w:pPr>
      <w:r>
        <w:rPr>
          <w:rFonts w:ascii="Times New Roman" w:cs="Times New Roman" w:eastAsia="Times New Roman" w:hAnsi="Times New Roman"/>
          <w:sz w:val="18"/>
          <w:szCs w:val="18"/>
          <w:color w:val="auto"/>
        </w:rPr>
        <w:t>Included in the future minimum lease payments is $15.2 million related to the building constructed and owned by a partnership in which the Company has a minority investment (see Note 21).</w:t>
      </w:r>
    </w:p>
    <w:p>
      <w:pPr>
        <w:spacing w:after="0" w:line="54"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Company’s Specialty Admitted Insurance segment entered into an agreement to lease certain policy management software. The five year lease began January 1, 2015. Lease expense for the year ended December 31, 2018 was $440,000 and total remaining payments of $468,000 will be paid in 2019.</w:t>
      </w:r>
    </w:p>
    <w:p>
      <w:pPr>
        <w:spacing w:after="0" w:line="5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The Company’s reinsurance subsidiary, JRG Re, entered into three letter of credit facilities with banks as security to third-party reinsureds on reinsurance assumed by JRG Re. JRG Re has established custodial accounts to secure these letters of credit. Under a $100.0 million facility, $52.6 million of letters of credit were issued through December 31, 2018 which were secured by deposits of $65.7 million. Under the 2013 Facility, $75.5 million of letters of credit were issued through December 31, 2018 which were secured by deposits of $94.0 million. Under the 2017 Facility, $7.6 million of letters of credit were issued through December 31, 2018 which were secured by deposits of $10.2 million. JRG Re has also established trust accounts to secure its obligations to selected reinsureds. The total amount deposited in the trust accounts for the benefit of third-party reinsureds was $301.5 million at December 31, 2018 (see Note 2).</w:t>
      </w:r>
    </w:p>
    <w:p>
      <w:pPr>
        <w:spacing w:after="0" w:line="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a party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December 31, 2018, the cash equivalent collateral held in the collateral trust arrangement was approximately $1,099.2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Comprehensive (Loss)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other comprehensive (loss) income: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(losses) gains arising during the period, before U.S.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11,091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(losses) gains arising during the period, net of U.S.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2,376</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for investment (losses) gains realized in net income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4,435</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9,219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addition to the $554,000 and $835,000 of realized investment losses and $6.6 million of realized investment gains on available-for-sale fixed maturity securities for the years ended December 31, 2018, 2017, and 2016, the Company recognized $1.1 million of realized investment gains, $1.2 million of realized investment losses, and $995,000 of realized investment gains in the respective years on its investments in bank loan participations. 2018 also includes net realized losses of $6.0 million for the change in net unrealized gains on equity securities in accordance with the Company's adoption of ASU 2016-01 effective January 1, 2018.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122" w:right="239" w:bottom="1440" w:gutter="0" w:footer="0" w:header="0"/>
        </w:sectPr>
      </w:pPr>
    </w:p>
    <w:bookmarkStart w:id="162" w:name="page163"/>
    <w:bookmarkEnd w:id="16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48"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The Company has four reportable segments, three of which are separately managed business units and the fourth (“Corporate and Other”) includes the Company’s remaining operations. The Excess and Surplus Lines segment primarily offers commercial excess and surplus lines liability and excess property insurance products. The Specialty Admitted Insurance segment offers workers’ compensation insurance coverage as well as specialty admitted fronting and program business. The Casualty Reinsurance segment offers commercial liability and non-catastrophe property reinsurance to U.S. insurance companies and to the Company’s U.S.-based insurance subsidiaries. The Corporate and Other segment consists of certain management and treasury activities of James River Group, James River UK, and JRG Holdings as well as interest expense associated with senior debt and Junior Subordinated Debt, and investment income from investments classified as trading or other invested assets. The accounting policies of the reportable segments are the same as those described in the summary of significant accounting policies.</w:t>
      </w:r>
    </w:p>
    <w:p>
      <w:pPr>
        <w:spacing w:after="0" w:line="77"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Segment revenues for each reportable segment consist of net earned premiums, net investment income, and realized and unrealized (losses) gains on investments. Segment profit (loss) for each reportable segment is measured by underwriting profit (loss), which is generally defined as net earned premiums less losses and loss adjustment expenses and other operating expenses of the operating segments. Gross fee income of the Excess and Surplus Lines segment are included in that segment’s underwriting profit (loss). Gross fee income of $13.9 million, $17.0 million and $10.1 million was included in underwriting profit for the years ended December 31, 2018, 2017 and 2016, respectively. Segment results are reported prior to the effects of the intercompany reinsurance agreements between the Company’s insurance subsidiaries. All gross written premiums and net earned premiums for all periods presented were generated from policies issued to U.S. based insureds.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460" w:type="dxa"/>
            <w:vAlign w:val="bottom"/>
          </w:tcPr>
          <w:p>
            <w:pPr>
              <w:spacing w:after="0"/>
              <w:rPr>
                <w:sz w:val="13"/>
                <w:szCs w:val="13"/>
                <w:color w:val="auto"/>
              </w:rPr>
            </w:pPr>
          </w:p>
        </w:tc>
        <w:tc>
          <w:tcPr>
            <w:tcW w:w="108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80" w:type="dxa"/>
            <w:vAlign w:val="bottom"/>
          </w:tcPr>
          <w:p>
            <w:pPr>
              <w:spacing w:after="0"/>
              <w:rPr>
                <w:sz w:val="13"/>
                <w:szCs w:val="13"/>
                <w:color w:val="auto"/>
              </w:rPr>
            </w:pPr>
          </w:p>
        </w:tc>
        <w:tc>
          <w:tcPr>
            <w:tcW w:w="11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Casualty</w:t>
            </w:r>
          </w:p>
        </w:tc>
        <w:tc>
          <w:tcPr>
            <w:tcW w:w="340" w:type="dxa"/>
            <w:vAlign w:val="bottom"/>
          </w:tcPr>
          <w:p>
            <w:pPr>
              <w:spacing w:after="0"/>
              <w:rPr>
                <w:sz w:val="13"/>
                <w:szCs w:val="13"/>
                <w:color w:val="auto"/>
              </w:rPr>
            </w:pPr>
          </w:p>
        </w:tc>
        <w:tc>
          <w:tcPr>
            <w:tcW w:w="1560" w:type="dxa"/>
            <w:vAlign w:val="bottom"/>
          </w:tcPr>
          <w:p>
            <w:pPr>
              <w:jc w:val="center"/>
              <w:ind w:right="595"/>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right="595"/>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9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656,538</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374,346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135,889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1,166,773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555,684</w:t>
            </w:r>
          </w:p>
        </w:tc>
        <w:tc>
          <w:tcPr>
            <w:tcW w:w="4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55,146</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204,568</w:t>
            </w:r>
          </w:p>
        </w:tc>
        <w:tc>
          <w:tcPr>
            <w:tcW w:w="340" w:type="dxa"/>
            <w:vAlign w:val="bottom"/>
          </w:tcPr>
          <w:p>
            <w:pPr>
              <w:spacing w:after="0"/>
              <w:rPr>
                <w:sz w:val="21"/>
                <w:szCs w:val="21"/>
                <w:color w:val="auto"/>
              </w:rPr>
            </w:pP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815,398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580,785</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56,717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243,178</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4,919</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885,599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4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3,262</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38,838</w:t>
            </w:r>
          </w:p>
        </w:tc>
        <w:tc>
          <w:tcPr>
            <w:tcW w:w="340" w:type="dxa"/>
            <w:vAlign w:val="bottom"/>
          </w:tcPr>
          <w:p>
            <w:pPr>
              <w:spacing w:after="0"/>
              <w:rPr>
                <w:sz w:val="21"/>
                <w:szCs w:val="21"/>
                <w:color w:val="auto"/>
              </w:rPr>
            </w:pP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4,700</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61,256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11,553</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11,553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profit of operating segments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4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6,972</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5,103</w:t>
            </w:r>
          </w:p>
        </w:tc>
        <w:tc>
          <w:tcPr>
            <w:tcW w:w="340" w:type="dxa"/>
            <w:vAlign w:val="bottom"/>
          </w:tcPr>
          <w:p>
            <w:pPr>
              <w:spacing w:after="0"/>
              <w:rPr>
                <w:sz w:val="21"/>
                <w:szCs w:val="21"/>
                <w:color w:val="auto"/>
              </w:rPr>
            </w:pP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972,111</w:t>
            </w:r>
          </w:p>
        </w:tc>
        <w:tc>
          <w:tcPr>
            <w:tcW w:w="4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633,689</w:t>
            </w: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1,453,754</w:t>
            </w:r>
          </w:p>
        </w:tc>
        <w:tc>
          <w:tcPr>
            <w:tcW w:w="340" w:type="dxa"/>
            <w:vAlign w:val="bottom"/>
          </w:tcPr>
          <w:p>
            <w:pPr>
              <w:spacing w:after="0"/>
              <w:rPr>
                <w:sz w:val="21"/>
                <w:szCs w:val="21"/>
                <w:color w:val="auto"/>
              </w:rPr>
            </w:pP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77,222</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3,136,776</w:t>
            </w:r>
          </w:p>
        </w:tc>
        <w:tc>
          <w:tcPr>
            <w:tcW w:w="0" w:type="dxa"/>
            <w:vAlign w:val="bottom"/>
          </w:tcPr>
          <w:p>
            <w:pPr>
              <w:spacing w:after="0"/>
              <w:rPr>
                <w:sz w:val="1"/>
                <w:szCs w:val="1"/>
                <w:color w:val="auto"/>
              </w:rPr>
            </w:pPr>
          </w:p>
        </w:tc>
      </w:tr>
      <w:tr>
        <w:trPr>
          <w:trHeight w:val="959"/>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F-43</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3" w:name="page164"/>
    <w:bookmarkEnd w:id="16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460" w:type="dxa"/>
            <w:vAlign w:val="bottom"/>
          </w:tcPr>
          <w:p>
            <w:pPr>
              <w:spacing w:after="0"/>
              <w:rPr>
                <w:sz w:val="13"/>
                <w:szCs w:val="13"/>
                <w:color w:val="auto"/>
              </w:rPr>
            </w:pPr>
          </w:p>
        </w:tc>
        <w:tc>
          <w:tcPr>
            <w:tcW w:w="1140" w:type="dxa"/>
            <w:vAlign w:val="bottom"/>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20" w:type="dxa"/>
            <w:vAlign w:val="bottom"/>
          </w:tcPr>
          <w:p>
            <w:pPr>
              <w:spacing w:after="0"/>
              <w:rPr>
                <w:sz w:val="13"/>
                <w:szCs w:val="13"/>
                <w:color w:val="auto"/>
              </w:rPr>
            </w:pPr>
          </w:p>
        </w:tc>
        <w:tc>
          <w:tcPr>
            <w:tcW w:w="11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Casualty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0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530,120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316,430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235,355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1,081,905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463,521</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68,110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741,109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493,853</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70,366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817,625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2,532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61,119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8,974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profit (loss) of operating segments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29,693</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3,166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843,486</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439,416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1,379,866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93,927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2,756,695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370,844</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182,221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184,333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737,398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301,404</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52,281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515,663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revenues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331,090</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55,412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586,227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2,542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52,638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profit (loss) of operating segments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47,235</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2,872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goodwill</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4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740,144</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300,519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110,640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2,346,533</w:t>
            </w:r>
          </w:p>
        </w:tc>
        <w:tc>
          <w:tcPr>
            <w:tcW w:w="0" w:type="dxa"/>
            <w:vAlign w:val="bottom"/>
          </w:tcPr>
          <w:p>
            <w:pPr>
              <w:spacing w:after="0"/>
              <w:rPr>
                <w:sz w:val="1"/>
                <w:szCs w:val="1"/>
                <w:color w:val="auto"/>
              </w:rPr>
            </w:pPr>
          </w:p>
        </w:tc>
      </w:tr>
      <w:tr>
        <w:trPr>
          <w:trHeight w:val="324"/>
        </w:trPr>
        <w:tc>
          <w:tcPr>
            <w:tcW w:w="1008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The following table reconciles the underwriting profit (loss) of insurance segments by individual segment to income before taxes: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Casualty Reinsurance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underwriting profit of operating segments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31,094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49,913</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profit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29,480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61,119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52,638</w:t>
            </w:r>
          </w:p>
        </w:tc>
        <w:tc>
          <w:tcPr>
            <w:tcW w:w="0" w:type="dxa"/>
            <w:vAlign w:val="bottom"/>
          </w:tcPr>
          <w:p>
            <w:pPr>
              <w:spacing w:after="0"/>
              <w:rPr>
                <w:sz w:val="1"/>
                <w:szCs w:val="1"/>
                <w:color w:val="auto"/>
              </w:rPr>
            </w:pPr>
          </w:p>
        </w:tc>
      </w:tr>
      <w:tr>
        <w:trPr>
          <w:trHeight w:val="27"/>
        </w:trPr>
        <w:tc>
          <w:tcPr>
            <w:tcW w:w="4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55,145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79,343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F-44</w:t>
            </w: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4" w:name="page165"/>
    <w:bookmarkEnd w:id="16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00" w:firstLine="351"/>
        <w:spacing w:after="0" w:line="282" w:lineRule="auto"/>
        <w:rPr>
          <w:sz w:val="20"/>
          <w:szCs w:val="20"/>
          <w:color w:val="auto"/>
        </w:rPr>
      </w:pPr>
      <w:r>
        <w:rPr>
          <w:rFonts w:ascii="Times New Roman" w:cs="Times New Roman" w:eastAsia="Times New Roman" w:hAnsi="Times New Roman"/>
          <w:sz w:val="18"/>
          <w:szCs w:val="18"/>
          <w:color w:val="auto"/>
        </w:rPr>
        <w:t>The Company currently has 15 underwriting divisions, including 13 in the Excess and Surplus Lines segment, one in the Specialty Admitted Insurance segment, and one in the Casualty Reinsurance segment. Each underwriting division focuses on a specific industry group or coverage.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written premiums by segment and underwriting division are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Auto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322,126</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247,960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110,050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Manufacturers and Contractors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85,719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83,279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Casualty</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43,574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Casualty</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38,097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36,858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29,709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Allied Health</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14,413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14,083</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 Sciences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Small Business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Liability</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8,361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Medical Professionals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Sports and Entertainment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2,221</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Excess and Surplus Lines segment</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656,538</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530,120</w:t>
            </w: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370,844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Insurance segment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316,430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182,221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 segment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235,355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184,333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1,166,773</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1,081,905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737,398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-205105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-205105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does business with two brokers that generated $358.3 million and $81.4 million of gross written premiums for the Excess and Surplus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Lines segment for the year ended December 31, 2018, representing 30.7% (BB&amp;T Insurance Services) and 7.0% of consolidated gross written premiums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54.6% and 12.4% of the Excess and Surplus Lines segment’s gross written premiums, respectively. The Company has agency contracts with various branches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aforementioned brokers. No other broker generated 10.0% or more of the gross written premiums for the Excess and Surplus Lines segment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2018. The Company does business with one insured (Rasier LLC) that generated $294.3 million of gross written premiums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million of gross fee income for the Excess and Surplus Lines segment for the year ended December 31, 2018, representing 25.2% of consolidated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premiums and 44.8% of the Excess and Surplus Lines segment’s gross written premiums. No other insured generated 10.0% or more of the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premiums for the Excess and Surplus Lines segment.</w:t>
      </w:r>
    </w:p>
    <w:p>
      <w:pPr>
        <w:spacing w:after="0" w:line="9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The Specialty Admitted Insurance segment accepts applications for insurance from a variety of sources, including independent retail agents, program administrators and managing general agents (“MGAs”). The Company does business with one agency (Atlas General Insurance Services) that generated $201.7 million of gross written premiums for the Specialty Admitted Insurance segment for the year ended December 31, 2018, representing 17.3% of the consolidated gross written premiums and 53.9% of the Specialty Admitted Insurance segment’s gross written premiums. No other agency generated 10.0% or more of the gross written premiums for the Specialty Admitted Insurance segment for the year ended December 31, 2018.</w:t>
      </w:r>
    </w:p>
    <w:p>
      <w:pPr>
        <w:spacing w:after="0" w:line="76" w:lineRule="exact"/>
        <w:rPr>
          <w:sz w:val="20"/>
          <w:szCs w:val="20"/>
          <w:color w:val="auto"/>
        </w:rPr>
      </w:pPr>
    </w:p>
    <w:p>
      <w:pPr>
        <w:ind w:right="40" w:firstLine="351"/>
        <w:spacing w:after="0" w:line="274" w:lineRule="auto"/>
        <w:rPr>
          <w:sz w:val="20"/>
          <w:szCs w:val="20"/>
          <w:color w:val="auto"/>
        </w:rPr>
      </w:pPr>
      <w:r>
        <w:rPr>
          <w:rFonts w:ascii="Times New Roman" w:cs="Times New Roman" w:eastAsia="Times New Roman" w:hAnsi="Times New Roman"/>
          <w:sz w:val="17"/>
          <w:szCs w:val="17"/>
          <w:color w:val="auto"/>
        </w:rPr>
        <w:t>The Company does business with two brokers that generated $54.0 million and $42.3 million of gross written premiums for the Casualty Reinsurance segment for the year ended December 31, 2018, representing 4.6% and 3.6% of consolidated gross written premiums and 39.8% and 31.1% of the Casualty Reinsurance segment’s gross written premiums, respectively. No other broker generated 10.0% or more of the gross written premiums for the Casualty Reinsurance segment for the year ended December 31, 2018. The Casualty Reinsurance segment assumed business from three unaffiliated ceding companies that generated $83.4 million, $22.1 million, and $20.8 million of gross written premiums for the year ended December 31, 2018, representing 7.1%, 1.9%, and 1.8% of consolidated gross written premiums and 61.4%, 16.2%, and 15.3% of the Casualty Reinsurance segment’s gross written premiums, respectively.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122" w:right="239" w:bottom="1440" w:gutter="0" w:footer="0" w:header="0"/>
        </w:sectPr>
      </w:pPr>
    </w:p>
    <w:bookmarkStart w:id="165" w:name="page166"/>
    <w:bookmarkEnd w:id="16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Three levels of inputs are used to measure fair value of financial instruments: (1) Level 1: quoted price (unadjusted) in active markets for identical assets,</w:t>
      </w:r>
    </w:p>
    <w:p>
      <w:pPr>
        <w:spacing w:after="0" w:line="50" w:lineRule="exact"/>
        <w:rPr>
          <w:sz w:val="20"/>
          <w:szCs w:val="20"/>
          <w:color w:val="auto"/>
        </w:rPr>
      </w:pPr>
    </w:p>
    <w:p>
      <w:pPr>
        <w:ind w:right="20" w:firstLine="8"/>
        <w:spacing w:after="0" w:line="313"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41" w:lineRule="exact"/>
        <w:rPr>
          <w:sz w:val="20"/>
          <w:szCs w:val="20"/>
          <w:color w:val="auto"/>
        </w:rPr>
      </w:pPr>
    </w:p>
    <w:p>
      <w:pPr>
        <w:ind w:right="100" w:firstLine="351"/>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4"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2016.</w:t>
      </w:r>
    </w:p>
    <w:p>
      <w:pPr>
        <w:spacing w:after="0" w:line="80"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2018 are summarized below:</w:t>
      </w:r>
    </w:p>
    <w:p>
      <w:pPr>
        <w:spacing w:after="0" w:line="34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516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8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149,295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149,295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204,109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524,768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524,768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197,025</w:t>
            </w:r>
          </w:p>
        </w:tc>
      </w:tr>
      <w:tr>
        <w:trPr>
          <w:trHeight w:val="225"/>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107,193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106,651</w:t>
            </w:r>
          </w:p>
        </w:tc>
        <w:tc>
          <w:tcPr>
            <w:tcW w:w="1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1,073,323</w:t>
            </w:r>
          </w:p>
        </w:tc>
        <w:tc>
          <w:tcPr>
            <w:tcW w:w="10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1,184,202</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60,740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60,740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17,645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16,674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61,497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78,385</w:t>
            </w:r>
          </w:p>
        </w:tc>
      </w:tr>
      <w:tr>
        <w:trPr>
          <w:trHeight w:val="251"/>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80,716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81,966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F-46</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6" w:name="page167"/>
    <w:bookmarkEnd w:id="16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2017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144,366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144,366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158,661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413,721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413,721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177,931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182,611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78,265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78,874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78,265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933,153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1,016,098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66,281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16,241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15,507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82,522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Trading securities: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35,804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60" w:firstLine="351"/>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and equity securities measured at fair value on a recurring basis using significant unobservable inputs (Level 3) is shown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4,680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in to Level 3</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and calls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discount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4,442</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-2057400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340" w:firstLine="351"/>
        <w:spacing w:after="0" w:line="261" w:lineRule="auto"/>
        <w:rPr>
          <w:sz w:val="20"/>
          <w:szCs w:val="20"/>
          <w:color w:val="auto"/>
        </w:rPr>
      </w:pPr>
      <w:r>
        <w:rPr>
          <w:rFonts w:ascii="Times New Roman" w:cs="Times New Roman" w:eastAsia="Times New Roman" w:hAnsi="Times New Roman"/>
          <w:sz w:val="18"/>
          <w:szCs w:val="18"/>
          <w:color w:val="auto"/>
        </w:rPr>
        <w:t>The Company held one available-for-sale fixed maturity security at December 31, 2018 and 2017 for which the fair value was determined using significant unobservable inputs (Level 3). A market approach using prices in trades of comparable securities was utilized to determine a fair value of $4.2 million for the security at December 31, 2018 and $4.7 million at December 31, 2017. At December 31, 2018, the Company held one equity security for which the fair value was determined</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ectPr>
          <w:pgSz w:w="11900" w:h="16838" w:orient="portrait"/>
          <w:cols w:equalWidth="0" w:num="1">
            <w:col w:w="11420"/>
          </w:cols>
          <w:pgMar w:left="240" w:top="122" w:right="239" w:bottom="1440" w:gutter="0" w:footer="0" w:header="0"/>
          <w:type w:val="continuous"/>
        </w:sectPr>
      </w:pPr>
    </w:p>
    <w:bookmarkStart w:id="167" w:name="page168"/>
    <w:bookmarkEnd w:id="16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using significant unobservable inputs (Level 3). A market approach using prices in trades of comparable securities was utilized to determine a fair value of $214,000 for the security at December 31, 2018.</w:t>
      </w:r>
    </w:p>
    <w:p>
      <w:pPr>
        <w:spacing w:after="0" w:line="54" w:lineRule="exact"/>
        <w:rPr>
          <w:sz w:val="20"/>
          <w:szCs w:val="20"/>
          <w:color w:val="auto"/>
        </w:rPr>
      </w:pPr>
    </w:p>
    <w:p>
      <w:pPr>
        <w:jc w:val="both"/>
        <w:ind w:right="40" w:firstLine="351"/>
        <w:spacing w:after="0" w:line="266"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spacing w:after="0" w:line="68" w:lineRule="exact"/>
        <w:rPr>
          <w:sz w:val="20"/>
          <w:szCs w:val="20"/>
          <w:color w:val="auto"/>
        </w:rPr>
      </w:pPr>
    </w:p>
    <w:p>
      <w:pPr>
        <w:ind w:right="160" w:firstLine="351"/>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2018, 2017 or 2016. The Company recognizes transfers between levels at the beginning of the reporting period.</w:t>
      </w:r>
    </w:p>
    <w:p>
      <w:pPr>
        <w:spacing w:after="0" w:line="54"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There were no realized gains or losses included in earnings for the year ended December 31, 2018 attributable to the change in unrealized gains or losses relating to Level 3 assets valued at fair value on a recurring basis that are still held at December 31, 2018.</w:t>
      </w:r>
    </w:p>
    <w:p>
      <w:pPr>
        <w:spacing w:after="0" w:line="54" w:lineRule="exact"/>
        <w:rPr>
          <w:sz w:val="20"/>
          <w:szCs w:val="20"/>
          <w:color w:val="auto"/>
        </w:rPr>
      </w:pPr>
    </w:p>
    <w:p>
      <w:pPr>
        <w:ind w:right="460" w:firstLine="351"/>
        <w:spacing w:after="0" w:line="282" w:lineRule="auto"/>
        <w:rPr>
          <w:sz w:val="20"/>
          <w:szCs w:val="20"/>
          <w:color w:val="auto"/>
        </w:rPr>
      </w:pPr>
      <w:r>
        <w:rPr>
          <w:rFonts w:ascii="Times New Roman" w:cs="Times New Roman" w:eastAsia="Times New Roman" w:hAnsi="Times New Roman"/>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-874395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20" w:firstLine="351"/>
        <w:spacing w:after="0" w:line="282" w:lineRule="auto"/>
        <w:rPr>
          <w:sz w:val="20"/>
          <w:szCs w:val="20"/>
          <w:color w:val="auto"/>
        </w:rPr>
      </w:pPr>
      <w:r>
        <w:rPr>
          <w:rFonts w:ascii="Times New Roman" w:cs="Times New Roman" w:eastAsia="Times New Roman" w:hAnsi="Times New Roman"/>
          <w:sz w:val="18"/>
          <w:szCs w:val="18"/>
          <w:color w:val="231F20"/>
        </w:rPr>
        <w:t xml:space="preserve">Management concluded that none of the bank loan participations held-for-investment were impaired as of </w:t>
      </w:r>
      <w:r>
        <w:rPr>
          <w:rFonts w:ascii="Times New Roman" w:cs="Times New Roman" w:eastAsia="Times New Roman" w:hAnsi="Times New Roman"/>
          <w:sz w:val="18"/>
          <w:szCs w:val="18"/>
          <w:color w:val="000000"/>
        </w:rPr>
        <w:t>December 31, 2018</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 December 31, 2017,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bank loan participations held for investment that were determined to be impaired were written down to their fair value of $5.1 million.</w:t>
      </w:r>
    </w:p>
    <w:p>
      <w:pPr>
        <w:spacing w:after="0" w:line="5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8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December 31, 2018, there were no investments for which external sources were unavailable to determine fair value. At December 31, 2017, there was one bank loan participation with an unpaid principal balance of $807,000 and a carrying value of zero for which external sources were unavailable to determine fair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122" w:right="239" w:bottom="1440" w:gutter="0" w:footer="0" w:header="0"/>
        </w:sectPr>
      </w:pPr>
    </w:p>
    <w:bookmarkStart w:id="168" w:name="page169"/>
    <w:bookmarkEnd w:id="16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60" w:type="dxa"/>
            <w:vAlign w:val="bottom"/>
            <w:tcBorders>
              <w:bottom w:val="single" w:sz="8" w:color="auto"/>
            </w:tcBorders>
          </w:tcPr>
          <w:p>
            <w:pPr>
              <w:spacing w:after="0"/>
              <w:rPr>
                <w:sz w:val="22"/>
                <w:szCs w:val="22"/>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12"/>
                <w:szCs w:val="12"/>
                <w:color w:val="auto"/>
              </w:rPr>
            </w:pPr>
          </w:p>
        </w:tc>
        <w:tc>
          <w:tcPr>
            <w:tcW w:w="88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00" w:type="dxa"/>
            <w:vAlign w:val="bottom"/>
          </w:tcPr>
          <w:p>
            <w:pPr>
              <w:spacing w:after="0"/>
              <w:rPr>
                <w:sz w:val="12"/>
                <w:szCs w:val="12"/>
                <w:color w:val="auto"/>
              </w:rPr>
            </w:pPr>
          </w:p>
        </w:tc>
        <w:tc>
          <w:tcPr>
            <w:tcW w:w="1060" w:type="dxa"/>
            <w:vAlign w:val="bottom"/>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1,184,202</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1,184,202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1,016,098</w:t>
            </w: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1,016,098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78,385</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82,522</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82,522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trading</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3,808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260,972</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250,697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238,214</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236,532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172,457</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172,457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163,495</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163,495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81,966</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81,966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36,804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17,104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debt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118,300</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98,300</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97,884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117,057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116,569</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320" w:firstLine="351"/>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68"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December 31, 2018 and 2017 were determined by calculating the present value of expected future cash flows under the terms of the note agreements or debt agreements, as applicable, discounted at an estimated market rate of interest at December 31, 2018 and 2017, respectively.</w:t>
      </w:r>
    </w:p>
    <w:p>
      <w:pPr>
        <w:spacing w:after="0" w:line="68" w:lineRule="exact"/>
        <w:rPr>
          <w:sz w:val="20"/>
          <w:szCs w:val="20"/>
          <w:color w:val="auto"/>
        </w:rPr>
      </w:pPr>
    </w:p>
    <w:p>
      <w:pPr>
        <w:ind w:right="680" w:firstLine="351"/>
        <w:spacing w:after="0" w:line="282" w:lineRule="auto"/>
        <w:rPr>
          <w:sz w:val="20"/>
          <w:szCs w:val="20"/>
          <w:color w:val="auto"/>
        </w:rPr>
      </w:pPr>
      <w:r>
        <w:rPr>
          <w:rFonts w:ascii="Times New Roman" w:cs="Times New Roman" w:eastAsia="Times New Roman" w:hAnsi="Times New Roman"/>
          <w:sz w:val="18"/>
          <w:szCs w:val="18"/>
          <w:color w:val="auto"/>
        </w:rPr>
        <w:t>The fair values of bank loan participations held-for-investment, senior debt, and Junior Subordinated Debt at December 31, 2018 and 2017 were determined using inputs to the valuation methodology that are unobservable (Level 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Statutory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122" w:right="239" w:bottom="1440" w:gutter="0" w:footer="0" w:header="0"/>
        </w:sectPr>
      </w:pPr>
    </w:p>
    <w:bookmarkStart w:id="169" w:name="page170"/>
    <w:bookmarkEnd w:id="16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220" w:firstLine="351"/>
        <w:spacing w:after="0" w:line="282" w:lineRule="auto"/>
        <w:rPr>
          <w:sz w:val="20"/>
          <w:szCs w:val="20"/>
          <w:color w:val="auto"/>
        </w:rPr>
      </w:pPr>
      <w:r>
        <w:rPr>
          <w:rFonts w:ascii="Times New Roman" w:cs="Times New Roman" w:eastAsia="Times New Roman" w:hAnsi="Times New Roman"/>
          <w:sz w:val="18"/>
          <w:szCs w:val="18"/>
          <w:color w:val="auto"/>
        </w:rPr>
        <w:t>Combined net income, statutory capital and surplus and minimum required statutory capital and surplus, as determined in accordance with statutory accounting practices, for the U.S. insurance subsidiaries as of December 31, 2018, 2017, and 2016 and for the years then ended are summarized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31,881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13,468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241,668</w:t>
            </w:r>
          </w:p>
        </w:tc>
        <w:tc>
          <w:tcPr>
            <w:tcW w:w="2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219,132</w:t>
            </w: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184,859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required statutory capital and surplus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24,850</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25,000</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25,000</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2018, the insurance subsidiaries’ adjusted capital and surplus exceeds their authorized control level RBC.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Bermuda</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Bermuda-based insurance subsidiaries: JRG Re, a Class 3B insurer and Carolina Re, a Class 3A insurer. Under the Bermuda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Act 1978 and related regulations, an insurer must maintain minimum statutory capital and surplus at the greater of a minimum solvency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(“MSM”) and the Enhanced Capital Requirement (“ECR”), which is the higher of the MSM and capital calculated by the Bermuda Solvency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(“BSCR”) model or an approved internal model. The combined Bermuda insurers minimum statutory solvency margin required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was approximately $161.3 million (2017: $109.9 million). Actual combined statutory capital and surplus at December 31, 2018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$439.4 million (2017: $409.2 million). The insurers had combined statutory net income of $86.5 million for 2018, $20.1 million for 2017, and $74.7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2016. The ECR for the year ended December 31, 2017 was $275.4 million. The BSCR models for the year ended December 31, 2018 will not be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Bermuda Monetary Authority until April 30, 2019. The Company believes that the minimum statutory capital and surplus requirements will be met.</w:t>
      </w:r>
    </w:p>
    <w:p>
      <w:pPr>
        <w:spacing w:after="0" w:line="99"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insurers must also maintain a minimum liquidity ratio in which the value of its relevant assets is not less than 75.0% of the amount of its relevant liabilities for general business. Relevant assets include cash and cash equivalents, fixed maturities, quoted alternative investments, accrued interest income, premiums receivable, losses recoverable from reinsurers, and funds withheld. The relevant liabilities include total insurance provisions and other liabilities less deferred income taxes and letters of credit, guarantees and other instruments. As of December 31, 2018 the minimum liquidity ratio requirements were met.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Dividend Restrictions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ind w:right="40" w:firstLine="351"/>
        <w:spacing w:after="0" w:line="258" w:lineRule="auto"/>
        <w:rPr>
          <w:sz w:val="20"/>
          <w:szCs w:val="20"/>
          <w:color w:val="auto"/>
        </w:rPr>
      </w:pPr>
      <w:r>
        <w:rPr>
          <w:rFonts w:ascii="Times New Roman" w:cs="Times New Roman" w:eastAsia="Times New Roman" w:hAnsi="Times New Roman"/>
          <w:sz w:val="18"/>
          <w:szCs w:val="18"/>
          <w:color w:val="auto"/>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2019 without regulatory approval is $24.2 million. However, U.S. insurance regulators have broad powers to prevent the reduction of statutory surplus to inadequate levels and could refuse to permit the payment of dividends.</w:t>
      </w:r>
    </w:p>
    <w:p>
      <w:pPr>
        <w:spacing w:after="0" w:line="76" w:lineRule="exact"/>
        <w:rPr>
          <w:sz w:val="20"/>
          <w:szCs w:val="20"/>
          <w:color w:val="auto"/>
        </w:rPr>
      </w:pPr>
    </w:p>
    <w:p>
      <w:pPr>
        <w:ind w:right="20" w:firstLine="351"/>
        <w:spacing w:after="0" w:line="266" w:lineRule="auto"/>
        <w:rPr>
          <w:sz w:val="20"/>
          <w:szCs w:val="20"/>
          <w:color w:val="auto"/>
        </w:rPr>
      </w:pPr>
      <w:r>
        <w:rPr>
          <w:rFonts w:ascii="Times New Roman" w:cs="Times New Roman" w:eastAsia="Times New Roman" w:hAnsi="Times New Roman"/>
          <w:sz w:val="18"/>
          <w:szCs w:val="18"/>
          <w:color w:val="auto"/>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Bermuda</w:t>
      </w:r>
    </w:p>
    <w:p>
      <w:pPr>
        <w:spacing w:after="0" w:line="11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At December 31, 2018, the maximum combined amount of dividends that can be paid without prior regulatory approval was approximately $109.8 million. However, this dividend amount is subject to annual enhanced solvency requirement calculations.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122" w:right="239" w:bottom="1440" w:gutter="0" w:footer="0" w:header="0"/>
        </w:sectPr>
      </w:pPr>
    </w:p>
    <w:bookmarkStart w:id="170" w:name="page171"/>
    <w:bookmarkEnd w:id="17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34" w:lineRule="exact"/>
        <w:rPr>
          <w:sz w:val="20"/>
          <w:szCs w:val="20"/>
          <w:color w:val="auto"/>
        </w:rPr>
      </w:pP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As of December 31, 2018, JRG Holdings had consolidated retained earnings of $79.8 million, all of which was available for the payment of dividends to shareholders.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Other Related Party Transactions</w:t>
      </w:r>
    </w:p>
    <w:p>
      <w:pPr>
        <w:spacing w:after="0" w:line="148" w:lineRule="exact"/>
        <w:rPr>
          <w:sz w:val="20"/>
          <w:szCs w:val="20"/>
          <w:color w:val="auto"/>
        </w:rPr>
      </w:pPr>
    </w:p>
    <w:p>
      <w:pPr>
        <w:jc w:val="both"/>
        <w:ind w:right="220" w:firstLine="351"/>
        <w:spacing w:after="0" w:line="256" w:lineRule="auto"/>
        <w:rPr>
          <w:sz w:val="20"/>
          <w:szCs w:val="20"/>
          <w:color w:val="auto"/>
        </w:rPr>
      </w:pPr>
      <w:r>
        <w:rPr>
          <w:rFonts w:ascii="Times New Roman" w:cs="Times New Roman" w:eastAsia="Times New Roman" w:hAnsi="Times New Roman"/>
          <w:sz w:val="18"/>
          <w:szCs w:val="18"/>
          <w:color w:val="auto"/>
        </w:rPr>
        <w:t>The Company leases a commercial office building which houses the Company’s Richmond, Virginia operations under the terms of a non-cancelable lease from an entity with which it is affiliated. As a result of being deemed the owner for accounting purposes, the building is recorded as an asset and the related financing obligation is recorded as a liability on the accompanying consolidated balance sheets. Since the arrangement did not qualify for sale-lease back treatment upon completion of the asset’s construction, the Company continues to reduce the obligation over the lease term as payments are made and depreciates the asset over its useful life. Both the financing obligation and the lease had initial 10-year terms which started in 2007. In 2015, the term of the lease and financing obligation were extended until 2026. The arrangements provide for 2% fixed annual rent increases.</w:t>
      </w:r>
    </w:p>
    <w:p>
      <w:pPr>
        <w:spacing w:after="0" w:line="78" w:lineRule="exact"/>
        <w:rPr>
          <w:sz w:val="20"/>
          <w:szCs w:val="20"/>
          <w:color w:val="auto"/>
        </w:rPr>
      </w:pPr>
    </w:p>
    <w:p>
      <w:pPr>
        <w:ind w:right="100" w:firstLine="351"/>
        <w:spacing w:after="0" w:line="261" w:lineRule="auto"/>
        <w:rPr>
          <w:sz w:val="20"/>
          <w:szCs w:val="20"/>
          <w:color w:val="auto"/>
        </w:rPr>
      </w:pPr>
      <w:r>
        <w:rPr>
          <w:rFonts w:ascii="Times New Roman" w:cs="Times New Roman" w:eastAsia="Times New Roman" w:hAnsi="Times New Roman"/>
          <w:sz w:val="18"/>
          <w:szCs w:val="18"/>
          <w:color w:val="auto"/>
        </w:rPr>
        <w:t xml:space="preserve">Upon adoption of </w:t>
      </w:r>
      <w:r>
        <w:rPr>
          <w:rFonts w:ascii="Times New Roman" w:cs="Times New Roman" w:eastAsia="Times New Roman" w:hAnsi="Times New Roman"/>
          <w:sz w:val="18"/>
          <w:szCs w:val="18"/>
          <w:color w:val="231F20"/>
        </w:rPr>
        <w:t>ASU 2016-02,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Leases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on January 1, 2019</w:t>
      </w:r>
      <w:r>
        <w:rPr>
          <w:rFonts w:ascii="Times New Roman" w:cs="Times New Roman" w:eastAsia="Times New Roman" w:hAnsi="Times New Roman"/>
          <w:sz w:val="18"/>
          <w:szCs w:val="18"/>
          <w:color w:val="auto"/>
        </w:rPr>
        <w:t>, the Company will derecognize assets of $22.6 million and liabilities of $30.9 million associated with the above lease that was designated as build-to-suit under the previous guidance, and record a cumulative-effect adjustment to retained earnings of $8.3 million. The lease will be classified as an operating lease under the new standard. The Company will record a right-of-use asset and lease liability for the lease under the new standard.</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Non-Executive Chairman of the Board and former Chief Executive Officer of the Company owns a plane that the Company periodically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fees paid by the Company for the use of this plane were $123,000, $314,000, and $246,000 for 2018, 2017, and 2016, respectively.</w:t>
      </w:r>
    </w:p>
    <w:p>
      <w:pPr>
        <w:spacing w:after="0" w:line="99" w:lineRule="exact"/>
        <w:rPr>
          <w:sz w:val="20"/>
          <w:szCs w:val="20"/>
          <w:color w:val="auto"/>
        </w:rPr>
      </w:pPr>
    </w:p>
    <w:p>
      <w:pPr>
        <w:ind w:right="80" w:firstLine="351"/>
        <w:spacing w:after="0" w:line="266" w:lineRule="auto"/>
        <w:rPr>
          <w:sz w:val="20"/>
          <w:szCs w:val="20"/>
          <w:color w:val="auto"/>
        </w:rPr>
      </w:pPr>
      <w:r>
        <w:rPr>
          <w:rFonts w:ascii="Times New Roman" w:cs="Times New Roman" w:eastAsia="Times New Roman" w:hAnsi="Times New Roman"/>
          <w:sz w:val="18"/>
          <w:szCs w:val="18"/>
          <w:color w:val="auto"/>
        </w:rPr>
        <w:t>Upon the Company’s initial public offering in 2014, the Company entered into a consulting agreement (the “Consulting Agreement”) with one of the Company's Independent Directors. Under the terms of the Consulting Agreement, the director received $150,000 in 2016 and $37,500 in 2017 for investment and other business consulting services. The Consulting Agreement was terminated on March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21" w:lineRule="exact"/>
        <w:rPr>
          <w:sz w:val="20"/>
          <w:szCs w:val="20"/>
          <w:color w:val="auto"/>
        </w:rPr>
      </w:pPr>
    </w:p>
    <w:p>
      <w:pPr>
        <w:ind w:right="40" w:firstLine="351"/>
        <w:spacing w:after="0" w:line="282" w:lineRule="auto"/>
        <w:rPr>
          <w:sz w:val="20"/>
          <w:szCs w:val="20"/>
          <w:color w:val="auto"/>
        </w:rPr>
      </w:pPr>
      <w:r>
        <w:rPr>
          <w:rFonts w:ascii="Times New Roman" w:cs="Times New Roman" w:eastAsia="Times New Roman" w:hAnsi="Times New Roman"/>
          <w:sz w:val="18"/>
          <w:szCs w:val="18"/>
          <w:color w:val="auto"/>
        </w:rPr>
        <w:t>On February 20, 2019, the Board of Directors declared a cash dividend of $0.30 per share. The dividend is payable on March 29, 2019 to shareholders of record on March 11, 2019.</w:t>
      </w:r>
    </w:p>
    <w:p>
      <w:pPr>
        <w:spacing w:after="0" w:line="54" w:lineRule="exact"/>
        <w:rPr>
          <w:sz w:val="20"/>
          <w:szCs w:val="20"/>
          <w:color w:val="auto"/>
        </w:rPr>
      </w:pPr>
    </w:p>
    <w:p>
      <w:pPr>
        <w:ind w:right="340" w:firstLine="351"/>
        <w:spacing w:after="0" w:line="266" w:lineRule="auto"/>
        <w:rPr>
          <w:sz w:val="20"/>
          <w:szCs w:val="20"/>
          <w:color w:val="auto"/>
        </w:rPr>
      </w:pPr>
      <w:r>
        <w:rPr>
          <w:rFonts w:ascii="Times New Roman" w:cs="Times New Roman" w:eastAsia="Times New Roman" w:hAnsi="Times New Roman"/>
          <w:sz w:val="18"/>
          <w:szCs w:val="18"/>
          <w:color w:val="auto"/>
        </w:rPr>
        <w:t>On February 20, 2019, the Board of Directors granted awards under the 2014 LTIP and the 2014 Director Plan to the Company’s employees and directors. RSUs for 167,295 shares were awarded with a fair value on the date of grant of $42.07 per share. The RSUs vest over one to three year periods, depending on the award.</w:t>
      </w:r>
    </w:p>
    <w:p>
      <w:pPr>
        <w:spacing w:after="0" w:line="68" w:lineRule="exact"/>
        <w:rPr>
          <w:sz w:val="20"/>
          <w:szCs w:val="20"/>
          <w:color w:val="auto"/>
        </w:rPr>
      </w:pPr>
    </w:p>
    <w:p>
      <w:pPr>
        <w:ind w:right="760" w:firstLine="351"/>
        <w:spacing w:after="0" w:line="282" w:lineRule="auto"/>
        <w:rPr>
          <w:sz w:val="20"/>
          <w:szCs w:val="20"/>
          <w:color w:val="auto"/>
        </w:rPr>
      </w:pPr>
      <w:r>
        <w:rPr>
          <w:rFonts w:ascii="Times New Roman" w:cs="Times New Roman" w:eastAsia="Times New Roman" w:hAnsi="Times New Roman"/>
          <w:sz w:val="18"/>
          <w:szCs w:val="18"/>
          <w:color w:val="auto"/>
        </w:rPr>
        <w:t>On January 31, 2019, the Company repaid $20.0 million of unsecured borrowings on its 2017 Facility, reducing the balance of unsecured loans outstanding under the facility to $10.0 million.</w:t>
      </w:r>
    </w:p>
    <w:p>
      <w:pPr>
        <w:spacing w:after="0" w:line="50"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Selected Quarterly Financial Data</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unaudited quarterly results of operations: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2018 Quarter</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298,116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293,378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279,969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295,310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1,166,773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218,344</w:t>
            </w:r>
          </w:p>
        </w:tc>
        <w:tc>
          <w:tcPr>
            <w:tcW w:w="3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228,041</w:t>
            </w:r>
          </w:p>
        </w:tc>
        <w:tc>
          <w:tcPr>
            <w:tcW w:w="5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224,692</w:t>
            </w: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885,599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15,633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16,984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19,581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63,830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3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10,426</w:t>
            </w:r>
          </w:p>
        </w:tc>
        <w:tc>
          <w:tcPr>
            <w:tcW w:w="5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15,192</w:t>
            </w: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41,627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14"/>
                <w:szCs w:val="14"/>
                <w:color w:val="auto"/>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0.56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w:t>
            </w:r>
          </w:p>
        </w:tc>
      </w:tr>
      <w:tr>
        <w:trPr>
          <w:trHeight w:val="56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F-51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1" w:name="page172"/>
    <w:bookmarkEnd w:id="171"/>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2017 Quarter</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224,179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281,475</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338,351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237,900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1,081,905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176,402</w:t>
            </w: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202,394</w:t>
            </w:r>
          </w:p>
        </w:tc>
        <w:tc>
          <w:tcPr>
            <w:tcW w:w="5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220,866</w:t>
            </w: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817,625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18,450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14,541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10,351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43,566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22,484</w:t>
            </w: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21,249</w:t>
            </w:r>
          </w:p>
        </w:tc>
        <w:tc>
          <w:tcPr>
            <w:tcW w:w="5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11,067</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52,785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14"/>
                <w:szCs w:val="14"/>
                <w:color w:val="auto"/>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0.49</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0.34</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the second quarter of 2017, the Casualty Reinsurance segment was impacted by a correction of the accrual for a contingent commission liability and related commission expense. As a result of this correction, net income for the second quarter of 2017 was reduced by $2.0 million.</w:t>
      </w:r>
    </w:p>
    <w:p>
      <w:pPr>
        <w:spacing w:after="0" w:line="54" w:lineRule="exact"/>
        <w:rPr>
          <w:sz w:val="20"/>
          <w:szCs w:val="20"/>
          <w:color w:val="auto"/>
        </w:rPr>
      </w:pPr>
    </w:p>
    <w:p>
      <w:pPr>
        <w:ind w:left="340" w:right="18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weighted-average shares for the quarter are calculated independently of the weighted-average shares for the year, quarterly earnings per share may not total to annual earnings per share.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420"/>
          </w:cols>
          <w:pgMar w:left="240" w:top="122" w:right="239" w:bottom="1440" w:gutter="0" w:footer="0" w:header="0"/>
        </w:sectPr>
      </w:pPr>
    </w:p>
    <w:bookmarkStart w:id="172" w:name="page173"/>
    <w:bookmarkEnd w:id="172"/>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Years ended December 2018,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24"/>
        </w:trPr>
        <w:tc>
          <w:tcPr>
            <w:tcW w:w="8580" w:type="dxa"/>
            <w:vAlign w:val="bottom"/>
            <w:gridSpan w:val="5"/>
          </w:tcPr>
          <w:p>
            <w:pPr>
              <w:ind w:left="4000"/>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5"/>
          </w:tcPr>
          <w:p>
            <w:pPr>
              <w:ind w:left="3040"/>
              <w:spacing w:after="0"/>
              <w:rPr>
                <w:sz w:val="20"/>
                <w:szCs w:val="20"/>
                <w:color w:val="auto"/>
              </w:rPr>
            </w:pPr>
            <w:r>
              <w:rPr>
                <w:rFonts w:ascii="Times New Roman" w:cs="Times New Roman" w:eastAsia="Times New Roman" w:hAnsi="Times New Roman"/>
                <w:sz w:val="18"/>
                <w:szCs w:val="18"/>
                <w:b w:val="1"/>
                <w:bCs w:val="1"/>
                <w:color w:val="auto"/>
              </w:rPr>
              <w:t>Summary of Investments—Other than Investments in Related Parties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320" w:type="dxa"/>
            <w:vAlign w:val="bottom"/>
          </w:tcPr>
          <w:p>
            <w:pPr>
              <w:spacing w:after="0"/>
              <w:rPr>
                <w:sz w:val="12"/>
                <w:szCs w:val="12"/>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which shown</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on Balance</w:t>
            </w:r>
          </w:p>
        </w:tc>
        <w:tc>
          <w:tcPr>
            <w:tcW w:w="0" w:type="dxa"/>
            <w:vAlign w:val="bottom"/>
          </w:tcPr>
          <w:p>
            <w:pPr>
              <w:spacing w:after="0"/>
              <w:rPr>
                <w:sz w:val="1"/>
                <w:szCs w:val="1"/>
                <w:color w:val="auto"/>
              </w:rPr>
            </w:pPr>
          </w:p>
        </w:tc>
      </w:tr>
      <w:tr>
        <w:trPr>
          <w:trHeight w:val="195"/>
        </w:trPr>
        <w:tc>
          <w:tcPr>
            <w:tcW w:w="6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Sheet</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147,160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149,295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149,295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208,869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204,109</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534,024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524,768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524,768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199,528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197,025</w:t>
            </w:r>
          </w:p>
        </w:tc>
        <w:tc>
          <w:tcPr>
            <w:tcW w:w="0" w:type="dxa"/>
            <w:vAlign w:val="bottom"/>
          </w:tcPr>
          <w:p>
            <w:pPr>
              <w:spacing w:after="0"/>
              <w:rPr>
                <w:sz w:val="1"/>
                <w:szCs w:val="1"/>
                <w:color w:val="auto"/>
              </w:rPr>
            </w:pPr>
          </w:p>
        </w:tc>
      </w:tr>
      <w:tr>
        <w:trPr>
          <w:trHeight w:val="277"/>
        </w:trPr>
        <w:tc>
          <w:tcPr>
            <w:tcW w:w="6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 government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107,803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107,193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107,193</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1,199,409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1,184,202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1,184,202</w:t>
            </w:r>
          </w:p>
        </w:tc>
        <w:tc>
          <w:tcPr>
            <w:tcW w:w="0" w:type="dxa"/>
            <w:vAlign w:val="bottom"/>
          </w:tcPr>
          <w:p>
            <w:pPr>
              <w:spacing w:after="0"/>
              <w:rPr>
                <w:sz w:val="1"/>
                <w:szCs w:val="1"/>
                <w:color w:val="auto"/>
              </w:rPr>
            </w:pPr>
          </w:p>
        </w:tc>
      </w:tr>
      <w:tr>
        <w:trPr>
          <w:trHeight w:val="27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available-for-sale</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57,689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60,740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17,645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77,152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78,385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78,385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Bank loan participations, held-for-investment, net of allowance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260,972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260,972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81,966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81,966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invested assets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29,276</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invested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1,634,801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231775</wp:posOffset>
            </wp:positionV>
            <wp:extent cx="17837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right="400" w:hanging="332"/>
        <w:spacing w:after="0" w:line="344"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amounts in this column and the amounts in the consolidated balance sheet are due to this schedule excluding investments in related parties.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20"/>
          </w:cols>
          <w:pgMar w:left="240" w:top="122" w:right="239" w:bottom="1440" w:gutter="0" w:footer="0" w:header="0"/>
        </w:sectPr>
      </w:pPr>
    </w:p>
    <w:bookmarkStart w:id="173" w:name="page174"/>
    <w:bookmarkEnd w:id="173"/>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324"/>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5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Balance Sheets (Parent Company)</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1"/>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882,407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910,610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from subsidiaries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890,001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915,810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103,300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83,300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15,928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to subsidiary</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20,043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180,760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221,111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shares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645,310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636,149</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79,753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48,198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10,346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709,241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694,699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890,001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915,810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122" w:right="239" w:bottom="1440" w:gutter="0" w:footer="0" w:header="0"/>
        </w:sectPr>
      </w:pPr>
    </w:p>
    <w:bookmarkStart w:id="174" w:name="page175"/>
    <w:bookmarkEnd w:id="174"/>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56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474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56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Statements of Income and Comprehensive Income (Parent Company)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8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4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9,467</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42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15,145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equity in net income of subsidiaries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58,662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88,161</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7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43,566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74,471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vMerge w:val="continue"/>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other comprehensive (losses) earnings of subsidiaries</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9,219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57"/>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424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52,785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72,412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20"/>
          </w:cols>
          <w:pgMar w:left="240" w:top="122" w:right="239" w:bottom="1440" w:gutter="0" w:footer="0" w:header="0"/>
        </w:sectPr>
      </w:pPr>
    </w:p>
    <w:bookmarkStart w:id="175" w:name="page176"/>
    <w:bookmarkEnd w:id="175"/>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8440" w:type="dxa"/>
            <w:vAlign w:val="bottom"/>
            <w:gridSpan w:val="4"/>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3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3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 (Parent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63,830</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74,471</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30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28,452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debt issuance</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debt repayments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 note repayments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issue costs paid</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43"/>
        </w:trPr>
        <w:tc>
          <w:tcPr>
            <w:tcW w:w="7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Issuances of common shares under equity incentive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 repurchases</w:t>
            </w:r>
          </w:p>
        </w:tc>
        <w:tc>
          <w:tcPr>
            <w:tcW w:w="3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3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3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-2658110</wp:posOffset>
            </wp:positionV>
            <wp:extent cx="4493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-4390390</wp:posOffset>
            </wp:positionV>
            <wp:extent cx="4493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20"/>
          </w:cols>
          <w:pgMar w:left="240" w:top="122" w:right="239" w:bottom="1440" w:gutter="0" w:footer="0" w:header="0"/>
        </w:sectPr>
      </w:pPr>
    </w:p>
    <w:bookmarkStart w:id="176" w:name="page177"/>
    <w:bookmarkEnd w:id="176"/>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17" w:lineRule="exact"/>
        <w:rPr>
          <w:sz w:val="20"/>
          <w:szCs w:val="20"/>
          <w:color w:val="auto"/>
        </w:rPr>
      </w:pPr>
    </w:p>
    <w:p>
      <w:pPr>
        <w:ind w:right="9580" w:firstLine="8"/>
        <w:spacing w:after="0" w:line="378" w:lineRule="auto"/>
        <w:tabs>
          <w:tab w:leader="none" w:pos="3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ind w:right="60" w:firstLine="351"/>
        <w:spacing w:after="0" w:line="282" w:lineRule="auto"/>
        <w:rPr>
          <w:sz w:val="20"/>
          <w:szCs w:val="20"/>
          <w:color w:val="auto"/>
        </w:rPr>
      </w:pPr>
      <w:r>
        <w:rPr>
          <w:rFonts w:ascii="Times New Roman" w:cs="Times New Roman" w:eastAsia="Times New Roman" w:hAnsi="Times New Roman"/>
          <w:sz w:val="18"/>
          <w:szCs w:val="18"/>
          <w:color w:val="auto"/>
        </w:rPr>
        <w:t>James River Group Holdings, Ltd. (the “Company”) is an exempted holding company registered in Bermuda, organized for the purpose of acquiring and managing insurance and reinsurance entities.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351"/>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21" w:lineRule="exact"/>
        <w:rPr>
          <w:sz w:val="20"/>
          <w:szCs w:val="20"/>
          <w:color w:val="auto"/>
        </w:rPr>
      </w:pPr>
    </w:p>
    <w:p>
      <w:pPr>
        <w:ind w:right="140" w:firstLine="351"/>
        <w:spacing w:after="0" w:line="266" w:lineRule="auto"/>
        <w:rPr>
          <w:sz w:val="20"/>
          <w:szCs w:val="20"/>
          <w:color w:val="auto"/>
        </w:rPr>
      </w:pPr>
      <w:r>
        <w:rPr>
          <w:rFonts w:ascii="Times New Roman" w:cs="Times New Roman" w:eastAsia="Times New Roman" w:hAnsi="Times New Roman"/>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2016-01, </w:t>
      </w:r>
      <w:r>
        <w:rPr>
          <w:rFonts w:ascii="Times New Roman" w:cs="Times New Roman" w:eastAsia="Times New Roman" w:hAnsi="Times New Roman"/>
          <w:sz w:val="18"/>
          <w:szCs w:val="18"/>
          <w:i w:val="1"/>
          <w:iCs w:val="1"/>
          <w:color w:val="231F20"/>
        </w:rPr>
        <w:t>Financial Instruments - Overall (Subtopic 825-10): Recognition and Measurement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Financial Assets and Financial Liabilities</w:t>
      </w:r>
      <w:r>
        <w:rPr>
          <w:rFonts w:ascii="Times New Roman" w:cs="Times New Roman" w:eastAsia="Times New Roman" w:hAnsi="Times New Roman"/>
          <w:sz w:val="18"/>
          <w:szCs w:val="18"/>
          <w:color w:val="231F20"/>
        </w:rPr>
        <w:t>. Among other things, this ASU requires equity investments (except those accounted for under the equity method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accounting or those that result in consolidation of the investee) to be measured at fair value with changes in fair value recognized in net income. Upon adoption on January 1, 2018, the Company made a $4.7 million cumulative-effect adjustment to increase retained earnings and reduce accumulated other comprehensive income. The adoption of ASU 2016-01 did not materially impact the Company's financial position, cash flows, or total comprehensive income. The Company's results of operations were impacted as changes in fair value of equity instruments are now presented in net income rather than other comprehensive (loss) income. For the year ended December 31, 2018, the respective impact on net income was a reduction of $4.7 million.</w:t>
      </w:r>
    </w:p>
    <w:p>
      <w:pPr>
        <w:spacing w:after="0" w:line="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Effective January 1, 2018, the Company adopted ASU </w:t>
      </w:r>
      <w:r>
        <w:rPr>
          <w:rFonts w:ascii="Times New Roman" w:cs="Times New Roman" w:eastAsia="Times New Roman" w:hAnsi="Times New Roman"/>
          <w:sz w:val="18"/>
          <w:szCs w:val="18"/>
          <w:color w:val="000000"/>
        </w:rPr>
        <w:t>2018-02,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Income Statement - Reporting Comprehensive Income (Topic 220): Reclassification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Certain Tax Effects from Accumulated Other Comprehensive Income. </w:t>
      </w:r>
      <w:r>
        <w:rPr>
          <w:rFonts w:ascii="Times New Roman" w:cs="Times New Roman" w:eastAsia="Times New Roman" w:hAnsi="Times New Roman"/>
          <w:sz w:val="18"/>
          <w:szCs w:val="18"/>
          <w:color w:val="000000"/>
        </w:rPr>
        <w:t>This update was issued as a result of the enactment of Public Law No. 115-97,</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informally titled the Tax Cuts and Jobs Act (the "Tax Act"), on December 22, 2017. The ASU allows for the option to reclassify the stranded tax effects resulting from the implementation of the Tax Act out of accumulated other comprehensive income and into retained earnings. As the adoption of ASU 2016-01 in 2018 resulted in the reclassification of the entire unrealized balance on equity securities from accumulated other comprehensive income into retained earnings, only the stranded tax effects on the unrealized balances of fixed income securities were impacted by the adoption of ASU 2018-02. The reclassification resulted in a $711,000 decrease to the Company's retained earnings with a corresponding increase to accumulated other comprehensive income in the first quarter of 2018.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121" w:right="239" w:bottom="1440" w:gutter="0" w:footer="0" w:header="0"/>
        </w:sectPr>
      </w:pPr>
    </w:p>
    <w:bookmarkStart w:id="177" w:name="page178"/>
    <w:bookmarkEnd w:id="177"/>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Insurance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Reserve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Losses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Losses</w:t>
            </w:r>
          </w:p>
        </w:tc>
        <w:tc>
          <w:tcPr>
            <w:tcW w:w="10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Policy</w:t>
            </w: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Loss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and Loss</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Policy</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76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r>
      <w:tr>
        <w:trPr>
          <w:trHeight w:val="135"/>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14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Earned</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40" w:type="dxa"/>
            <w:vAlign w:val="bottom"/>
          </w:tcPr>
          <w:p>
            <w:pPr>
              <w:spacing w:after="0"/>
              <w:rPr>
                <w:sz w:val="11"/>
                <w:szCs w:val="11"/>
                <w:color w:val="auto"/>
              </w:rPr>
            </w:pPr>
          </w:p>
        </w:tc>
        <w:tc>
          <w:tcPr>
            <w:tcW w:w="76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3"/>
                <w:szCs w:val="13"/>
                <w:b w:val="1"/>
                <w:bCs w:val="1"/>
                <w:color w:val="auto"/>
                <w:w w:val="95"/>
              </w:rPr>
              <w:t>Written</w:t>
            </w:r>
          </w:p>
        </w:tc>
      </w:tr>
      <w:tr>
        <w:trPr>
          <w:trHeight w:val="176"/>
        </w:trPr>
        <w:tc>
          <w:tcPr>
            <w:tcW w:w="2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Premiums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4"/>
              </w:rPr>
              <w:t>Premiums</w:t>
            </w: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16,736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960,562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175,231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555,684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14,456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437,904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88,865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571,098</w:t>
            </w: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Specialty Admitted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426,315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84,659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55,840</w:t>
            </w: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Casualty Reinsurance</w:t>
            </w:r>
          </w:p>
        </w:tc>
        <w:tc>
          <w:tcPr>
            <w:tcW w:w="14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39,543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274,582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126,583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204,568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38,838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129,749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64,596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69,716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135,734</w:t>
            </w: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26,903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54,450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1,661,459</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386,473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815,398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61,256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600,276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111,103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201,035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762,672</w:t>
            </w: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17,050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759,043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149,047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463,521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15,014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371,717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45,158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79,136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469,891</w:t>
            </w: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Specialty Admitted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271,446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68,110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44,863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60,957</w:t>
            </w: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Casualty Reinsurance</w:t>
            </w:r>
          </w:p>
        </w:tc>
        <w:tc>
          <w:tcPr>
            <w:tcW w:w="14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56,040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261,860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195,418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209,478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31,507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138,797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65,238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72,446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235,778</w:t>
            </w: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12,066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25,330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72,365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1,292,349</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418,114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741,109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61,119</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555,377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116,001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196,993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766,626</w:t>
            </w: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14,808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575,280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137,290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301,404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18,051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188,768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46,669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75,467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316,922</w:t>
            </w: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Specialty Admitted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128,795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84,156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55,803</w:t>
            </w:r>
          </w:p>
        </w:tc>
      </w:tr>
      <w:tr>
        <w:trPr>
          <w:trHeight w:val="23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Casualty Reinsurance</w:t>
            </w:r>
          </w:p>
        </w:tc>
        <w:tc>
          <w:tcPr>
            <w:tcW w:w="14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48,214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239,790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169,117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161,978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27,257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105,756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48,987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184,983</w:t>
            </w: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4,788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20,433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64,789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943,865</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390,563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515,663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52,638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325,421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101,624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170,828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557,708</w:t>
            </w: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420"/>
          </w:cols>
          <w:pgMar w:left="240" w:top="122" w:right="239" w:bottom="1440" w:gutter="0" w:footer="0" w:header="0"/>
        </w:sectPr>
      </w:pPr>
    </w:p>
    <w:bookmarkStart w:id="178" w:name="page179"/>
    <w:bookmarkEnd w:id="178"/>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IV</w:t>
            </w:r>
          </w:p>
        </w:tc>
        <w:tc>
          <w:tcPr>
            <w:tcW w:w="0" w:type="dxa"/>
            <w:vAlign w:val="bottom"/>
          </w:tcPr>
          <w:p>
            <w:pPr>
              <w:spacing w:after="0"/>
              <w:rPr>
                <w:sz w:val="1"/>
                <w:szCs w:val="1"/>
                <w:color w:val="auto"/>
              </w:rPr>
            </w:pPr>
          </w:p>
        </w:tc>
      </w:tr>
      <w:tr>
        <w:trPr>
          <w:trHeight w:val="324"/>
        </w:trPr>
        <w:tc>
          <w:tcPr>
            <w:tcW w:w="8520" w:type="dxa"/>
            <w:vAlign w:val="bottom"/>
            <w:gridSpan w:val="10"/>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Reinsurance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2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Amount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from Other</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Net</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656,538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85,440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571,098</w:t>
            </w:r>
          </w:p>
        </w:tc>
        <w:tc>
          <w:tcPr>
            <w:tcW w:w="100" w:type="dxa"/>
            <w:vAlign w:val="bottom"/>
          </w:tcPr>
          <w:p>
            <w:pPr>
              <w:spacing w:after="0"/>
              <w:rPr>
                <w:sz w:val="21"/>
                <w:szCs w:val="21"/>
                <w:color w:val="auto"/>
              </w:rPr>
            </w:pPr>
          </w:p>
        </w:tc>
        <w:tc>
          <w:tcPr>
            <w:tcW w:w="14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318,506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55,840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 Written Premiums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135,734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Written Premiums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1,027,222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404,101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139,551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762,672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530,077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469,891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313,642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60,957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Casualty Reinsurance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235,355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235,778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97"/>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Written Premiums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843,719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315,279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238,186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766,626</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370,802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53,922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316,922</w:t>
            </w:r>
          </w:p>
        </w:tc>
        <w:tc>
          <w:tcPr>
            <w:tcW w:w="100" w:type="dxa"/>
            <w:vAlign w:val="bottom"/>
          </w:tcPr>
          <w:p>
            <w:pPr>
              <w:spacing w:after="0"/>
              <w:rPr>
                <w:sz w:val="21"/>
                <w:szCs w:val="21"/>
                <w:color w:val="auto"/>
              </w:rPr>
            </w:pPr>
          </w:p>
        </w:tc>
        <w:tc>
          <w:tcPr>
            <w:tcW w:w="14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55,803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Reinsurance Written Premiums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184,333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184,983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Written Premiums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549,700</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179,690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187,698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557,708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F-59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-565150</wp:posOffset>
            </wp:positionV>
            <wp:extent cx="909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-2348865</wp:posOffset>
            </wp:positionV>
            <wp:extent cx="909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9" w:name="page180"/>
    <w:bookmarkEnd w:id="179"/>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V</w:t>
            </w:r>
          </w:p>
        </w:tc>
        <w:tc>
          <w:tcPr>
            <w:tcW w:w="0" w:type="dxa"/>
            <w:vAlign w:val="bottom"/>
          </w:tcPr>
          <w:p>
            <w:pPr>
              <w:spacing w:after="0"/>
              <w:rPr>
                <w:sz w:val="1"/>
                <w:szCs w:val="1"/>
                <w:color w:val="auto"/>
              </w:rPr>
            </w:pPr>
          </w:p>
        </w:tc>
      </w:tr>
      <w:tr>
        <w:trPr>
          <w:trHeight w:val="324"/>
        </w:trPr>
        <w:tc>
          <w:tcPr>
            <w:tcW w:w="8360" w:type="dxa"/>
            <w:vAlign w:val="bottom"/>
            <w:gridSpan w:val="10"/>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0" w:type="dxa"/>
            <w:vAlign w:val="bottom"/>
          </w:tcPr>
          <w:p>
            <w:pPr>
              <w:spacing w:after="0"/>
              <w:rPr>
                <w:sz w:val="24"/>
                <w:szCs w:val="24"/>
                <w:color w:val="auto"/>
              </w:rPr>
            </w:pPr>
          </w:p>
        </w:tc>
        <w:tc>
          <w:tcPr>
            <w:tcW w:w="33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Valuation and Qualifying Accounts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24"/>
                <w:szCs w:val="24"/>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80" w:type="dxa"/>
            <w:vAlign w:val="bottom"/>
          </w:tcPr>
          <w:p>
            <w:pPr>
              <w:spacing w:after="0"/>
              <w:rPr>
                <w:sz w:val="24"/>
                <w:szCs w:val="24"/>
                <w:color w:val="auto"/>
              </w:rPr>
            </w:pPr>
          </w:p>
        </w:tc>
        <w:tc>
          <w:tcPr>
            <w:tcW w:w="12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24"/>
                <w:szCs w:val="24"/>
                <w:color w:val="auto"/>
              </w:rPr>
            </w:pPr>
          </w:p>
        </w:tc>
        <w:tc>
          <w:tcPr>
            <w:tcW w:w="12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Amounts</w:t>
            </w:r>
          </w:p>
        </w:tc>
        <w:tc>
          <w:tcPr>
            <w:tcW w:w="5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Amounts</w:t>
            </w:r>
          </w:p>
        </w:tc>
        <w:tc>
          <w:tcPr>
            <w:tcW w:w="5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at Beginning</w:t>
            </w:r>
          </w:p>
        </w:tc>
        <w:tc>
          <w:tcPr>
            <w:tcW w:w="340" w:type="dxa"/>
            <w:vAlign w:val="bottom"/>
          </w:tcPr>
          <w:p>
            <w:pPr>
              <w:spacing w:after="0"/>
              <w:rPr>
                <w:sz w:val="12"/>
                <w:szCs w:val="12"/>
                <w:color w:val="auto"/>
              </w:rPr>
            </w:pP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380" w:type="dxa"/>
            <w:vAlign w:val="bottom"/>
          </w:tcPr>
          <w:p>
            <w:pPr>
              <w:spacing w:after="0"/>
              <w:rPr>
                <w:sz w:val="12"/>
                <w:szCs w:val="12"/>
                <w:color w:val="auto"/>
              </w:rPr>
            </w:pPr>
          </w:p>
        </w:tc>
        <w:tc>
          <w:tcPr>
            <w:tcW w:w="120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Written Off</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or Disposals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3,948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Credit Losses on Bank Loans</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3,948</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Credit Losses on Bank Loans</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Credit Losses on Bank Loans</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F-60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0" w:name="page181"/>
    <w:bookmarkEnd w:id="180"/>
    <w:p>
      <w:pPr>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 Concerning Property Casualty Insurance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4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54,450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72,365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64,789</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1,661,459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1,292,349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943,865</w:t>
            </w: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premiums</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390,563</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earned premiums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515,663</w:t>
            </w: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52,638</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and loss adjustment expenses incurred:</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533,905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349,137</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w:t>
            </w:r>
          </w:p>
        </w:tc>
      </w:tr>
      <w:tr>
        <w:trPr>
          <w:trHeight w:val="27"/>
        </w:trPr>
        <w:tc>
          <w:tcPr>
            <w:tcW w:w="49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losses and loss adjustment expenses incurred</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325,421</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101,624</w:t>
            </w: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 losses and loss adjustment expenses, net of reinsurance</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217,827</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written premiums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762,672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766,626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557,708</w:t>
            </w:r>
          </w:p>
        </w:tc>
      </w:tr>
      <w:tr>
        <w:trPr>
          <w:trHeight w:val="594"/>
        </w:trPr>
        <w:tc>
          <w:tcPr>
            <w:tcW w:w="4960" w:type="dxa"/>
            <w:vAlign w:val="bottom"/>
          </w:tcPr>
          <w:p>
            <w:pPr>
              <w:spacing w:after="0"/>
              <w:rPr>
                <w:sz w:val="24"/>
                <w:szCs w:val="24"/>
                <w:color w:val="auto"/>
              </w:rPr>
            </w:pPr>
          </w:p>
        </w:tc>
        <w:tc>
          <w:tcPr>
            <w:tcW w:w="21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F-61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b w:val="1"/>
          <w:bCs w:val="1"/>
          <w:color w:val="auto"/>
        </w:rPr>
        <w:t>Exhibit 10.26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AND RELEASE AGREEMENT</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Separation and Release Agreement (the “Agreement”) is entered into among James River Group, Inc. (the “Parent Company”), its subsidiaries Stonewood Insurance Company (“SIC”), Falls Lake Insurance Management Company, Inc. (“FLIMCO”), Falls Lake National Insurance Company (formerly Stonewood National Insurance Company), Falls Lake General Insurance Company, and Falls Lake Fire and Casualty Company (together, the “Subsidiary Companies”) and Steven J. Hartman (“Employee”) (Parent Company and Subsidiary Companies and Employee will be collectively referred to hereinafter as the “Parties”).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WHEREAS, Employee is employed by the Parent Company and Subsidiary Companies (together, the “Company”) as the President and Chief Executive Officer of the Subsidiary Companies pursuant to an amended and restated employment agreement dated April 2, 2018 (the “Employment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Employee’s employment by the Company ended on October 18, 2018 (the “Separation Date”);</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WHEREAS, the Parties seek to fully and finally settle all existing claims, whether or not now known, arising out of Employee’s separation from the Company on the terms set forth herein;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Parties mutually understand and agree as follows:</w:t>
      </w:r>
    </w:p>
    <w:p>
      <w:pPr>
        <w:spacing w:after="0" w:line="121" w:lineRule="exact"/>
        <w:rPr>
          <w:sz w:val="20"/>
          <w:szCs w:val="20"/>
          <w:color w:val="auto"/>
        </w:rPr>
      </w:pPr>
    </w:p>
    <w:p>
      <w:pPr>
        <w:ind w:left="1440" w:hanging="784"/>
        <w:spacing w:after="0"/>
        <w:tabs>
          <w:tab w:leader="none" w:pos="1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Payments to Employee</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656"/>
        <w:spacing w:after="0" w:line="275" w:lineRule="auto"/>
        <w:tabs>
          <w:tab w:leader="none" w:pos="149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FLIMCO shall pay to Employee “Severance Pay” and an “Additional Separation Payment” subject to Employee’s satisfying all of the following conditions: (i) the Company’s timely receipt of this Agreement executed by Employee and Employee’s not exercising his right of revocation (as described below) of this Agreement; (ii) the expiration of the seven (7)-day period within which Employee may revoke the Release (the “Revocation Period”) and Employee’s not timely revoking the Release; and in the case of the Additional Separation Payment, the condition set forth in Section 1(e). Severance Pay means: (x) an amount equal to Employee’s annual base salary of $497,474.88 for a period of eighteen (18) months, amounting to an aggregate total of $746,212.32, after the Separation Date, which shall be paid in periodic installments in accordance with FLIMCO’s normal payroll practices in effect as of the Separation Date commencing on the first payroll cycle which is at least ten (10) business days after the 45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after the Separation Date; (y) the unpaid portion of the discretionary bonus awarded to Employee for 2017, in the gross amount of $80,107.00, which shall be paid at the time provided for the payment of such portion of the 2017 bonus when it was awarded; and (z) the continuation of coverage under all employee benefit insurance plans in which Employee was a participant as of the Separation Date, to the extent such post-employment coverage is authorized by such plans, at FLIMCO’s expense for the period of eighteen</w:t>
      </w:r>
    </w:p>
    <w:p>
      <w:pPr>
        <w:spacing w:after="0" w:line="4" w:lineRule="exact"/>
        <w:rPr>
          <w:rFonts w:ascii="Times New Roman" w:cs="Times New Roman" w:eastAsia="Times New Roman" w:hAnsi="Times New Roman"/>
          <w:sz w:val="17"/>
          <w:szCs w:val="17"/>
          <w:color w:val="auto"/>
        </w:rPr>
      </w:pPr>
    </w:p>
    <w:p>
      <w:pPr>
        <w:jc w:val="both"/>
        <w:ind w:firstLine="8"/>
        <w:spacing w:after="0" w:line="277"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Separation Date, provided, however if post-employment coverage is not authorized under such health insurance plan, then FLIMCO will pay Employee a lump sum of $13,572.72 on the first payroll cycle described above. Additional Separation Payment means a payment in the gross amount of $497,474.88, which Employee would not otherwise be entitled to receive under the Employment Agreement, with the Additional Separation Payment to be paid in 2019, on or before March 15, 2019.</w:t>
      </w:r>
    </w:p>
    <w:p>
      <w:pPr>
        <w:spacing w:after="0" w:line="70" w:lineRule="exact"/>
        <w:rPr>
          <w:rFonts w:ascii="Times New Roman" w:cs="Times New Roman" w:eastAsia="Times New Roman" w:hAnsi="Times New Roman"/>
          <w:sz w:val="20"/>
          <w:szCs w:val="20"/>
          <w:color w:val="auto"/>
        </w:rPr>
      </w:pPr>
    </w:p>
    <w:p>
      <w:pPr>
        <w:jc w:val="both"/>
        <w:ind w:firstLine="656"/>
        <w:spacing w:after="0" w:line="277" w:lineRule="auto"/>
        <w:tabs>
          <w:tab w:leader="none" w:pos="150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payments pursuant to this Agreement will be subject to all applicable taxes and other lawful withholdings. For purposes of this Agreement, “Separation Date” means the date of Employee’s “separation from service” within the meaning of Section 409A of the Internal Revenue Code of 1986, as amended (the “Code”), and the regulations promulgated thereunder (“Section 409A”). Each payroll period payment described in this Section 1 shall be treated as a separate payment for purposes of Section 409A.</w:t>
      </w:r>
    </w:p>
    <w:p>
      <w:pPr>
        <w:spacing w:after="0" w:line="72" w:lineRule="exact"/>
        <w:rPr>
          <w:rFonts w:ascii="Times New Roman" w:cs="Times New Roman" w:eastAsia="Times New Roman" w:hAnsi="Times New Roman"/>
          <w:sz w:val="18"/>
          <w:szCs w:val="18"/>
          <w:color w:val="auto"/>
        </w:rPr>
      </w:pPr>
    </w:p>
    <w:p>
      <w:pPr>
        <w:jc w:val="both"/>
        <w:ind w:firstLine="656"/>
        <w:spacing w:after="0" w:line="282" w:lineRule="auto"/>
        <w:tabs>
          <w:tab w:leader="none" w:pos="149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details vested and unvested options awards and unvested restricted share units as of the Separation Date. Any restricted share units or stock option awards to Employee that have not vested by the Separation Date shall not vest (“Unvested Equity Awards”).</w:t>
      </w:r>
    </w:p>
    <w:p>
      <w:pPr>
        <w:spacing w:after="0" w:line="67" w:lineRule="exact"/>
        <w:rPr>
          <w:rFonts w:ascii="Times New Roman" w:cs="Times New Roman" w:eastAsia="Times New Roman" w:hAnsi="Times New Roman"/>
          <w:sz w:val="18"/>
          <w:szCs w:val="18"/>
          <w:color w:val="auto"/>
        </w:rPr>
      </w:pPr>
    </w:p>
    <w:p>
      <w:pPr>
        <w:jc w:val="both"/>
        <w:ind w:firstLine="656"/>
        <w:spacing w:after="0" w:line="275" w:lineRule="auto"/>
        <w:tabs>
          <w:tab w:leader="none" w:pos="150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 provision of this Agreement to the contrary, all compensation and benefits paid pursuant to Section 1(a) of this Agreement shall cease and Executive shall promptly return any amount paid under Section 1(a) to FLIMCO if Employee violates any of the terms of Section 4 or Section 5 of the Employment Agreement during the Restricted Period (as defined in the Employment Agreement), including, without limitation, disclosure of the fact of Employee’s separation from the Company prior to the public disclosure of the same by Holdings Group (as</w:t>
      </w:r>
    </w:p>
    <w:p>
      <w:pPr>
        <w:sectPr>
          <w:pgSz w:w="11900" w:h="16838" w:orient="portrait"/>
          <w:cols w:equalWidth="0" w:num="1">
            <w:col w:w="11420"/>
          </w:cols>
          <w:pgMar w:left="240" w:top="788" w:right="239" w:bottom="1440" w:gutter="0" w:footer="0" w:header="0"/>
        </w:sectPr>
      </w:pPr>
    </w:p>
    <w:bookmarkStart w:id="182" w:name="page183"/>
    <w:bookmarkEnd w:id="182"/>
    <w:p>
      <w:pPr>
        <w:jc w:val="both"/>
        <w:spacing w:after="0" w:line="277" w:lineRule="auto"/>
        <w:rPr>
          <w:sz w:val="20"/>
          <w:szCs w:val="20"/>
          <w:color w:val="auto"/>
        </w:rPr>
      </w:pPr>
      <w:r>
        <w:rPr>
          <w:rFonts w:ascii="Times New Roman" w:cs="Times New Roman" w:eastAsia="Times New Roman" w:hAnsi="Times New Roman"/>
          <w:sz w:val="20"/>
          <w:szCs w:val="20"/>
          <w:color w:val="auto"/>
        </w:rPr>
        <w:t>defined in the Employment Agreement). Employee acknowledges that this separation information constitutes Confidential Information as defined in, and that is subject to, Section 4(a)(i) of the Employment Agreement. In addition to these remedies, the Parent Company, the Subsidiary Companies and the Holdings Group (as defined in the Employment Agreement) shall have all other remedies provided by the Employment Agreement and by law for the breach of Section 4 or Section 5 of the Employment Agreement.</w:t>
      </w:r>
    </w:p>
    <w:p>
      <w:pPr>
        <w:spacing w:after="0" w:line="73" w:lineRule="exact"/>
        <w:rPr>
          <w:sz w:val="20"/>
          <w:szCs w:val="20"/>
          <w:color w:val="auto"/>
        </w:rPr>
      </w:pPr>
    </w:p>
    <w:p>
      <w:pPr>
        <w:jc w:val="both"/>
        <w:ind w:firstLine="656"/>
        <w:spacing w:after="0" w:line="275" w:lineRule="auto"/>
        <w:tabs>
          <w:tab w:leader="none" w:pos="14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 provision of this Agreement to the contrary, Employee acknowledges that he is not entitled to receive the Additional Separation Payment under the terms of the Employment Agreement. In addition to the conditions set forth in Section 1(a) to the payment of the Additional Separation Payment, it shall be an additional condition for payment of the Additional Separation Payment that Employee not trade in (buy or sell) any securities of James River Group Holdings, Ltd. (“JRGH”) until 48 hours after the widespread public release of JRGH’s results for the quarter ended September 30, 2018.</w:t>
      </w:r>
    </w:p>
    <w:p>
      <w:pPr>
        <w:spacing w:after="0" w:line="73" w:lineRule="exact"/>
        <w:rPr>
          <w:sz w:val="20"/>
          <w:szCs w:val="20"/>
          <w:color w:val="auto"/>
        </w:rPr>
      </w:pPr>
    </w:p>
    <w:p>
      <w:pPr>
        <w:jc w:val="both"/>
        <w:ind w:firstLine="656"/>
        <w:spacing w:after="0" w:line="272" w:lineRule="auto"/>
        <w:tabs>
          <w:tab w:leader="none" w:pos="143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Employee acknowledges that the Severance Pay, the Additional Separation Payment, and other consideration set forth herein exceeds that to which Employee would otherwise be entitled upon separation from the Company without providing a release of claims under the normal operation of the Company’s benefit plans, policies, and/or practices. Irrespective of whether Employee signs this Agreement, Employee will retain any rights Employee may otherwise have to medical, dental, and vision benefits continuation coverage pursuant to the Consolidated Omnibus Budget Reconciliation Act of 1986, as amended, or other applicable law (which rights will be explained in greater detail in a separate notice provided to Employee), and will be paid all compensation and benefits earned through the Separation Date, as follows:</w:t>
      </w:r>
    </w:p>
    <w:p>
      <w:pPr>
        <w:spacing w:after="0" w:line="80" w:lineRule="exact"/>
        <w:rPr>
          <w:sz w:val="20"/>
          <w:szCs w:val="20"/>
          <w:color w:val="auto"/>
        </w:rPr>
      </w:pPr>
    </w:p>
    <w:p>
      <w:pPr>
        <w:ind w:left="660" w:hanging="4"/>
        <w:spacing w:after="0" w:line="297" w:lineRule="auto"/>
        <w:tabs>
          <w:tab w:leader="none" w:pos="15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accrued but yet unpaid base salary earned through the Separation Date will be paid on the first payroll date following the Separation Date; and</w:t>
      </w:r>
    </w:p>
    <w:p>
      <w:pPr>
        <w:spacing w:after="0" w:line="52" w:lineRule="exact"/>
        <w:rPr>
          <w:rFonts w:ascii="Times New Roman" w:cs="Times New Roman" w:eastAsia="Times New Roman" w:hAnsi="Times New Roman"/>
          <w:sz w:val="18"/>
          <w:szCs w:val="18"/>
          <w:color w:val="auto"/>
        </w:rPr>
      </w:pPr>
    </w:p>
    <w:p>
      <w:pPr>
        <w:ind w:firstLine="656"/>
        <w:spacing w:after="0" w:line="297" w:lineRule="auto"/>
        <w:tabs>
          <w:tab w:leader="none" w:pos="15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reasonable business expenses incurred, but not paid prior to, the Separation Date will be reimbursed within forty-five (45) days after the Separation Date.</w:t>
      </w:r>
    </w:p>
    <w:p>
      <w:pPr>
        <w:spacing w:after="0" w:line="52" w:lineRule="exact"/>
        <w:rPr>
          <w:sz w:val="20"/>
          <w:szCs w:val="20"/>
          <w:color w:val="auto"/>
        </w:rPr>
      </w:pPr>
    </w:p>
    <w:p>
      <w:pPr>
        <w:jc w:val="both"/>
        <w:ind w:firstLine="656"/>
        <w:spacing w:after="0" w:line="272" w:lineRule="auto"/>
        <w:tabs>
          <w:tab w:leader="none" w:pos="14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Waiver and Release</w:t>
      </w:r>
      <w:r>
        <w:rPr>
          <w:rFonts w:ascii="Times New Roman" w:cs="Times New Roman" w:eastAsia="Times New Roman" w:hAnsi="Times New Roman"/>
          <w:sz w:val="20"/>
          <w:szCs w:val="20"/>
          <w:color w:val="auto"/>
        </w:rPr>
        <w:t>. For valuable consideration from FLIMCO on behalf of the Company, receipt of which is hereby acknowledged, Employee waives, releases, and forever discharges the Parent Company and the Subsidiary Companies, and their current and former parents, subsidiaries, divisions, affiliates, shareholders, officers, directors, attorneys, agents, employees, successors, and assigns (collectively referred to as the “Company Releasees”) from any and all rights, causes of action, claims or demands, whether express or implied, known or unknown, that arise on or before the date that Employee executes this Agreement, which Employee has or may have against the Company and/or the Company Releasees, including, but not limited to, any rights, causes of action, claims, or demands relating to or arising out of the following:</w:t>
      </w:r>
    </w:p>
    <w:p>
      <w:pPr>
        <w:spacing w:after="0" w:line="79" w:lineRule="exact"/>
        <w:rPr>
          <w:rFonts w:ascii="Times New Roman" w:cs="Times New Roman" w:eastAsia="Times New Roman" w:hAnsi="Times New Roman"/>
          <w:sz w:val="18"/>
          <w:szCs w:val="18"/>
          <w:color w:val="auto"/>
        </w:rPr>
      </w:pPr>
    </w:p>
    <w:p>
      <w:pPr>
        <w:jc w:val="both"/>
        <w:ind w:left="660" w:firstLine="645"/>
        <w:spacing w:after="0" w:line="272" w:lineRule="auto"/>
        <w:tabs>
          <w:tab w:leader="none" w:pos="21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anti-discrimination, anti-harassment, and anti-retaliation laws, such as the Age Discrimination in Employment Act, the Older Workers Benefit Protection Act, and Executive Order 11141, which prohibit employment discrimination based on age; Title VII of the Civil Rights Act of 1964, the Civil Rights Act of 1866 (42 U.S.C. § 1981), the Equal Pay Act, and Executive Order 11246, which prohibit discrimination based on race, color, national origin, religion, or sex, and prohibit sexual harassment or sexual abuse; the Genetic Information Nondiscrimination Act, which prohibits discrimination on the basis of genetic information; the Americans With Disabilities Act and Sections 503 and 504 of the Rehabilitation Act of 1973, which prohibit discrimination based on disability; and the laws of North Carolina and Bermuda that prohibit employment discrimination or wage discrimination;</w:t>
      </w:r>
    </w:p>
    <w:p>
      <w:pPr>
        <w:spacing w:after="0" w:line="79" w:lineRule="exact"/>
        <w:rPr>
          <w:rFonts w:ascii="Times New Roman" w:cs="Times New Roman" w:eastAsia="Times New Roman" w:hAnsi="Times New Roman"/>
          <w:sz w:val="18"/>
          <w:szCs w:val="18"/>
          <w:color w:val="auto"/>
        </w:rPr>
      </w:pPr>
    </w:p>
    <w:p>
      <w:pPr>
        <w:jc w:val="both"/>
        <w:ind w:left="660" w:firstLine="645"/>
        <w:spacing w:after="0" w:line="272" w:lineRule="auto"/>
        <w:tabs>
          <w:tab w:leader="none" w:pos="216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employment laws, such as the United Sates Worker Adjustment and Retraining Notification Acts, which requires that advance notice be given of certain workforce reductions; the Employee Retirement Income Security Act of 1974, which, among other things, protects employee benefits; the Family and Medical Leave Act, which requires employers to provide leaves of absence under certain circumstances; the laws of North Carolina and Bermuda which regulate wage and hour matters, including all forms of compensation, vacation pay, sick pay, compensatory time, overtime, commissions, bonuses, and meal and break periods; state family, medical, and military leave laws, which require employers to provide leaves of absence under certain circumstances; the Sarbanes Oxley Act; and any other federal, state, or local laws relating to employment;</w:t>
      </w:r>
    </w:p>
    <w:p>
      <w:pPr>
        <w:sectPr>
          <w:pgSz w:w="11900" w:h="16838" w:orient="portrait"/>
          <w:cols w:equalWidth="0" w:num="1">
            <w:col w:w="11420"/>
          </w:cols>
          <w:pgMar w:left="240" w:top="590" w:right="239" w:bottom="1440" w:gutter="0" w:footer="0" w:header="0"/>
        </w:sectPr>
      </w:pPr>
    </w:p>
    <w:bookmarkStart w:id="183" w:name="page184"/>
    <w:bookmarkEnd w:id="183"/>
    <w:p>
      <w:pPr>
        <w:jc w:val="both"/>
        <w:ind w:left="660" w:firstLine="645"/>
        <w:spacing w:after="0" w:line="275" w:lineRule="auto"/>
        <w:tabs>
          <w:tab w:leader="none" w:pos="21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tort, contract, and quasi-contract claims, such as claims with respect to Unvested Equity Awards or claims for breach of the Employment Agreement, wrongful discharge, physical or personal injury, intentional or negligent infliction of emotional distress, fraud, fraud in the inducement, negligent misrepresentation, defamation, invasion of privacy, interference with contract or with prospective economic advantage, breach of implied contract, unjust enrichment, promissory estoppel, breach of covenants of good faith and fair dealing, negligent hiring, negligent supervision, negligent retention, and similar or related claims; and</w:t>
      </w:r>
    </w:p>
    <w:p>
      <w:pPr>
        <w:spacing w:after="0" w:line="73" w:lineRule="exact"/>
        <w:rPr>
          <w:rFonts w:ascii="Times New Roman" w:cs="Times New Roman" w:eastAsia="Times New Roman" w:hAnsi="Times New Roman"/>
          <w:sz w:val="18"/>
          <w:szCs w:val="18"/>
          <w:color w:val="auto"/>
        </w:rPr>
      </w:pPr>
    </w:p>
    <w:p>
      <w:pPr>
        <w:jc w:val="both"/>
        <w:ind w:left="660" w:firstLine="645"/>
        <w:spacing w:after="0" w:line="282" w:lineRule="auto"/>
        <w:tabs>
          <w:tab w:leader="none" w:pos="21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remedies of any type, including, but not limited to, damages and injunctive relief, in any action that may be brought on Employee’s behalf against the Company and/or the Company Releasees by any government agency or other entity or person.</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Employee understands that Employee is releasing claims about which Employee may not know anything at the time Employee executes this Agreement. Employee acknowledges that it is Employee’s intent to release such unknown claims, even though Employee recognizes that someday Employee might learn new facts relating to Employee’s employment or learn that some or all of the facts Employee currently believes to be true are untrue, and even though Employee might then regret having signed this Agreement. Nevertheless, Employee acknowledges Employee’s awareness of that risk and agrees that this Agreement shall remain effective in all respects in any such case. Employee expressly waives all rights Employee might have under any laws intended to protect Employee from waiving unknown claims.</w:t>
      </w:r>
    </w:p>
    <w:p>
      <w:pPr>
        <w:spacing w:after="0" w:line="90" w:lineRule="exact"/>
        <w:rPr>
          <w:sz w:val="20"/>
          <w:szCs w:val="20"/>
          <w:color w:val="auto"/>
        </w:rPr>
      </w:pPr>
    </w:p>
    <w:p>
      <w:pPr>
        <w:jc w:val="both"/>
        <w:ind w:firstLine="656"/>
        <w:spacing w:after="0" w:line="270" w:lineRule="auto"/>
        <w:tabs>
          <w:tab w:leader="none" w:pos="1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Excluded Claims</w:t>
      </w:r>
      <w:r>
        <w:rPr>
          <w:rFonts w:ascii="Times New Roman" w:cs="Times New Roman" w:eastAsia="Times New Roman" w:hAnsi="Times New Roman"/>
          <w:sz w:val="20"/>
          <w:szCs w:val="20"/>
          <w:color w:val="auto"/>
        </w:rPr>
        <w:t xml:space="preserve">. Notwithstanding anything to the contrary in this Agreement, the waiver and release contained in this Agreement shall exclude any rights or claims (a) that may arise after the date on which Employee executes this Agreement; (b) that cannot be released under applicable law (such as worker’s compensation and unemployment compensation claims); and (c) for indemnification or coverage under director’s and officer’s insurance. In addition, the Parties agree that this Agreement shall not adversely affect, alter, or extinguish any vested right that Employee may have with respect to (x) the vested non-qualified options listed on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(which shall remain exercisable in accordance with the terms of the James River Group Holdings, Ltd. 2014 Long-Term Incentive Plan, as amended, and the Non-Qualified Share Option Agreement entered into in connection with such options), and (y) any pension or other retirement benefits to which Employee is or will be entitled by virtue of Employee’s employment with the Company, and nothing in this Agreement shall prohibit Employee from enforcing such rights. Moreover, nothing in this Agreement shall prevent or preclude Employee from challenging in good faith the validity of this Agreement, nor does it impose any conditions precedent, penalties, or costs for doing so, unless specifically authorized by applicable law.</w:t>
      </w:r>
    </w:p>
    <w:p>
      <w:pPr>
        <w:spacing w:after="0" w:line="84" w:lineRule="exact"/>
        <w:rPr>
          <w:rFonts w:ascii="Times New Roman" w:cs="Times New Roman" w:eastAsia="Times New Roman" w:hAnsi="Times New Roman"/>
          <w:sz w:val="18"/>
          <w:szCs w:val="18"/>
          <w:color w:val="auto"/>
        </w:rPr>
      </w:pPr>
    </w:p>
    <w:p>
      <w:pPr>
        <w:jc w:val="both"/>
        <w:ind w:firstLine="656"/>
        <w:spacing w:after="0" w:line="271" w:lineRule="auto"/>
        <w:tabs>
          <w:tab w:leader="none" w:pos="1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 Other Claims</w:t>
      </w:r>
      <w:r>
        <w:rPr>
          <w:rFonts w:ascii="Times New Roman" w:cs="Times New Roman" w:eastAsia="Times New Roman" w:hAnsi="Times New Roman"/>
          <w:sz w:val="20"/>
          <w:szCs w:val="20"/>
          <w:color w:val="auto"/>
        </w:rPr>
        <w:t>. Except to the extent previously disclosed by Employee in writing to the Company, Employee represents and warrants that Employee has (a) filed no claims, lawsuits, charges, grievances, or causes of action of any kind against the Company and/or the Company Releasees and, to the best of Employee’s knowledge, Employee possesses no claims (including Fair Labor Standards Act [“FLSA”], sexual harassment, sexual abuse and worker’s compensation claims); (b) received any and all compensation (including overtime compensation), meal periods, and rest periods to which Employee may have been entitled, and Employee is not currently aware of any facts or circumstances constituting a violation by the Company and/or the Company Releasees of the FLSA or other applicable wage, hour, meal period, and/or rest period laws; and (c) not suffered any work-related injury or illness within the twelve (12) months preceding Employee’s execution of this Agreement, and Employee is not currently aware of any facts or circumstances that would give rise to a worker’s compensation claim against the Company and/or the Company Releasees.</w:t>
      </w:r>
    </w:p>
    <w:p>
      <w:pPr>
        <w:spacing w:after="0" w:line="80" w:lineRule="exact"/>
        <w:rPr>
          <w:rFonts w:ascii="Times New Roman" w:cs="Times New Roman" w:eastAsia="Times New Roman" w:hAnsi="Times New Roman"/>
          <w:sz w:val="18"/>
          <w:szCs w:val="18"/>
          <w:color w:val="auto"/>
        </w:rPr>
      </w:pPr>
    </w:p>
    <w:p>
      <w:pPr>
        <w:jc w:val="both"/>
        <w:ind w:firstLine="656"/>
        <w:spacing w:after="0" w:line="273" w:lineRule="auto"/>
        <w:tabs>
          <w:tab w:leader="none" w:pos="1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Wage Deduction Orders</w:t>
      </w:r>
      <w:r>
        <w:rPr>
          <w:rFonts w:ascii="Times New Roman" w:cs="Times New Roman" w:eastAsia="Times New Roman" w:hAnsi="Times New Roman"/>
          <w:sz w:val="20"/>
          <w:szCs w:val="20"/>
          <w:color w:val="auto"/>
        </w:rPr>
        <w:t>. Employee represents and warrants that Employee is not subject to any wage garnishment or deduction orders that would require payment to a third party of any portion of the Severance Pay. Any exceptions to the representation and warranty contained in this Paragraph must be described in writing and attached to the executed copy of this Agreement that Employee submits to the Company. Such disclosure shall not disqualify Employee from receiving Separation Pay under this Agreement; provided, however, that the amount of Severance Pay described in Paragraph 1 shall be reduced in accordance with any such wage garnishment or deduction order as required by applicable law.</w:t>
      </w:r>
    </w:p>
    <w:p>
      <w:pPr>
        <w:sectPr>
          <w:pgSz w:w="11900" w:h="16838" w:orient="portrait"/>
          <w:cols w:equalWidth="0" w:num="1">
            <w:col w:w="11420"/>
          </w:cols>
          <w:pgMar w:left="240" w:top="589" w:right="239" w:bottom="1440" w:gutter="0" w:footer="0" w:header="0"/>
        </w:sectPr>
      </w:pPr>
    </w:p>
    <w:bookmarkStart w:id="184" w:name="page185"/>
    <w:bookmarkEnd w:id="184"/>
    <w:p>
      <w:pPr>
        <w:jc w:val="both"/>
        <w:ind w:firstLine="656"/>
        <w:spacing w:after="0" w:line="275" w:lineRule="auto"/>
        <w:tabs>
          <w:tab w:leader="none" w:pos="1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Duty to Cooperate</w:t>
      </w:r>
      <w:r>
        <w:rPr>
          <w:rFonts w:ascii="Times New Roman" w:cs="Times New Roman" w:eastAsia="Times New Roman" w:hAnsi="Times New Roman"/>
          <w:sz w:val="20"/>
          <w:szCs w:val="20"/>
          <w:color w:val="auto"/>
        </w:rPr>
        <w:t>. Employee agrees that for one year after the Separation Date Employee will remain reasonably available to the Company as needed to assist in the smooth transition of Employee’s duties to one or more other employees of the Company, without additional compensation to Employee, provided, however, Employee’s obligations with respect to transition duties under this Paragraph shall not exceed 15 hours in any calendar month. Employee also agrees to reasonably assist the Company in pending or threatened litigation and any other administrative and regulatory proceedings, which currently exist or which may arise in the future.</w:t>
      </w:r>
    </w:p>
    <w:p>
      <w:pPr>
        <w:spacing w:after="0" w:line="73" w:lineRule="exact"/>
        <w:rPr>
          <w:rFonts w:ascii="Times New Roman" w:cs="Times New Roman" w:eastAsia="Times New Roman" w:hAnsi="Times New Roman"/>
          <w:sz w:val="18"/>
          <w:szCs w:val="18"/>
          <w:color w:val="auto"/>
        </w:rPr>
      </w:pPr>
    </w:p>
    <w:p>
      <w:pPr>
        <w:jc w:val="both"/>
        <w:ind w:firstLine="656"/>
        <w:spacing w:after="0" w:line="271" w:lineRule="auto"/>
        <w:tabs>
          <w:tab w:leader="none" w:pos="1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Employee will refrain from making negative or disparaging remarks about the Company or the Company Releasees. Employee will not provide information or issue statements regarding the Company or the Company Releasees, or take any other action, that would cause the Company or the Company Releasees embarrassment or humiliation or otherwise cause or contribute to them being held in disrepute. Likewise, the Company and Parent Company will not cause their directors, officers, managers, employees, or agents to provide information or issue statements regarding Employee, or take any other action, that would cause Employee embarrassment or humiliation or otherwise cause or contribute to Employee being held in disrepute. Nothing in this Agreement shall be deemed to preclude Employee, or the Company, the Parent Company or their directors, officers, managers, employees, or agents, from providing truthful testimony or statements in a legal or arbitration proceeding or pursuant to subpoena, court order, or similar legal process, or from providing truthful information to government or regulatory agencies.</w:t>
      </w:r>
    </w:p>
    <w:p>
      <w:pPr>
        <w:spacing w:after="0" w:line="80" w:lineRule="exact"/>
        <w:rPr>
          <w:rFonts w:ascii="Times New Roman" w:cs="Times New Roman" w:eastAsia="Times New Roman" w:hAnsi="Times New Roman"/>
          <w:sz w:val="18"/>
          <w:szCs w:val="18"/>
          <w:color w:val="auto"/>
        </w:rPr>
      </w:pPr>
    </w:p>
    <w:p>
      <w:pPr>
        <w:ind w:right="20" w:firstLine="656"/>
        <w:spacing w:after="0" w:line="297" w:lineRule="auto"/>
        <w:tabs>
          <w:tab w:leader="none" w:pos="1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Non-Admission of Liability</w:t>
      </w:r>
      <w:r>
        <w:rPr>
          <w:rFonts w:ascii="Times New Roman" w:cs="Times New Roman" w:eastAsia="Times New Roman" w:hAnsi="Times New Roman"/>
          <w:sz w:val="20"/>
          <w:szCs w:val="20"/>
          <w:color w:val="auto"/>
        </w:rPr>
        <w:t>. The Parties agree that nothing contained in this Agreement is to be construed as an admission of liability, fault, or improper action on the part of either of the Parties.</w:t>
      </w:r>
    </w:p>
    <w:p>
      <w:pPr>
        <w:spacing w:after="0" w:line="52" w:lineRule="exact"/>
        <w:rPr>
          <w:rFonts w:ascii="Times New Roman" w:cs="Times New Roman" w:eastAsia="Times New Roman" w:hAnsi="Times New Roman"/>
          <w:sz w:val="18"/>
          <w:szCs w:val="18"/>
          <w:color w:val="auto"/>
        </w:rPr>
      </w:pPr>
    </w:p>
    <w:p>
      <w:pPr>
        <w:jc w:val="both"/>
        <w:ind w:firstLine="656"/>
        <w:spacing w:after="0" w:line="273" w:lineRule="auto"/>
        <w:tabs>
          <w:tab w:leader="none" w:pos="15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Employee represents and warrants that, by the Separation Date, Employee has returned all property belonging to the Company, including, but not limited to, all keys, access cards, office equipment, computers, cellular telephones, notebooks, documents, records, files, written materials, electronically stored information, credit cards bearing the Company’s name, and other Company property (originals or copies in whatever form) in Employee’s possession or under Employee’s control, with the exception of this Agreement, the Employment Agreement, compensation and benefits-related documents concerning Employee, and documents Employee has received in his capacity as a shareholder of the Parent Company.</w:t>
      </w:r>
    </w:p>
    <w:p>
      <w:pPr>
        <w:spacing w:after="0" w:line="78"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Consultation With Legal Counsel</w:t>
      </w:r>
      <w:r>
        <w:rPr>
          <w:rFonts w:ascii="Times New Roman" w:cs="Times New Roman" w:eastAsia="Times New Roman" w:hAnsi="Times New Roman"/>
          <w:sz w:val="20"/>
          <w:szCs w:val="20"/>
          <w:color w:val="auto"/>
        </w:rPr>
        <w:t>. The Company hereby advises Employee to consult with an attorney prior to signing this</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Agreement.</w:t>
      </w:r>
    </w:p>
    <w:p>
      <w:pPr>
        <w:spacing w:after="0" w:line="132" w:lineRule="exact"/>
        <w:rPr>
          <w:rFonts w:ascii="Times New Roman" w:cs="Times New Roman" w:eastAsia="Times New Roman" w:hAnsi="Times New Roman"/>
          <w:sz w:val="18"/>
          <w:szCs w:val="18"/>
          <w:color w:val="auto"/>
        </w:rPr>
      </w:pPr>
    </w:p>
    <w:p>
      <w:pPr>
        <w:jc w:val="both"/>
        <w:ind w:firstLine="656"/>
        <w:spacing w:after="0" w:line="275" w:lineRule="auto"/>
        <w:tabs>
          <w:tab w:leader="none" w:pos="15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Review and Revocation Periods</w:t>
      </w:r>
      <w:r>
        <w:rPr>
          <w:rFonts w:ascii="Times New Roman" w:cs="Times New Roman" w:eastAsia="Times New Roman" w:hAnsi="Times New Roman"/>
          <w:sz w:val="20"/>
          <w:szCs w:val="20"/>
          <w:color w:val="auto"/>
        </w:rPr>
        <w:t>. Employee acknowledges that Employee has been given at least twenty-one (21) days to consider this Agreement from the date that it was first given to Employee. Employee agrees that changes in the terms of this Agreement, whether material or immaterial, do not restart the running of the twenty-one (21)-day consideration period. Employee shall have seven (7) days from the date that Employee executes the Agreement to revoke Employee’s acceptance of the Agreement by delivering written notice of revocation within the seven (7)-day period to the following Company contact: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James River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1414 Raleigh Road, Suite 405</w:t>
      </w:r>
    </w:p>
    <w:p>
      <w:pPr>
        <w:jc w:val="center"/>
        <w:spacing w:after="0"/>
        <w:rPr>
          <w:sz w:val="20"/>
          <w:szCs w:val="20"/>
          <w:color w:val="auto"/>
        </w:rPr>
      </w:pPr>
      <w:r>
        <w:rPr>
          <w:rFonts w:ascii="Times New Roman" w:cs="Times New Roman" w:eastAsia="Times New Roman" w:hAnsi="Times New Roman"/>
          <w:sz w:val="20"/>
          <w:szCs w:val="20"/>
          <w:color w:val="auto"/>
        </w:rPr>
        <w:t>Chapel Hill, North Carolina 27517</w:t>
      </w:r>
    </w:p>
    <w:p>
      <w:pPr>
        <w:jc w:val="center"/>
        <w:spacing w:after="0"/>
        <w:rPr>
          <w:sz w:val="20"/>
          <w:szCs w:val="20"/>
          <w:color w:val="auto"/>
        </w:rPr>
      </w:pPr>
      <w:r>
        <w:rPr>
          <w:rFonts w:ascii="Times New Roman" w:cs="Times New Roman" w:eastAsia="Times New Roman" w:hAnsi="Times New Roman"/>
          <w:sz w:val="20"/>
          <w:szCs w:val="20"/>
          <w:color w:val="auto"/>
        </w:rPr>
        <w:t>Attn: Robert P. Myron, Chief Executive Officer</w:t>
      </w:r>
    </w:p>
    <w:p>
      <w:pPr>
        <w:spacing w:after="0" w:line="30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If Employee does not revoke acceptance, this Agreement will become effective and irrevocable by Employee on the eighth day after Employee has executed it.</w:t>
      </w:r>
    </w:p>
    <w:p>
      <w:pPr>
        <w:spacing w:after="0" w:line="200" w:lineRule="exact"/>
        <w:rPr>
          <w:sz w:val="20"/>
          <w:szCs w:val="20"/>
          <w:color w:val="auto"/>
        </w:rPr>
      </w:pPr>
    </w:p>
    <w:p>
      <w:pPr>
        <w:spacing w:after="0" w:line="203" w:lineRule="exact"/>
        <w:rPr>
          <w:sz w:val="20"/>
          <w:szCs w:val="20"/>
          <w:color w:val="auto"/>
        </w:rPr>
      </w:pPr>
    </w:p>
    <w:p>
      <w:pPr>
        <w:ind w:firstLine="656"/>
        <w:spacing w:after="0" w:line="297" w:lineRule="auto"/>
        <w:tabs>
          <w:tab w:leader="none" w:pos="15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This Agreement shall be construed and administered in accordance with the laws of North Carolina, without regard to the principles of conflicts of law which might otherwise apply.</w:t>
      </w:r>
    </w:p>
    <w:p>
      <w:pPr>
        <w:spacing w:after="0" w:line="52" w:lineRule="exact"/>
        <w:rPr>
          <w:rFonts w:ascii="Times New Roman" w:cs="Times New Roman" w:eastAsia="Times New Roman" w:hAnsi="Times New Roman"/>
          <w:sz w:val="18"/>
          <w:szCs w:val="18"/>
          <w:color w:val="auto"/>
        </w:rPr>
      </w:pPr>
    </w:p>
    <w:p>
      <w:pPr>
        <w:jc w:val="both"/>
        <w:ind w:firstLine="656"/>
        <w:spacing w:after="0" w:line="277" w:lineRule="auto"/>
        <w:tabs>
          <w:tab w:leader="none" w:pos="15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this Agreement or the provisions of the Employment Agreement incorporated in this Agreement be held to be illegal, void or unenforceable, such provision shall be of no force and effect. However, the illegality or unenforceability of any such provision shall have no effect upon, and shall not impair the enforceability of, any other provision of this Agreement.</w:t>
      </w:r>
    </w:p>
    <w:p>
      <w:pPr>
        <w:sectPr>
          <w:pgSz w:w="11900" w:h="16838" w:orient="portrait"/>
          <w:cols w:equalWidth="0" w:num="1">
            <w:col w:w="11420"/>
          </w:cols>
          <w:pgMar w:left="240" w:top="590" w:right="239" w:bottom="1440" w:gutter="0" w:footer="0" w:header="0"/>
        </w:sectPr>
      </w:pPr>
    </w:p>
    <w:bookmarkStart w:id="185" w:name="page186"/>
    <w:bookmarkEnd w:id="185"/>
    <w:p>
      <w:pPr>
        <w:jc w:val="both"/>
        <w:ind w:firstLine="656"/>
        <w:spacing w:after="0" w:line="28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each of which shall be deemed an original, but all of which shall constitute one and the same instrument. A copy of an executed counterpart that is delivered electronically as a PDF attachment to an email or by facsimile shall be deemed to be an original signed counterpart.</w:t>
      </w:r>
    </w:p>
    <w:p>
      <w:pPr>
        <w:spacing w:after="0" w:line="67" w:lineRule="exact"/>
        <w:rPr>
          <w:rFonts w:ascii="Times New Roman" w:cs="Times New Roman" w:eastAsia="Times New Roman" w:hAnsi="Times New Roman"/>
          <w:sz w:val="18"/>
          <w:szCs w:val="18"/>
          <w:color w:val="auto"/>
        </w:rPr>
      </w:pPr>
    </w:p>
    <w:p>
      <w:pPr>
        <w:jc w:val="both"/>
        <w:ind w:firstLine="656"/>
        <w:spacing w:after="0" w:line="28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Employee, the Company, and the Company Releasees, and their respective representatives, predecessors, heirs, successors, and assigns, provided, however, this Agreement may not be assigned by Employee, and any assignment by Employee shall be null and void.</w:t>
      </w:r>
    </w:p>
    <w:p>
      <w:pPr>
        <w:spacing w:after="0" w:line="67" w:lineRule="exact"/>
        <w:rPr>
          <w:rFonts w:ascii="Times New Roman" w:cs="Times New Roman" w:eastAsia="Times New Roman" w:hAnsi="Times New Roman"/>
          <w:sz w:val="18"/>
          <w:szCs w:val="18"/>
          <w:color w:val="auto"/>
        </w:rPr>
      </w:pPr>
    </w:p>
    <w:p>
      <w:pPr>
        <w:jc w:val="both"/>
        <w:ind w:firstLine="656"/>
        <w:spacing w:after="0" w:line="27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contains the complete understanding between the Parties as to the subject matter contained herein, and no other promises or agreements shall be binding unless signed by both an authorized representative of the Company and Employee. In signing this Agreement, the Parties are not relying on any fact, statement, or assumption not set forth in this Agreement. Notwithstanding the foregoing, Employee understands and agrees that Section 4 (Confidential Information and Privileged Information), Section 5 (Non-Competition), Section 8 (409A Compliance), Section 9 (Uniqueness of Services; Acknowledgments), Section 10 (Further Acknowledgments), Section 11 (Notices), and Section 17 (Dispute Resolution) of the Employment Agreement remain in full force and effect after the Separation Date, are not superseded by this Agreement, and are incorporated herein by reference.</w:t>
      </w:r>
    </w:p>
    <w:p>
      <w:pPr>
        <w:spacing w:after="0" w:line="79" w:lineRule="exact"/>
        <w:rPr>
          <w:rFonts w:ascii="Times New Roman" w:cs="Times New Roman" w:eastAsia="Times New Roman" w:hAnsi="Times New Roman"/>
          <w:sz w:val="18"/>
          <w:szCs w:val="18"/>
          <w:color w:val="auto"/>
        </w:rPr>
      </w:pPr>
    </w:p>
    <w:p>
      <w:pPr>
        <w:ind w:firstLine="656"/>
        <w:spacing w:after="0" w:line="297"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dispute arising under, enforcing, or challenging the validity of this Agreement is subject to the Dispute Resolution provisions (Section 17) of the Employment Agreement, as incorporated herein.</w:t>
      </w:r>
    </w:p>
    <w:p>
      <w:pPr>
        <w:spacing w:after="0" w:line="52" w:lineRule="exact"/>
        <w:rPr>
          <w:rFonts w:ascii="Times New Roman" w:cs="Times New Roman" w:eastAsia="Times New Roman" w:hAnsi="Times New Roman"/>
          <w:sz w:val="18"/>
          <w:szCs w:val="18"/>
          <w:color w:val="auto"/>
        </w:rPr>
      </w:pPr>
    </w:p>
    <w:p>
      <w:pPr>
        <w:jc w:val="both"/>
        <w:ind w:firstLine="656"/>
        <w:spacing w:after="0" w:line="27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Representation and Warranty of Understanding</w:t>
      </w:r>
      <w:r>
        <w:rPr>
          <w:rFonts w:ascii="Times New Roman" w:cs="Times New Roman" w:eastAsia="Times New Roman" w:hAnsi="Times New Roman"/>
          <w:sz w:val="20"/>
          <w:szCs w:val="20"/>
          <w:color w:val="auto"/>
        </w:rPr>
        <w:t>. By signing below, Employee represents and warrants that Employee: (a) has carefully read and understands the terms of this Agreement; (b) is entering into the Agreement knowingly, voluntarily and of Employee’s own free will; (c) understands its terms and significance and intends to abide by its provisions without exception; (d) has not made any false statements or representations in connection with this Agreement; and (e) has not transferred or assigned to any person or entity not a party to this Agreement any claim or right released hereunder, and Employee agrees to indemnify the Company and hold it harmless against any claim (including claims for attorney’s fees or costs actually incurred, regardless of whether litigation has commenced) based on or arising out of any alleged assignment or transfer of a claim by Employee.</w:t>
      </w:r>
    </w:p>
    <w:p>
      <w:pPr>
        <w:spacing w:after="0" w:line="2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u w:val="single" w:color="auto"/>
          <w:color w:val="auto"/>
        </w:rPr>
        <w:t>/s/ Steven J. Hartman</w:t>
      </w:r>
      <w:r>
        <w:rPr>
          <w:rFonts w:ascii="Times New Roman" w:cs="Times New Roman" w:eastAsia="Times New Roman" w:hAnsi="Times New Roman"/>
          <w:sz w:val="20"/>
          <w:szCs w:val="20"/>
          <w:color w:val="auto"/>
        </w:rPr>
        <w:t>______</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Steven J. Hartman</w:t>
      </w:r>
    </w:p>
    <w:p>
      <w:pPr>
        <w:ind w:left="4540"/>
        <w:spacing w:after="0"/>
        <w:rPr>
          <w:sz w:val="20"/>
          <w:szCs w:val="20"/>
          <w:color w:val="auto"/>
        </w:rPr>
      </w:pPr>
      <w:r>
        <w:rPr>
          <w:rFonts w:ascii="Times New Roman" w:cs="Times New Roman" w:eastAsia="Times New Roman" w:hAnsi="Times New Roman"/>
          <w:sz w:val="20"/>
          <w:szCs w:val="20"/>
          <w:color w:val="auto"/>
        </w:rPr>
        <w:t>Dated: October 26, 2018</w:t>
      </w:r>
    </w:p>
    <w:p>
      <w:pPr>
        <w:spacing w:after="0" w:line="200" w:lineRule="exact"/>
        <w:rPr>
          <w:sz w:val="20"/>
          <w:szCs w:val="20"/>
          <w:color w:val="auto"/>
        </w:rPr>
      </w:pPr>
    </w:p>
    <w:p>
      <w:pPr>
        <w:spacing w:after="0" w:line="2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James River Group,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_____</w:t>
      </w:r>
      <w:r>
        <w:rPr>
          <w:rFonts w:ascii="Times New Roman" w:cs="Times New Roman" w:eastAsia="Times New Roman" w:hAnsi="Times New Roman"/>
          <w:sz w:val="20"/>
          <w:szCs w:val="20"/>
          <w:u w:val="single" w:color="auto"/>
          <w:color w:val="auto"/>
        </w:rPr>
        <w:t>/s/ Robert P. Myron</w:t>
      </w:r>
      <w:r>
        <w:rPr>
          <w:rFonts w:ascii="Times New Roman" w:cs="Times New Roman" w:eastAsia="Times New Roman" w:hAnsi="Times New Roman"/>
          <w:sz w:val="20"/>
          <w:szCs w:val="20"/>
          <w:color w:val="auto"/>
        </w:rPr>
        <w:t>____________</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Robert P. Myron</w:t>
      </w:r>
    </w:p>
    <w:p>
      <w:pPr>
        <w:ind w:left="45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ind w:left="4540"/>
        <w:spacing w:after="0"/>
        <w:rPr>
          <w:sz w:val="20"/>
          <w:szCs w:val="20"/>
          <w:color w:val="auto"/>
        </w:rPr>
      </w:pPr>
      <w:r>
        <w:rPr>
          <w:rFonts w:ascii="Times New Roman" w:cs="Times New Roman" w:eastAsia="Times New Roman" w:hAnsi="Times New Roman"/>
          <w:sz w:val="20"/>
          <w:szCs w:val="20"/>
          <w:color w:val="auto"/>
        </w:rPr>
        <w:t>Dated: October 26, 2018</w:t>
      </w:r>
    </w:p>
    <w:p>
      <w:pPr>
        <w:spacing w:after="0" w:line="1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Stonewood Insurance Company</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w:t>
      </w:r>
      <w:r>
        <w:rPr>
          <w:rFonts w:ascii="Times New Roman" w:cs="Times New Roman" w:eastAsia="Times New Roman" w:hAnsi="Times New Roman"/>
          <w:sz w:val="20"/>
          <w:szCs w:val="20"/>
          <w:u w:val="single" w:color="auto"/>
          <w:color w:val="auto"/>
        </w:rPr>
        <w:t>/s/ Sarah C. Doran</w:t>
      </w:r>
      <w:r>
        <w:rPr>
          <w:rFonts w:ascii="Times New Roman" w:cs="Times New Roman" w:eastAsia="Times New Roman" w:hAnsi="Times New Roman"/>
          <w:sz w:val="20"/>
          <w:szCs w:val="20"/>
          <w:color w:val="auto"/>
        </w:rPr>
        <w:t>____________</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Sarah C. Doran</w:t>
      </w:r>
    </w:p>
    <w:p>
      <w:pPr>
        <w:ind w:left="4540"/>
        <w:spacing w:after="0"/>
        <w:rPr>
          <w:sz w:val="20"/>
          <w:szCs w:val="20"/>
          <w:color w:val="auto"/>
        </w:rPr>
      </w:pPr>
      <w:r>
        <w:rPr>
          <w:rFonts w:ascii="Times New Roman" w:cs="Times New Roman" w:eastAsia="Times New Roman" w:hAnsi="Times New Roman"/>
          <w:sz w:val="20"/>
          <w:szCs w:val="20"/>
          <w:color w:val="auto"/>
        </w:rPr>
        <w:t>Title: Chairman</w:t>
      </w:r>
    </w:p>
    <w:p>
      <w:pPr>
        <w:ind w:left="4540"/>
        <w:spacing w:after="0"/>
        <w:rPr>
          <w:sz w:val="20"/>
          <w:szCs w:val="20"/>
          <w:color w:val="auto"/>
        </w:rPr>
      </w:pPr>
      <w:r>
        <w:rPr>
          <w:rFonts w:ascii="Times New Roman" w:cs="Times New Roman" w:eastAsia="Times New Roman" w:hAnsi="Times New Roman"/>
          <w:sz w:val="20"/>
          <w:szCs w:val="20"/>
          <w:color w:val="auto"/>
        </w:rPr>
        <w:t>Dated: October 26, 2018</w:t>
      </w:r>
    </w:p>
    <w:p>
      <w:pPr>
        <w:spacing w:after="0" w:line="1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Falls Lake Insurance Management Company, Inc.</w:t>
      </w:r>
    </w:p>
    <w:p>
      <w:pPr>
        <w:sectPr>
          <w:pgSz w:w="11900" w:h="16838" w:orient="portrait"/>
          <w:cols w:equalWidth="0" w:num="1">
            <w:col w:w="11420"/>
          </w:cols>
          <w:pgMar w:left="240" w:top="589" w:right="239" w:bottom="1440" w:gutter="0" w:footer="0" w:header="0"/>
        </w:sectPr>
      </w:pPr>
    </w:p>
    <w:bookmarkStart w:id="186" w:name="page187"/>
    <w:bookmarkEnd w:id="186"/>
    <w:p>
      <w:pPr>
        <w:ind w:left="3340"/>
        <w:spacing w:after="0"/>
        <w:rPr>
          <w:sz w:val="20"/>
          <w:szCs w:val="20"/>
          <w:color w:val="auto"/>
        </w:rPr>
      </w:pPr>
      <w:r>
        <w:rPr>
          <w:rFonts w:ascii="Times New Roman" w:cs="Times New Roman" w:eastAsia="Times New Roman" w:hAnsi="Times New Roman"/>
          <w:sz w:val="19"/>
          <w:szCs w:val="19"/>
          <w:color w:val="auto"/>
        </w:rPr>
        <w:t>By: _____</w:t>
      </w:r>
      <w:r>
        <w:rPr>
          <w:rFonts w:ascii="Times New Roman" w:cs="Times New Roman" w:eastAsia="Times New Roman" w:hAnsi="Times New Roman"/>
          <w:sz w:val="19"/>
          <w:szCs w:val="19"/>
          <w:u w:val="single" w:color="auto"/>
          <w:color w:val="auto"/>
        </w:rPr>
        <w:t>/s/ Sarah C. Doran</w:t>
      </w:r>
      <w:r>
        <w:rPr>
          <w:rFonts w:ascii="Times New Roman" w:cs="Times New Roman" w:eastAsia="Times New Roman" w:hAnsi="Times New Roman"/>
          <w:sz w:val="19"/>
          <w:szCs w:val="19"/>
          <w:color w:val="auto"/>
        </w:rPr>
        <w:t>__________</w:t>
      </w:r>
    </w:p>
    <w:p>
      <w:pPr>
        <w:spacing w:after="0" w:line="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Sarah C. Doran</w:t>
      </w:r>
    </w:p>
    <w:p>
      <w:pPr>
        <w:ind w:left="3340"/>
        <w:spacing w:after="0"/>
        <w:rPr>
          <w:sz w:val="20"/>
          <w:szCs w:val="20"/>
          <w:color w:val="auto"/>
        </w:rPr>
      </w:pPr>
      <w:r>
        <w:rPr>
          <w:rFonts w:ascii="Times New Roman" w:cs="Times New Roman" w:eastAsia="Times New Roman" w:hAnsi="Times New Roman"/>
          <w:sz w:val="20"/>
          <w:szCs w:val="20"/>
          <w:color w:val="auto"/>
        </w:rPr>
        <w:t>Title: Chairman</w:t>
      </w:r>
    </w:p>
    <w:p>
      <w:pPr>
        <w:ind w:left="3340"/>
        <w:spacing w:after="0"/>
        <w:rPr>
          <w:sz w:val="20"/>
          <w:szCs w:val="20"/>
          <w:color w:val="auto"/>
        </w:rPr>
      </w:pPr>
      <w:r>
        <w:rPr>
          <w:rFonts w:ascii="Times New Roman" w:cs="Times New Roman" w:eastAsia="Times New Roman" w:hAnsi="Times New Roman"/>
          <w:sz w:val="20"/>
          <w:szCs w:val="20"/>
          <w:color w:val="auto"/>
        </w:rPr>
        <w:t>Dated: October 26, 2018</w:t>
      </w:r>
    </w:p>
    <w:p>
      <w:pPr>
        <w:spacing w:after="0" w:line="19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Falls Lake National Insurance Company</w:t>
      </w: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_____</w:t>
      </w:r>
      <w:r>
        <w:rPr>
          <w:rFonts w:ascii="Times New Roman" w:cs="Times New Roman" w:eastAsia="Times New Roman" w:hAnsi="Times New Roman"/>
          <w:sz w:val="19"/>
          <w:szCs w:val="19"/>
          <w:u w:val="single" w:color="auto"/>
          <w:color w:val="auto"/>
        </w:rPr>
        <w:t>/s/ Sarah C. Doran</w:t>
      </w:r>
      <w:r>
        <w:rPr>
          <w:rFonts w:ascii="Times New Roman" w:cs="Times New Roman" w:eastAsia="Times New Roman" w:hAnsi="Times New Roman"/>
          <w:sz w:val="19"/>
          <w:szCs w:val="19"/>
          <w:color w:val="auto"/>
        </w:rPr>
        <w:t>__________</w:t>
      </w:r>
    </w:p>
    <w:p>
      <w:pPr>
        <w:spacing w:after="0" w:line="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Sarah C. Doran</w:t>
      </w:r>
    </w:p>
    <w:p>
      <w:pPr>
        <w:ind w:left="3340"/>
        <w:spacing w:after="0"/>
        <w:rPr>
          <w:sz w:val="20"/>
          <w:szCs w:val="20"/>
          <w:color w:val="auto"/>
        </w:rPr>
      </w:pPr>
      <w:r>
        <w:rPr>
          <w:rFonts w:ascii="Times New Roman" w:cs="Times New Roman" w:eastAsia="Times New Roman" w:hAnsi="Times New Roman"/>
          <w:sz w:val="20"/>
          <w:szCs w:val="20"/>
          <w:color w:val="auto"/>
        </w:rPr>
        <w:t>Title: Chairman</w:t>
      </w:r>
    </w:p>
    <w:p>
      <w:pPr>
        <w:ind w:left="3340"/>
        <w:spacing w:after="0"/>
        <w:rPr>
          <w:sz w:val="20"/>
          <w:szCs w:val="20"/>
          <w:color w:val="auto"/>
        </w:rPr>
      </w:pPr>
      <w:r>
        <w:rPr>
          <w:rFonts w:ascii="Times New Roman" w:cs="Times New Roman" w:eastAsia="Times New Roman" w:hAnsi="Times New Roman"/>
          <w:sz w:val="20"/>
          <w:szCs w:val="20"/>
          <w:color w:val="auto"/>
        </w:rPr>
        <w:t>Dated: October 26, 2018</w:t>
      </w:r>
    </w:p>
    <w:p>
      <w:pPr>
        <w:spacing w:after="0" w:line="19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Falls Lake General Insurance Company</w:t>
      </w: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_____</w:t>
      </w:r>
      <w:r>
        <w:rPr>
          <w:rFonts w:ascii="Times New Roman" w:cs="Times New Roman" w:eastAsia="Times New Roman" w:hAnsi="Times New Roman"/>
          <w:sz w:val="19"/>
          <w:szCs w:val="19"/>
          <w:u w:val="single" w:color="auto"/>
          <w:color w:val="auto"/>
        </w:rPr>
        <w:t>/s/ Sarah C. Doran</w:t>
      </w:r>
      <w:r>
        <w:rPr>
          <w:rFonts w:ascii="Times New Roman" w:cs="Times New Roman" w:eastAsia="Times New Roman" w:hAnsi="Times New Roman"/>
          <w:sz w:val="19"/>
          <w:szCs w:val="19"/>
          <w:color w:val="auto"/>
        </w:rPr>
        <w:t>__________</w:t>
      </w:r>
    </w:p>
    <w:p>
      <w:pPr>
        <w:spacing w:after="0" w:line="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Sarah C. Doran</w:t>
      </w:r>
    </w:p>
    <w:p>
      <w:pPr>
        <w:ind w:left="3340"/>
        <w:spacing w:after="0"/>
        <w:rPr>
          <w:sz w:val="20"/>
          <w:szCs w:val="20"/>
          <w:color w:val="auto"/>
        </w:rPr>
      </w:pPr>
      <w:r>
        <w:rPr>
          <w:rFonts w:ascii="Times New Roman" w:cs="Times New Roman" w:eastAsia="Times New Roman" w:hAnsi="Times New Roman"/>
          <w:sz w:val="20"/>
          <w:szCs w:val="20"/>
          <w:color w:val="auto"/>
        </w:rPr>
        <w:t>Title: Chairman</w:t>
      </w:r>
    </w:p>
    <w:p>
      <w:pPr>
        <w:ind w:left="3340"/>
        <w:spacing w:after="0"/>
        <w:rPr>
          <w:sz w:val="20"/>
          <w:szCs w:val="20"/>
          <w:color w:val="auto"/>
        </w:rPr>
      </w:pPr>
      <w:r>
        <w:rPr>
          <w:rFonts w:ascii="Times New Roman" w:cs="Times New Roman" w:eastAsia="Times New Roman" w:hAnsi="Times New Roman"/>
          <w:sz w:val="20"/>
          <w:szCs w:val="20"/>
          <w:color w:val="auto"/>
        </w:rPr>
        <w:t>Dated: October 26, 2018</w:t>
      </w:r>
    </w:p>
    <w:p>
      <w:pPr>
        <w:spacing w:after="0" w:line="19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Falls Lake Fire and Casualty Company</w:t>
      </w: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By: _____</w:t>
      </w:r>
      <w:r>
        <w:rPr>
          <w:rFonts w:ascii="Times New Roman" w:cs="Times New Roman" w:eastAsia="Times New Roman" w:hAnsi="Times New Roman"/>
          <w:sz w:val="19"/>
          <w:szCs w:val="19"/>
          <w:u w:val="single" w:color="auto"/>
          <w:color w:val="auto"/>
        </w:rPr>
        <w:t>/s/ Sarah C. Doran</w:t>
      </w:r>
      <w:r>
        <w:rPr>
          <w:rFonts w:ascii="Times New Roman" w:cs="Times New Roman" w:eastAsia="Times New Roman" w:hAnsi="Times New Roman"/>
          <w:sz w:val="19"/>
          <w:szCs w:val="19"/>
          <w:color w:val="auto"/>
        </w:rPr>
        <w:t>__________</w:t>
      </w:r>
    </w:p>
    <w:p>
      <w:pPr>
        <w:spacing w:after="0" w:line="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 Sarah C. Doran</w:t>
      </w:r>
    </w:p>
    <w:p>
      <w:pPr>
        <w:ind w:left="3340"/>
        <w:spacing w:after="0"/>
        <w:rPr>
          <w:sz w:val="20"/>
          <w:szCs w:val="20"/>
          <w:color w:val="auto"/>
        </w:rPr>
      </w:pPr>
      <w:r>
        <w:rPr>
          <w:rFonts w:ascii="Times New Roman" w:cs="Times New Roman" w:eastAsia="Times New Roman" w:hAnsi="Times New Roman"/>
          <w:sz w:val="20"/>
          <w:szCs w:val="20"/>
          <w:color w:val="auto"/>
        </w:rPr>
        <w:t>Title: Chairman</w:t>
      </w:r>
    </w:p>
    <w:p>
      <w:pPr>
        <w:ind w:left="3340"/>
        <w:spacing w:after="0"/>
        <w:rPr>
          <w:sz w:val="20"/>
          <w:szCs w:val="20"/>
          <w:color w:val="auto"/>
        </w:rPr>
      </w:pPr>
      <w:r>
        <w:rPr>
          <w:rFonts w:ascii="Times New Roman" w:cs="Times New Roman" w:eastAsia="Times New Roman" w:hAnsi="Times New Roman"/>
          <w:sz w:val="20"/>
          <w:szCs w:val="20"/>
          <w:color w:val="auto"/>
        </w:rPr>
        <w:t>Dated: October 26, 2018</w:t>
      </w:r>
    </w:p>
    <w:p>
      <w:pPr>
        <w:sectPr>
          <w:pgSz w:w="11900" w:h="16838" w:orient="portrait"/>
          <w:cols w:equalWidth="0" w:num="1">
            <w:col w:w="9019"/>
          </w:cols>
          <w:pgMar w:left="1440" w:top="576" w:right="1440" w:bottom="1440" w:gutter="0" w:footer="0" w:header="0"/>
        </w:sectPr>
      </w:pPr>
    </w:p>
    <w:bookmarkStart w:id="187" w:name="page188"/>
    <w:bookmarkEnd w:id="187"/>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b w:val="1"/>
          <w:bCs w:val="1"/>
          <w:color w:val="auto"/>
        </w:rPr>
        <w:t>Schedule of vested and unvested Options and Unvested Restricted Share Units as of Separation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Vested and Unvested Non-Qualified Options</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auto"/>
              <w:left w:val="single" w:sz="8" w:color="auto"/>
            </w:tcBorders>
          </w:tcPr>
          <w:p>
            <w:pPr>
              <w:spacing w:after="0"/>
              <w:rPr>
                <w:sz w:val="21"/>
                <w:szCs w:val="21"/>
                <w:color w:val="auto"/>
              </w:rPr>
            </w:pPr>
          </w:p>
        </w:tc>
        <w:tc>
          <w:tcPr>
            <w:tcW w:w="10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Grant</w:t>
            </w:r>
          </w:p>
        </w:tc>
        <w:tc>
          <w:tcPr>
            <w:tcW w:w="108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r>
      <w:tr>
        <w:trPr>
          <w:trHeight w:val="262"/>
        </w:trPr>
        <w:tc>
          <w:tcPr>
            <w:tcW w:w="1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Strike Price</w:t>
            </w:r>
          </w:p>
        </w:tc>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1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Unvested</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Expiration Date</w:t>
            </w:r>
          </w:p>
        </w:tc>
      </w:tr>
      <w:tr>
        <w:trPr>
          <w:trHeight w:val="21"/>
        </w:trPr>
        <w:tc>
          <w:tcPr>
            <w:tcW w:w="148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1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2/16/2016</w:t>
            </w:r>
          </w:p>
        </w:tc>
        <w:tc>
          <w:tcPr>
            <w:tcW w:w="1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41,014</w:t>
            </w:r>
          </w:p>
        </w:tc>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$32.07</w:t>
            </w:r>
          </w:p>
        </w:tc>
        <w:tc>
          <w:tcPr>
            <w:tcW w:w="1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27,342</w:t>
            </w:r>
          </w:p>
        </w:tc>
        <w:tc>
          <w:tcPr>
            <w:tcW w:w="1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13,672</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2/15/2023</w:t>
            </w:r>
          </w:p>
        </w:tc>
      </w:tr>
      <w:tr>
        <w:trPr>
          <w:trHeight w:val="21"/>
        </w:trPr>
        <w:tc>
          <w:tcPr>
            <w:tcW w:w="148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r>
      <w:tr>
        <w:trPr>
          <w:trHeight w:val="661"/>
        </w:trPr>
        <w:tc>
          <w:tcPr>
            <w:tcW w:w="39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B. Unvested Restricted Share Units</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5"/>
        </w:trPr>
        <w:tc>
          <w:tcPr>
            <w:tcW w:w="1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1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50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Unvested Restricted Share Units</w:t>
            </w:r>
          </w:p>
        </w:tc>
        <w:tc>
          <w:tcPr>
            <w:tcW w:w="6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
        </w:trPr>
        <w:tc>
          <w:tcPr>
            <w:tcW w:w="1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1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2/16/2016</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1,183</w:t>
            </w: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
        </w:trPr>
        <w:tc>
          <w:tcPr>
            <w:tcW w:w="1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1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2/14/2017</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5,692</w:t>
            </w: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
        </w:trPr>
        <w:tc>
          <w:tcPr>
            <w:tcW w:w="1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1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2/21/18</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10,073</w:t>
            </w: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
        </w:trPr>
        <w:tc>
          <w:tcPr>
            <w:tcW w:w="1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ectPr>
          <w:pgSz w:w="11900" w:h="16838" w:orient="portrait"/>
          <w:cols w:equalWidth="0" w:num="1">
            <w:col w:w="10219"/>
          </w:cols>
          <w:pgMar w:left="240" w:top="572"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b w:val="1"/>
          <w:bCs w:val="1"/>
          <w:color w:val="auto"/>
        </w:rPr>
        <w:t>Exhibit 10.30</w:t>
      </w:r>
    </w:p>
    <w:p>
      <w:pPr>
        <w:spacing w:after="0" w:line="67"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20"/>
          <w:szCs w:val="20"/>
          <w:b w:val="1"/>
          <w:bCs w:val="1"/>
          <w:color w:val="auto"/>
        </w:rPr>
        <w:t>James River Group,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left="2940"/>
        <w:spacing w:after="0"/>
        <w:rPr>
          <w:sz w:val="20"/>
          <w:szCs w:val="20"/>
          <w:color w:val="auto"/>
        </w:rPr>
      </w:pPr>
      <w:r>
        <w:rPr>
          <w:rFonts w:ascii="Times New Roman" w:cs="Times New Roman" w:eastAsia="Times New Roman" w:hAnsi="Times New Roman"/>
          <w:sz w:val="20"/>
          <w:szCs w:val="20"/>
          <w:color w:val="auto"/>
        </w:rPr>
        <w:t>1414 Raleigh Road, Suite 405, Chapel Hill, NC 27517</w:t>
      </w: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September 17,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Terry McCafferty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Terry:</w:t>
      </w:r>
    </w:p>
    <w:p>
      <w:pPr>
        <w:spacing w:after="0" w:line="216"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color w:val="auto"/>
        </w:rPr>
        <w:t>The purpose of this letter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to confirm our agreement as of the Effective Date (as hereinafter defined) with respect to the terms of your employment by James River Group, Inc. (the “</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to serve as President and Chief Executive Officer of Parent Company subsidiaries Stonewood Insurance Company (“</w:t>
      </w:r>
      <w:r>
        <w:rPr>
          <w:rFonts w:ascii="Times New Roman" w:cs="Times New Roman" w:eastAsia="Times New Roman" w:hAnsi="Times New Roman"/>
          <w:sz w:val="20"/>
          <w:szCs w:val="20"/>
          <w:u w:val="single" w:color="auto"/>
          <w:color w:val="auto"/>
        </w:rPr>
        <w:t>SIC</w:t>
      </w:r>
      <w:r>
        <w:rPr>
          <w:rFonts w:ascii="Times New Roman" w:cs="Times New Roman" w:eastAsia="Times New Roman" w:hAnsi="Times New Roman"/>
          <w:sz w:val="20"/>
          <w:szCs w:val="20"/>
          <w:color w:val="auto"/>
        </w:rPr>
        <w:t>”), Falls Lake Insurance Management Company, Inc. (“</w:t>
      </w:r>
      <w:r>
        <w:rPr>
          <w:rFonts w:ascii="Times New Roman" w:cs="Times New Roman" w:eastAsia="Times New Roman" w:hAnsi="Times New Roman"/>
          <w:sz w:val="20"/>
          <w:szCs w:val="20"/>
          <w:u w:val="single" w:color="auto"/>
          <w:color w:val="auto"/>
        </w:rPr>
        <w:t>FLIMCO</w:t>
      </w:r>
      <w:r>
        <w:rPr>
          <w:rFonts w:ascii="Times New Roman" w:cs="Times New Roman" w:eastAsia="Times New Roman" w:hAnsi="Times New Roman"/>
          <w:sz w:val="20"/>
          <w:szCs w:val="20"/>
          <w:color w:val="auto"/>
        </w:rPr>
        <w:t>”), Falls Lake National Insurance Company (formerly Stonewood National Insurance Company), Falls Lake General Insurance Company, and Falls Lake Fire and Casualty Company (together, the “</w:t>
      </w:r>
      <w:r>
        <w:rPr>
          <w:rFonts w:ascii="Times New Roman" w:cs="Times New Roman" w:eastAsia="Times New Roman" w:hAnsi="Times New Roman"/>
          <w:sz w:val="20"/>
          <w:szCs w:val="20"/>
          <w:u w:val="single" w:color="auto"/>
          <w:color w:val="auto"/>
        </w:rPr>
        <w:t>Companies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consideration of the mutual promises contained in this Agreement, the parties to this Agreement hereby agree as follows:</w:t>
      </w:r>
    </w:p>
    <w:p>
      <w:pPr>
        <w:spacing w:after="0" w:line="199" w:lineRule="exact"/>
        <w:rPr>
          <w:sz w:val="20"/>
          <w:szCs w:val="20"/>
          <w:color w:val="auto"/>
        </w:rPr>
      </w:pPr>
    </w:p>
    <w:p>
      <w:pPr>
        <w:ind w:right="160" w:firstLine="657"/>
        <w:spacing w:after="0" w:line="272" w:lineRule="auto"/>
        <w:tabs>
          <w:tab w:leader="none" w:pos="13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EMPLOYMENT AND TERM. Effective as of October 15, 2018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Companies each agrees to employ you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as its President and Chief Executive Officer, and Executive hereby accepts such employment on the terms hereinafter set forth. The term of this Agreement shall commence as of the Effective Date and end on December 31, 2019, subject to the termination provisions of Section 6. The term of this Agreement shall thereafter be automatically renewed for additional one year periods unless written notice to the contrary shall be given by the Parent Company or Executive to the other party not less than ninety (90) days prior to the end of the initial or any renewal term that the term shall not thereafter be renewed (“</w:t>
      </w:r>
      <w:r>
        <w:rPr>
          <w:rFonts w:ascii="Times New Roman" w:cs="Times New Roman" w:eastAsia="Times New Roman" w:hAnsi="Times New Roman"/>
          <w:sz w:val="20"/>
          <w:szCs w:val="20"/>
          <w:u w:val="single" w:color="auto"/>
          <w:color w:val="auto"/>
        </w:rPr>
        <w:t>Non-Renewal Notice</w:t>
      </w:r>
      <w:r>
        <w:rPr>
          <w:rFonts w:ascii="Times New Roman" w:cs="Times New Roman" w:eastAsia="Times New Roman" w:hAnsi="Times New Roman"/>
          <w:sz w:val="20"/>
          <w:szCs w:val="20"/>
          <w:color w:val="auto"/>
        </w:rPr>
        <w:t>”), subject to the termination provisions of Section 6. The initial term plus any renewals thereof shall hereafter be referred to as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right="1000" w:firstLine="646"/>
        <w:spacing w:after="0" w:line="325" w:lineRule="auto"/>
        <w:tabs>
          <w:tab w:leader="none" w:pos="206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Salary</w:t>
      </w:r>
      <w:r>
        <w:rPr>
          <w:rFonts w:ascii="Times New Roman" w:cs="Times New Roman" w:eastAsia="Times New Roman" w:hAnsi="Times New Roman"/>
          <w:sz w:val="19"/>
          <w:szCs w:val="19"/>
          <w:color w:val="auto"/>
        </w:rPr>
        <w:t>. Executive shall be paid a base salary of not less than three hundred seventy-five thousand dollars ($375,000.00) per year, payable in periodic installments by FLIMCO in accordance with its normal payroll practices.</w:t>
      </w:r>
    </w:p>
    <w:p>
      <w:pPr>
        <w:spacing w:after="0" w:line="137" w:lineRule="exact"/>
        <w:rPr>
          <w:rFonts w:ascii="Times New Roman" w:cs="Times New Roman" w:eastAsia="Times New Roman" w:hAnsi="Times New Roman"/>
          <w:sz w:val="17"/>
          <w:szCs w:val="17"/>
          <w:color w:val="auto"/>
        </w:rPr>
      </w:pPr>
    </w:p>
    <w:p>
      <w:pPr>
        <w:ind w:left="660" w:right="100" w:firstLine="646"/>
        <w:spacing w:after="0" w:line="268" w:lineRule="auto"/>
        <w:tabs>
          <w:tab w:leader="none" w:pos="20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Bonus and Long-Term Incentive Plan</w:t>
      </w:r>
      <w:r>
        <w:rPr>
          <w:rFonts w:ascii="Times New Roman" w:cs="Times New Roman" w:eastAsia="Times New Roman" w:hAnsi="Times New Roman"/>
          <w:sz w:val="20"/>
          <w:szCs w:val="20"/>
          <w:color w:val="auto"/>
        </w:rPr>
        <w:t>. For each fiscal year during the Term in which Executive is employed by the Company as of the last day of such fiscal year, Executive shall be eligible to receive a discretionary bonus (each, a “</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in an amount as the Board of Directors of James River Group Holdings, Ltd. ( “</w:t>
      </w:r>
      <w:r>
        <w:rPr>
          <w:rFonts w:ascii="Times New Roman" w:cs="Times New Roman" w:eastAsia="Times New Roman" w:hAnsi="Times New Roman"/>
          <w:sz w:val="20"/>
          <w:szCs w:val="20"/>
          <w:u w:val="single" w:color="auto"/>
          <w:color w:val="auto"/>
        </w:rPr>
        <w:t>Holding</w:t>
      </w:r>
      <w:r>
        <w:rPr>
          <w:rFonts w:ascii="Times New Roman" w:cs="Times New Roman" w:eastAsia="Times New Roman" w:hAnsi="Times New Roman"/>
          <w:sz w:val="20"/>
          <w:szCs w:val="20"/>
          <w:color w:val="auto"/>
        </w:rPr>
        <w:t>s”) (other than Executive, if Executive is a member of such board), in its discretion, may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determine based on Executive’s performance during such fiscal year, two thirds of which</w:t>
      </w:r>
    </w:p>
    <w:p>
      <w:pPr>
        <w:spacing w:after="0" w:line="268"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20"/>
          <w:szCs w:val="20"/>
          <w:color w:val="auto"/>
        </w:rPr>
        <w:t>Bonus shall be paid on or before March 15 of the subsequent fiscal year and one third of which shall be paid one year later. Executive's target cash bonus for each calendar year he is employed will be 100% of his base salary, provided that the determination of whether Executive will be awarded a cash bonus and the amount of the cash bonus will be determined by the Board of Directors of Holdings (the “</w:t>
      </w:r>
      <w:r>
        <w:rPr>
          <w:rFonts w:ascii="Times New Roman" w:cs="Times New Roman" w:eastAsia="Times New Roman" w:hAnsi="Times New Roman"/>
          <w:sz w:val="20"/>
          <w:szCs w:val="20"/>
          <w:u w:val="single" w:color="auto"/>
          <w:color w:val="auto"/>
        </w:rPr>
        <w:t>Holdings Board</w:t>
      </w:r>
      <w:r>
        <w:rPr>
          <w:rFonts w:ascii="Times New Roman" w:cs="Times New Roman" w:eastAsia="Times New Roman" w:hAnsi="Times New Roman"/>
          <w:sz w:val="20"/>
          <w:szCs w:val="20"/>
          <w:color w:val="auto"/>
        </w:rPr>
        <w:t>”) in its discretion. In addition, Executive shall be eligible to participate in any long-term incentive plan of the Holdings Group (as defined below) (“</w:t>
      </w: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20"/>
          <w:szCs w:val="20"/>
          <w:color w:val="auto"/>
        </w:rPr>
        <w:t>”) in effect from time to time. For long term incentive equity grants, Executive will have a target equity grant equivalent in value to 100% of his base</w:t>
      </w:r>
    </w:p>
    <w:p>
      <w:pPr>
        <w:sectPr>
          <w:pgSz w:w="11900" w:h="16838" w:orient="portrait"/>
          <w:cols w:equalWidth="0" w:num="1">
            <w:col w:w="11340"/>
          </w:cols>
          <w:pgMar w:left="320" w:top="856" w:right="239" w:bottom="1440" w:gutter="0" w:footer="0" w:header="0"/>
        </w:sectPr>
      </w:pPr>
    </w:p>
    <w:bookmarkStart w:id="189" w:name="page190"/>
    <w:bookmarkEnd w:id="189"/>
    <w:p>
      <w:pPr>
        <w:ind w:left="3" w:right="40"/>
        <w:spacing w:after="0" w:line="242" w:lineRule="auto"/>
        <w:rPr>
          <w:sz w:val="20"/>
          <w:szCs w:val="20"/>
          <w:color w:val="auto"/>
        </w:rPr>
      </w:pPr>
      <w:r>
        <w:rPr>
          <w:rFonts w:ascii="Times New Roman" w:cs="Times New Roman" w:eastAsia="Times New Roman" w:hAnsi="Times New Roman"/>
          <w:sz w:val="20"/>
          <w:szCs w:val="20"/>
          <w:color w:val="auto"/>
        </w:rPr>
        <w:t>salary for each calendar year he is employed, provided that the determination of whether Executive will be awarded an LTIP equity award and the amount of the award will be determined by the Holdings Board in its discretion. Options to acquire common shares (the “Shares”) of Holdings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will be valued using a Black Scholes valuation model, and restricted share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of Holdings will be valued based upon the closing price of Holdings’ publicly traded Shares on the day of the grant. Executive shall receive an initial equity grant of three hundred fifty-five thousand dollars ($355,000.00) at the November 2018 meeting of the Holdings Board, vesting over three years pro-rata. Executive shall receive a guaranteed bonus of one hundred-seventy-five thousand dollars ($175,000.00) payable by March 15, 2019. Executive shall receive an additional equity grant of two hundred twenty thousand dollars ($220,000.00) in February 2019, vesting over three years pro- rata. For the avoidance of doubt, the three hundred fifty-five thousand dollars ($355,000.00) and one hundred seventy-five thousand dollars ($175,000.00) and two hundred twenty thousand dollars ($220,000.00) payments described above will be in place of, not in addition to, the 100% target bonus and the 100% target equity grant, each of which will be applicable for the calendar year 2019 and will be determined by the Holdings Board in the first quarter of 2020.</w:t>
      </w:r>
    </w:p>
    <w:p>
      <w:pPr>
        <w:spacing w:after="0" w:line="202" w:lineRule="exact"/>
        <w:rPr>
          <w:sz w:val="20"/>
          <w:szCs w:val="20"/>
          <w:color w:val="auto"/>
        </w:rPr>
      </w:pPr>
    </w:p>
    <w:p>
      <w:pPr>
        <w:jc w:val="both"/>
        <w:ind w:left="3" w:right="20" w:firstLine="646"/>
        <w:spacing w:after="0" w:line="277" w:lineRule="auto"/>
        <w:tabs>
          <w:tab w:leader="none" w:pos="140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Vacation, Benefits</w:t>
      </w:r>
      <w:r>
        <w:rPr>
          <w:rFonts w:ascii="Times New Roman" w:cs="Times New Roman" w:eastAsia="Times New Roman" w:hAnsi="Times New Roman"/>
          <w:sz w:val="20"/>
          <w:szCs w:val="20"/>
          <w:color w:val="auto"/>
        </w:rPr>
        <w:t>. During the Term Executive shall also be entitled to participate in all employee benefit plans, and other fringe benefits generally available to executive employees of the Parent Company and its subsidiaries at the employer’s expense. Executive will be entitled to a total of 27 days of paid vacation per annum (not subject to carry over to subsequent years), which will be pro-rated for the first and last year of the Term;</w:t>
      </w:r>
    </w:p>
    <w:p>
      <w:pPr>
        <w:spacing w:after="0" w:line="180" w:lineRule="exact"/>
        <w:rPr>
          <w:rFonts w:ascii="Times New Roman" w:cs="Times New Roman" w:eastAsia="Times New Roman" w:hAnsi="Times New Roman"/>
          <w:sz w:val="18"/>
          <w:szCs w:val="18"/>
          <w:color w:val="auto"/>
        </w:rPr>
      </w:pPr>
    </w:p>
    <w:p>
      <w:pPr>
        <w:ind w:left="3" w:right="100" w:firstLine="646"/>
        <w:spacing w:after="0" w:line="271" w:lineRule="auto"/>
        <w:tabs>
          <w:tab w:leader="none" w:pos="14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Expense Reimbursements</w:t>
      </w:r>
      <w:r>
        <w:rPr>
          <w:rFonts w:ascii="Times New Roman" w:cs="Times New Roman" w:eastAsia="Times New Roman" w:hAnsi="Times New Roman"/>
          <w:sz w:val="20"/>
          <w:szCs w:val="20"/>
          <w:color w:val="auto"/>
        </w:rPr>
        <w:t>. Executive will be entitled to business expense reimbursement for all reasonable business expenses upon the presentation of reasonably itemized statements of such expenses in accordance with the Companies’ policies and procedures. FLIMCO will also reimburse Executive for documented reasonable moving expenses incurred in connection with his moving from the Chicago, IL area to the Raleigh, NC area (defined as being in Raleigh, NC or within 30 miles of Raleigh, NC). FLIMCO will also reimburse Executive for documented reasonable expenses incurred for twelve (12) months of travel between Chicago, Illinois and Raleigh, North Carolina and twelve (12) months of temporary housing in the Raleigh, NC area. The amount of expenses eligible for reimbursement during any tax year of Executive shall not affect the expenses eligible for reimbursement in any other tax year. The right to reimbursement provided in this Agreement is not subject to liquidation or exchange for another benefit. In no event shall the reimbursement of an eligible expense occur later than the earlier of</w:t>
      </w:r>
    </w:p>
    <w:p>
      <w:pPr>
        <w:spacing w:after="0" w:line="26" w:lineRule="exact"/>
        <w:rPr>
          <w:rFonts w:ascii="Times New Roman" w:cs="Times New Roman" w:eastAsia="Times New Roman" w:hAnsi="Times New Roman"/>
          <w:sz w:val="18"/>
          <w:szCs w:val="18"/>
          <w:color w:val="auto"/>
        </w:rPr>
      </w:pPr>
    </w:p>
    <w:p>
      <w:pPr>
        <w:ind w:left="3" w:right="180" w:hanging="3"/>
        <w:spacing w:after="0" w:line="269" w:lineRule="auto"/>
        <w:tabs>
          <w:tab w:leader="none" w:pos="2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 (6) months from the date of incurrence and (ii) the end of the calendar year following the calendar year in which such expense was incurred.</w:t>
      </w:r>
    </w:p>
    <w:p>
      <w:pPr>
        <w:spacing w:after="0" w:line="173" w:lineRule="exact"/>
        <w:rPr>
          <w:rFonts w:ascii="Times New Roman" w:cs="Times New Roman" w:eastAsia="Times New Roman" w:hAnsi="Times New Roman"/>
          <w:sz w:val="20"/>
          <w:szCs w:val="20"/>
          <w:color w:val="auto"/>
        </w:rPr>
      </w:pPr>
    </w:p>
    <w:p>
      <w:pPr>
        <w:ind w:left="3" w:right="80" w:firstLine="646"/>
        <w:spacing w:after="0" w:line="282" w:lineRule="auto"/>
        <w:tabs>
          <w:tab w:leader="none" w:pos="14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Withholdings and Deductions</w:t>
      </w:r>
      <w:r>
        <w:rPr>
          <w:rFonts w:ascii="Times New Roman" w:cs="Times New Roman" w:eastAsia="Times New Roman" w:hAnsi="Times New Roman"/>
          <w:sz w:val="20"/>
          <w:szCs w:val="20"/>
          <w:color w:val="auto"/>
        </w:rPr>
        <w:t>. All payments and compensation under this Agreement shall be subject to all required federal, state and local withholdings and deductions, and such deductions as Executive may instruct FLIMCO to take that are authorized by applicable law.</w:t>
      </w:r>
    </w:p>
    <w:p>
      <w:pPr>
        <w:spacing w:after="0" w:line="175" w:lineRule="exact"/>
        <w:rPr>
          <w:rFonts w:ascii="Times New Roman" w:cs="Times New Roman" w:eastAsia="Times New Roman" w:hAnsi="Times New Roman"/>
          <w:sz w:val="18"/>
          <w:szCs w:val="18"/>
          <w:color w:val="auto"/>
        </w:rPr>
      </w:pPr>
    </w:p>
    <w:p>
      <w:pPr>
        <w:ind w:left="3" w:firstLine="646"/>
        <w:spacing w:after="0" w:line="272" w:lineRule="auto"/>
        <w:tabs>
          <w:tab w:leader="none" w:pos="13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Executive acknowledges that to the extent required by applicable law or written company policy adopted by the Holdings Board to implement the requirements of such law (including without limitation Section 304 of the Sarbanes Oxley Act and Section 954 of the Dodd Frank Act), any bonus and other incentive compensation (if any) shall be subject to any clawback, forfeiture, recoupment or similar requirement (“</w:t>
      </w:r>
      <w:r>
        <w:rPr>
          <w:rFonts w:ascii="Times New Roman" w:cs="Times New Roman" w:eastAsia="Times New Roman" w:hAnsi="Times New Roman"/>
          <w:sz w:val="20"/>
          <w:szCs w:val="20"/>
          <w:u w:val="single" w:color="auto"/>
          <w:color w:val="auto"/>
        </w:rPr>
        <w:t>Clawback Rights</w:t>
      </w:r>
      <w:r>
        <w:rPr>
          <w:rFonts w:ascii="Times New Roman" w:cs="Times New Roman" w:eastAsia="Times New Roman" w:hAnsi="Times New Roman"/>
          <w:sz w:val="20"/>
          <w:szCs w:val="20"/>
          <w:color w:val="auto"/>
        </w:rPr>
        <w:t>”) as the Holdings Board may determine in its sole discretion is necessary or desirable to implement such law or policy. Holdings may only exercise Clawback Rights with respect to any bonus and other incentive compensation received during the three completed fiscal years immediately preceding the date on which Holdings is required to prepare an accounting restatement and, if applicable, any transition period resulting from a change in fiscal year within or immediately following the three completed fiscal years.</w:t>
      </w:r>
    </w:p>
    <w:p>
      <w:pPr>
        <w:spacing w:after="0" w:line="184" w:lineRule="exact"/>
        <w:rPr>
          <w:sz w:val="20"/>
          <w:szCs w:val="20"/>
          <w:color w:val="auto"/>
        </w:rPr>
      </w:pPr>
    </w:p>
    <w:p>
      <w:pPr>
        <w:ind w:left="-657" w:right="60" w:firstLine="657"/>
        <w:spacing w:after="0" w:line="297" w:lineRule="auto"/>
        <w:tabs>
          <w:tab w:leader="none" w:pos="67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DUTIES</w:t>
      </w:r>
      <w:r>
        <w:rPr>
          <w:rFonts w:ascii="Times New Roman" w:cs="Times New Roman" w:eastAsia="Times New Roman" w:hAnsi="Times New Roman"/>
          <w:sz w:val="20"/>
          <w:szCs w:val="20"/>
          <w:color w:val="auto"/>
        </w:rPr>
        <w:t>. Executive shall report exclusively and directly to the Chief Executive Officer of the Parent Company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and to the Boards of Directors of the Companies (the “</w:t>
      </w:r>
      <w:r>
        <w:rPr>
          <w:rFonts w:ascii="Times New Roman" w:cs="Times New Roman" w:eastAsia="Times New Roman" w:hAnsi="Times New Roman"/>
          <w:sz w:val="20"/>
          <w:szCs w:val="20"/>
          <w:u w:val="single" w:color="auto"/>
          <w:color w:val="auto"/>
        </w:rPr>
        <w:t>Companies Boards</w:t>
      </w:r>
      <w:r>
        <w:rPr>
          <w:rFonts w:ascii="Times New Roman" w:cs="Times New Roman" w:eastAsia="Times New Roman" w:hAnsi="Times New Roman"/>
          <w:sz w:val="20"/>
          <w:szCs w:val="20"/>
          <w:color w:val="auto"/>
        </w:rPr>
        <w:t>”).</w:t>
      </w:r>
    </w:p>
    <w:p>
      <w:pPr>
        <w:sectPr>
          <w:pgSz w:w="11900" w:h="16838" w:orient="portrait"/>
          <w:cols w:equalWidth="0" w:num="1">
            <w:col w:w="10683"/>
          </w:cols>
          <w:pgMar w:left="977" w:top="644" w:right="239" w:bottom="1440" w:gutter="0" w:footer="0" w:header="0"/>
        </w:sectPr>
      </w:pPr>
    </w:p>
    <w:bookmarkStart w:id="190" w:name="page191"/>
    <w:bookmarkEnd w:id="190"/>
    <w:p>
      <w:pPr>
        <w:ind w:right="20"/>
        <w:spacing w:after="0" w:line="272" w:lineRule="auto"/>
        <w:rPr>
          <w:sz w:val="20"/>
          <w:szCs w:val="20"/>
          <w:color w:val="auto"/>
        </w:rPr>
      </w:pPr>
      <w:r>
        <w:rPr>
          <w:rFonts w:ascii="Times New Roman" w:cs="Times New Roman" w:eastAsia="Times New Roman" w:hAnsi="Times New Roman"/>
          <w:sz w:val="20"/>
          <w:szCs w:val="20"/>
          <w:color w:val="auto"/>
        </w:rPr>
        <w:t>Executive shall perform all duties normally associated with the position of President and Chief Executive Officer, and such other reasonable duties as may be assigned to him by the CEO, including without limitation overseeing subsidiaries of the Companies. Executive will devote his entire working time, attention, and energies to carrying out and fulfilling his duties and responsibilities under this Agreement. Executive agrees to abide by all policies applicable to employees of the Parent Company and the Companies adopted by their respective boards of directors. Executive represents that he is able and willing to engage in routine business travel as is necessary to perform his duties as President and CEO and to further the Parent Company’s and the Companies’ business interests. Executive must relocate to the Raleigh, North Carolina area by September 2019 (the “</w:t>
      </w:r>
      <w:r>
        <w:rPr>
          <w:rFonts w:ascii="Times New Roman" w:cs="Times New Roman" w:eastAsia="Times New Roman" w:hAnsi="Times New Roman"/>
          <w:sz w:val="20"/>
          <w:szCs w:val="20"/>
          <w:u w:val="single" w:color="auto"/>
          <w:color w:val="auto"/>
        </w:rPr>
        <w:t>Relocation Date</w:t>
      </w:r>
      <w:r>
        <w:rPr>
          <w:rFonts w:ascii="Times New Roman" w:cs="Times New Roman" w:eastAsia="Times New Roman" w:hAnsi="Times New Roman"/>
          <w:sz w:val="20"/>
          <w:szCs w:val="20"/>
          <w:color w:val="auto"/>
        </w:rPr>
        <w:t>”) as a condition of continued employment.</w:t>
      </w:r>
    </w:p>
    <w:p>
      <w:pPr>
        <w:spacing w:after="0" w:line="188" w:lineRule="exact"/>
        <w:rPr>
          <w:sz w:val="20"/>
          <w:szCs w:val="20"/>
          <w:color w:val="auto"/>
        </w:rPr>
      </w:pPr>
    </w:p>
    <w:p>
      <w:pPr>
        <w:ind w:left="1340" w:hanging="683"/>
        <w:spacing w:after="0"/>
        <w:tabs>
          <w:tab w:leader="none" w:pos="1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 INFORMATION; PRIVILEGED INFORMATION AND NON-DISPARAGEMENT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18"/>
          <w:szCs w:val="18"/>
          <w:color w:val="auto"/>
        </w:rPr>
      </w:pPr>
    </w:p>
    <w:p>
      <w:pPr>
        <w:ind w:left="1960" w:hanging="654"/>
        <w:spacing w:after="0"/>
        <w:tabs>
          <w:tab w:leader="none" w:pos="19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 will not at any time during the Term or thereafter:</w:t>
      </w:r>
    </w:p>
    <w:p>
      <w:pPr>
        <w:spacing w:after="0" w:line="229" w:lineRule="exact"/>
        <w:rPr>
          <w:rFonts w:ascii="Times New Roman" w:cs="Times New Roman" w:eastAsia="Times New Roman" w:hAnsi="Times New Roman"/>
          <w:sz w:val="18"/>
          <w:szCs w:val="18"/>
          <w:color w:val="auto"/>
        </w:rPr>
      </w:pPr>
    </w:p>
    <w:p>
      <w:pPr>
        <w:ind w:left="660" w:right="260" w:firstLine="1294"/>
        <w:spacing w:after="0" w:line="275" w:lineRule="auto"/>
        <w:tabs>
          <w:tab w:leader="none" w:pos="268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reveal, divulge, or make known to any person, firm, or corporation or use for his personal benefit or the benefit of others (except the Companies, the Parent Company, Holdings, and any of Holdings’ other direct or indirect subsidiaries (hereinafter referred to as “Affiliates,” and all of the foregoing, the “</w:t>
      </w:r>
      <w:r>
        <w:rPr>
          <w:rFonts w:ascii="Times New Roman" w:cs="Times New Roman" w:eastAsia="Times New Roman" w:hAnsi="Times New Roman"/>
          <w:sz w:val="20"/>
          <w:szCs w:val="20"/>
          <w:u w:val="single" w:color="auto"/>
          <w:color w:val="auto"/>
        </w:rPr>
        <w:t>Holdings Group</w:t>
      </w:r>
      <w:r>
        <w:rPr>
          <w:rFonts w:ascii="Times New Roman" w:cs="Times New Roman" w:eastAsia="Times New Roman" w:hAnsi="Times New Roman"/>
          <w:sz w:val="20"/>
          <w:szCs w:val="20"/>
          <w:color w:val="auto"/>
        </w:rPr>
        <w:t>”)), directly or indirectly, any confidential or proprietary information received or developed by him during the course of his employment. For the purposes of this Section 4(a)(i) confidential and proprietary information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shall be defined to</w:t>
      </w:r>
    </w:p>
    <w:p>
      <w:pPr>
        <w:spacing w:after="0" w:line="19" w:lineRule="exact"/>
        <w:rPr>
          <w:sz w:val="20"/>
          <w:szCs w:val="20"/>
          <w:color w:val="auto"/>
        </w:rPr>
      </w:pPr>
    </w:p>
    <w:p>
      <w:pPr>
        <w:ind w:left="660"/>
        <w:spacing w:after="0" w:line="242" w:lineRule="auto"/>
        <w:rPr>
          <w:sz w:val="20"/>
          <w:szCs w:val="20"/>
          <w:color w:val="auto"/>
        </w:rPr>
      </w:pPr>
      <w:r>
        <w:rPr>
          <w:rFonts w:ascii="Times New Roman" w:cs="Times New Roman" w:eastAsia="Times New Roman" w:hAnsi="Times New Roman"/>
          <w:sz w:val="20"/>
          <w:szCs w:val="20"/>
          <w:color w:val="auto"/>
        </w:rPr>
        <w:t>mean (1) all historical and pro forma projections of loss ratios incurred by the Holdings Group; (2) all historical and pro forma actuarial data relating to the Holdings Group; (3) historical and pro forma financial results, revenue statements, and projections for the Holdings Group; (4) all information relating to the Holdings Group’s systems and software (other than the portion thereof provided by the vendor to all purchasers of such systems and software); (5) all information relating to SIC’s unique underwriting approach; (6) all information relating to plans for, or internal or external discussions regarding, acquisitions of or mergers with any business or line of business; (7) non-public business plans; (8) all other information relating to the financial, business, or other affairs of the Holdings Group including their customers; and (9) any information about any shareholder of Holdings or any of its Affiliates, or any of their officers or employees, that has been furnished or made available to Executive as a result of his position with the Companies. Section 4(a)(i) shall not apply to Executive following the termination of his employment with the Parent Company and the Companies with respect to any Confidential Information known or made generally available to the general public or within the industry by persons other than Executive or a person acting with or at the request of Executive; or</w:t>
      </w:r>
    </w:p>
    <w:p>
      <w:pPr>
        <w:spacing w:after="0" w:line="204" w:lineRule="exact"/>
        <w:rPr>
          <w:sz w:val="20"/>
          <w:szCs w:val="20"/>
          <w:color w:val="auto"/>
        </w:rPr>
      </w:pPr>
    </w:p>
    <w:p>
      <w:pPr>
        <w:ind w:left="660" w:right="80" w:firstLine="1294"/>
        <w:spacing w:after="0" w:line="271" w:lineRule="auto"/>
        <w:tabs>
          <w:tab w:leader="none" w:pos="273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reveal, divulge, or make known to any person, firm, or corporation, or use for his personal benefit or the benefit of others (except the Holdings Group), directly or indirectly, the name or names of any Customers (as defined in Section 5 below) of the Holdings Group, nor will he reveal, divulge, or make known to any person, firm, or corporation or use for his personal benefit or the benefit of others (except the Holdings Group), directly or indirectly, any trade secrets or any knowledge or information concerning any business methods or operational procedures engaged in by the Holdings Group (collectively, “</w:t>
      </w:r>
      <w:r>
        <w:rPr>
          <w:rFonts w:ascii="Times New Roman" w:cs="Times New Roman" w:eastAsia="Times New Roman" w:hAnsi="Times New Roman"/>
          <w:sz w:val="20"/>
          <w:szCs w:val="20"/>
          <w:u w:val="single" w:color="auto"/>
          <w:color w:val="auto"/>
        </w:rPr>
        <w:t>Privileged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restrictions set forth in this Section 4(a)(ii) shall not apply to Executive following the termination of his employment with the Parent Company and the Companies with respect to any Privileged Information known or made generally available to the general public or within the industry by persons other than Executive or a person acting with or at the request of Executive.</w:t>
      </w:r>
    </w:p>
    <w:p>
      <w:pPr>
        <w:spacing w:after="0" w:line="174" w:lineRule="exact"/>
        <w:rPr>
          <w:rFonts w:ascii="Times New Roman" w:cs="Times New Roman" w:eastAsia="Times New Roman" w:hAnsi="Times New Roman"/>
          <w:sz w:val="18"/>
          <w:szCs w:val="18"/>
          <w:color w:val="auto"/>
        </w:rPr>
      </w:pPr>
    </w:p>
    <w:p>
      <w:pPr>
        <w:ind w:left="1960" w:hanging="654"/>
        <w:spacing w:after="0"/>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any provision of this Agreement to the contrary, under 18</w:t>
      </w:r>
    </w:p>
    <w:p>
      <w:pPr>
        <w:spacing w:after="0" w:line="22" w:lineRule="exact"/>
        <w:rPr>
          <w:sz w:val="20"/>
          <w:szCs w:val="20"/>
          <w:color w:val="auto"/>
        </w:rPr>
      </w:pPr>
    </w:p>
    <w:p>
      <w:pPr>
        <w:ind w:left="660" w:right="60"/>
        <w:spacing w:after="0" w:line="241" w:lineRule="auto"/>
        <w:rPr>
          <w:sz w:val="20"/>
          <w:szCs w:val="20"/>
          <w:color w:val="auto"/>
        </w:rPr>
      </w:pPr>
      <w:r>
        <w:rPr>
          <w:rFonts w:ascii="Times New Roman" w:cs="Times New Roman" w:eastAsia="Times New Roman" w:hAnsi="Times New Roman"/>
          <w:sz w:val="20"/>
          <w:szCs w:val="20"/>
          <w:color w:val="auto"/>
        </w:rPr>
        <w:t>U.S.C. §1833(b),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w:t>
      </w:r>
    </w:p>
    <w:p>
      <w:pPr>
        <w:sectPr>
          <w:pgSz w:w="11900" w:h="16838" w:orient="portrait"/>
          <w:cols w:equalWidth="0" w:num="1">
            <w:col w:w="11300"/>
          </w:cols>
          <w:pgMar w:left="320" w:top="589" w:right="279" w:bottom="1440" w:gutter="0" w:footer="0" w:header="0"/>
        </w:sectPr>
      </w:pPr>
    </w:p>
    <w:bookmarkStart w:id="191" w:name="page192"/>
    <w:bookmarkEnd w:id="191"/>
    <w:p>
      <w:pPr>
        <w:ind w:left="3" w:right="200"/>
        <w:spacing w:after="0" w:line="254" w:lineRule="auto"/>
        <w:rPr>
          <w:sz w:val="20"/>
          <w:szCs w:val="20"/>
          <w:color w:val="auto"/>
        </w:rPr>
      </w:pPr>
      <w:r>
        <w:rPr>
          <w:rFonts w:ascii="Times New Roman" w:cs="Times New Roman" w:eastAsia="Times New Roman" w:hAnsi="Times New Roman"/>
          <w:sz w:val="20"/>
          <w:szCs w:val="20"/>
          <w:color w:val="auto"/>
        </w:rPr>
        <w:t>document filed in a lawsuit or other proceeding, if such filing is made under seal.” Nothing in this Agreement or any other policy of the Companies is intended to conflict with this statutory protection, and no director, officer, or member of management has the authority to impose any rule to the contrary.</w:t>
      </w:r>
    </w:p>
    <w:p>
      <w:pPr>
        <w:spacing w:after="0" w:line="188" w:lineRule="exact"/>
        <w:rPr>
          <w:sz w:val="20"/>
          <w:szCs w:val="20"/>
          <w:color w:val="auto"/>
        </w:rPr>
      </w:pPr>
    </w:p>
    <w:p>
      <w:pPr>
        <w:ind w:left="3" w:firstLine="646"/>
        <w:spacing w:after="0" w:line="272" w:lineRule="auto"/>
        <w:tabs>
          <w:tab w:leader="none" w:pos="14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 will not at any time during the Term or thereafter make negative or disparaging remarks about the Holdings Group or their respective current and former parents, subsidiaries, divisions, affiliates, shareholders, officers, directors, attorneys, agents, employees, successors, and assigns (“</w:t>
      </w:r>
      <w:r>
        <w:rPr>
          <w:rFonts w:ascii="Times New Roman" w:cs="Times New Roman" w:eastAsia="Times New Roman" w:hAnsi="Times New Roman"/>
          <w:sz w:val="20"/>
          <w:szCs w:val="20"/>
          <w:u w:val="single" w:color="auto"/>
          <w:color w:val="auto"/>
        </w:rPr>
        <w:t>Holdings Protected Parties</w:t>
      </w:r>
      <w:r>
        <w:rPr>
          <w:rFonts w:ascii="Times New Roman" w:cs="Times New Roman" w:eastAsia="Times New Roman" w:hAnsi="Times New Roman"/>
          <w:sz w:val="20"/>
          <w:szCs w:val="20"/>
          <w:color w:val="auto"/>
        </w:rPr>
        <w:t>”). Executive will not provide information or issue statements regarding the Holdings Group or the Holdings Protected Parties, or take any other action, that would cause the Holdings Group or the Holdings Protected Parties embarrassment or humiliation or otherwise cause or contribute to them being held in disrepute. Nothing in this Agreement shall be deemed to preclude Executive from providing truthful testimony or statements in a legal or arbitration proceeding or pursuant to subpoena, court order, or similar legal process, or from providing truthful information to government or regulatory agencies.</w:t>
      </w:r>
    </w:p>
    <w:p>
      <w:pPr>
        <w:spacing w:after="0" w:line="170"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18"/>
          <w:szCs w:val="18"/>
          <w:color w:val="auto"/>
        </w:rPr>
      </w:pPr>
    </w:p>
    <w:p>
      <w:pPr>
        <w:ind w:left="3" w:right="20" w:firstLine="646"/>
        <w:spacing w:after="0" w:line="262" w:lineRule="auto"/>
        <w:tabs>
          <w:tab w:leader="none" w:pos="140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 acknowledges and agrees that as the Companies’ President and CEO (i) he will be responsible for and directly involved in developing goodwill and relationships for the benefit of the Companies with Agents, Customers, and Fronting/Program Business Relationships (all as defined below), including personal contact with Agents, Customers, and Fronting/Program Business Relationships, and supervising others who develop and maintain Agent, Customer, and Fronting/Program Business Relationship goodwill and relationships; (ii) he will be provided and have access to the Holdings Group’s Confidential Information and Privileged Information, and will be compensated for the development, and supervising the development, of the same; (iii) he will be responsible for and directly involved in developing goodwill and relationships for the benefit of the Holdings Group with Fronting/Program Business Relationships; and (iv) he will have unique insight into and knowledge of the skills, talents and capabilities of the Companies’ key employees.</w:t>
      </w:r>
    </w:p>
    <w:p>
      <w:pPr>
        <w:spacing w:after="0" w:line="184" w:lineRule="exact"/>
        <w:rPr>
          <w:rFonts w:ascii="Times New Roman" w:cs="Times New Roman" w:eastAsia="Times New Roman" w:hAnsi="Times New Roman"/>
          <w:sz w:val="18"/>
          <w:szCs w:val="18"/>
          <w:color w:val="auto"/>
        </w:rPr>
      </w:pPr>
    </w:p>
    <w:p>
      <w:pPr>
        <w:ind w:left="3" w:right="100" w:firstLine="646"/>
        <w:spacing w:after="0" w:line="292" w:lineRule="auto"/>
        <w:tabs>
          <w:tab w:leader="none" w:pos="1414"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Executive agrees that during his employment by the Parent Company and the Companies he will not compete against the Holdings Group in any manner, including without limitation by engaging in, or by assisting any other person or entity to engage in, or by having an ownership interest in, any Competitive Business (as defined below) in the Territory (as defined below), or by engaging in any conduct described in clauses (b)(i), (ii), (iii), (iv), (v), (vi), (vii) or (viii) below. Executive further agrees that after his employment by the Parent Company and the Companies ends, he will not during the Restricted Period (as defined below):</w:t>
      </w:r>
    </w:p>
    <w:p>
      <w:pPr>
        <w:spacing w:after="0" w:line="170" w:lineRule="exact"/>
        <w:rPr>
          <w:rFonts w:ascii="Times New Roman" w:cs="Times New Roman" w:eastAsia="Times New Roman" w:hAnsi="Times New Roman"/>
          <w:sz w:val="17"/>
          <w:szCs w:val="17"/>
          <w:color w:val="auto"/>
        </w:rPr>
      </w:pPr>
    </w:p>
    <w:p>
      <w:pPr>
        <w:ind w:left="3" w:right="80" w:firstLine="1294"/>
        <w:spacing w:after="0" w:line="282" w:lineRule="auto"/>
        <w:tabs>
          <w:tab w:leader="none" w:pos="202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be employed in any management, customer relationship or sales capacity by any insurance company that engages in Competitive Business in the Territory (as defined below) to provide services to or on behalf of such insurance company in the Territory that compete with the Companies’ products or services;</w:t>
      </w:r>
    </w:p>
    <w:p>
      <w:pPr>
        <w:spacing w:after="0" w:line="175" w:lineRule="exact"/>
        <w:rPr>
          <w:rFonts w:ascii="Times New Roman" w:cs="Times New Roman" w:eastAsia="Times New Roman" w:hAnsi="Times New Roman"/>
          <w:sz w:val="18"/>
          <w:szCs w:val="18"/>
          <w:color w:val="auto"/>
        </w:rPr>
      </w:pPr>
    </w:p>
    <w:p>
      <w:pPr>
        <w:ind w:left="3" w:right="100" w:firstLine="1294"/>
        <w:spacing w:after="0" w:line="282" w:lineRule="auto"/>
        <w:tabs>
          <w:tab w:leader="none" w:pos="207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be employed in any management, customer relationship or sales capacity by any entity that was a Fronting/Program Business Relationship during the Final Year to provide services to or on behalf of such Fronting/Program Business Relationship in the Territory;</w:t>
      </w:r>
    </w:p>
    <w:p>
      <w:pPr>
        <w:spacing w:after="0" w:line="175" w:lineRule="exact"/>
        <w:rPr>
          <w:rFonts w:ascii="Times New Roman" w:cs="Times New Roman" w:eastAsia="Times New Roman" w:hAnsi="Times New Roman"/>
          <w:sz w:val="18"/>
          <w:szCs w:val="18"/>
          <w:color w:val="auto"/>
        </w:rPr>
      </w:pPr>
    </w:p>
    <w:p>
      <w:pPr>
        <w:ind w:left="3" w:right="200" w:firstLine="1294"/>
        <w:spacing w:after="0" w:line="268" w:lineRule="auto"/>
        <w:tabs>
          <w:tab w:leader="none" w:pos="212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any entity that was a Fronting/Program Business Relationship during the Final Year to produce, underwrite and/or administer insurance policies in the Territory on behalf of an insurance company that competes against any of the Companies or any Protected Holdings Group Company in the Territory;</w:t>
      </w:r>
    </w:p>
    <w:p>
      <w:pPr>
        <w:spacing w:after="0" w:line="1" w:lineRule="exact"/>
        <w:rPr>
          <w:rFonts w:ascii="Times New Roman" w:cs="Times New Roman" w:eastAsia="Times New Roman" w:hAnsi="Times New Roman"/>
          <w:sz w:val="18"/>
          <w:szCs w:val="18"/>
          <w:color w:val="auto"/>
        </w:rPr>
      </w:pPr>
    </w:p>
    <w:p>
      <w:pPr>
        <w:ind w:left="2103" w:hanging="806"/>
        <w:spacing w:after="0"/>
        <w:tabs>
          <w:tab w:leader="none" w:pos="210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any Customer to buy any insurance products or services offered in the Territory by the Companies</w:t>
      </w:r>
    </w:p>
    <w:p>
      <w:pPr>
        <w:spacing w:after="0" w:line="26"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Final Year;</w:t>
      </w:r>
    </w:p>
    <w:p>
      <w:pPr>
        <w:sectPr>
          <w:pgSz w:w="11900" w:h="16838" w:orient="portrait"/>
          <w:cols w:equalWidth="0" w:num="1">
            <w:col w:w="10643"/>
          </w:cols>
          <w:pgMar w:left="977" w:top="576" w:right="279" w:bottom="1440" w:gutter="0" w:footer="0" w:header="0"/>
        </w:sectPr>
      </w:pPr>
    </w:p>
    <w:bookmarkStart w:id="192" w:name="page193"/>
    <w:bookmarkEnd w:id="192"/>
    <w:p>
      <w:pPr>
        <w:ind w:left="3" w:right="280" w:firstLine="1294"/>
        <w:spacing w:after="0" w:line="297" w:lineRule="auto"/>
        <w:tabs>
          <w:tab w:leader="none" w:pos="206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any Prospective Customer to buy any insurance products or services offered in the Territory by the Companies during the Final Year;</w:t>
      </w:r>
    </w:p>
    <w:p>
      <w:pPr>
        <w:spacing w:after="0" w:line="160" w:lineRule="exact"/>
        <w:rPr>
          <w:rFonts w:ascii="Times New Roman" w:cs="Times New Roman" w:eastAsia="Times New Roman" w:hAnsi="Times New Roman"/>
          <w:sz w:val="18"/>
          <w:szCs w:val="18"/>
          <w:color w:val="auto"/>
        </w:rPr>
      </w:pPr>
    </w:p>
    <w:p>
      <w:pPr>
        <w:ind w:left="3" w:right="40" w:firstLine="1294"/>
        <w:spacing w:after="0" w:line="277" w:lineRule="auto"/>
        <w:tabs>
          <w:tab w:leader="none" w:pos="2113"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any Agent doing business in the Territory (A) to assist any individual or entity who was a customer of the Companies during the Final Year to obtain any insurance products or services that compete with any insurance products and services offered by the Companies in the Territory, or (B) to make referrals on behalf of such customers with respect to such insurance products or services that compete with any insurance products and services offered by the Companies in the Territory;</w:t>
      </w:r>
    </w:p>
    <w:p>
      <w:pPr>
        <w:spacing w:after="0" w:line="180" w:lineRule="exact"/>
        <w:rPr>
          <w:rFonts w:ascii="Times New Roman" w:cs="Times New Roman" w:eastAsia="Times New Roman" w:hAnsi="Times New Roman"/>
          <w:sz w:val="18"/>
          <w:szCs w:val="18"/>
          <w:color w:val="auto"/>
        </w:rPr>
      </w:pPr>
    </w:p>
    <w:p>
      <w:pPr>
        <w:ind w:left="3" w:firstLine="1294"/>
        <w:spacing w:after="0" w:line="297" w:lineRule="auto"/>
        <w:tabs>
          <w:tab w:leader="none" w:pos="2163"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induce or persuade any Agent, Customer or Fronting/Program Business Relationship not to do business with, or to switch business from, or reduce business with, the Companies or any Protected Holdings Group Company; or</w:t>
      </w:r>
    </w:p>
    <w:p>
      <w:pPr>
        <w:spacing w:after="0" w:line="160" w:lineRule="exact"/>
        <w:rPr>
          <w:rFonts w:ascii="Times New Roman" w:cs="Times New Roman" w:eastAsia="Times New Roman" w:hAnsi="Times New Roman"/>
          <w:sz w:val="18"/>
          <w:szCs w:val="18"/>
          <w:color w:val="auto"/>
        </w:rPr>
      </w:pPr>
    </w:p>
    <w:p>
      <w:pPr>
        <w:ind w:left="3" w:right="20" w:firstLine="1294"/>
        <w:spacing w:after="0" w:line="297" w:lineRule="auto"/>
        <w:tabs>
          <w:tab w:leader="none" w:pos="2213"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or assist others in soliciting, Key Employees (as defined below) to either leave the Companies or to engage in a Competitive Business.</w:t>
      </w:r>
    </w:p>
    <w:p>
      <w:pPr>
        <w:spacing w:after="0" w:line="160" w:lineRule="exact"/>
        <w:rPr>
          <w:rFonts w:ascii="Times New Roman" w:cs="Times New Roman" w:eastAsia="Times New Roman" w:hAnsi="Times New Roman"/>
          <w:sz w:val="18"/>
          <w:szCs w:val="18"/>
          <w:color w:val="auto"/>
        </w:rPr>
      </w:pPr>
    </w:p>
    <w:p>
      <w:pPr>
        <w:ind w:left="1403" w:hanging="754"/>
        <w:spacing w:after="0"/>
        <w:tabs>
          <w:tab w:leader="none" w:pos="140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the following capitalized terms shall have the meanings set forth below:</w:t>
      </w:r>
    </w:p>
    <w:p>
      <w:pPr>
        <w:spacing w:after="0" w:line="242" w:lineRule="exact"/>
        <w:rPr>
          <w:rFonts w:ascii="Times New Roman" w:cs="Times New Roman" w:eastAsia="Times New Roman" w:hAnsi="Times New Roman"/>
          <w:sz w:val="18"/>
          <w:szCs w:val="18"/>
          <w:color w:val="auto"/>
        </w:rPr>
      </w:pPr>
    </w:p>
    <w:p>
      <w:pPr>
        <w:ind w:left="2023" w:hanging="726"/>
        <w:spacing w:after="0"/>
        <w:tabs>
          <w:tab w:leader="none" w:pos="2023"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shall mean any insurance agent, insurance broker, wholesale agent, general agent, or other person</w:t>
      </w:r>
    </w:p>
    <w:p>
      <w:pPr>
        <w:spacing w:after="0" w:line="28" w:lineRule="exact"/>
        <w:rPr>
          <w:rFonts w:ascii="Times New Roman" w:cs="Times New Roman" w:eastAsia="Times New Roman" w:hAnsi="Times New Roman"/>
          <w:sz w:val="18"/>
          <w:szCs w:val="18"/>
          <w:color w:val="auto"/>
        </w:rPr>
      </w:pPr>
    </w:p>
    <w:p>
      <w:pPr>
        <w:ind w:left="3" w:right="160" w:hanging="3"/>
        <w:spacing w:after="0" w:line="302" w:lineRule="auto"/>
        <w:tabs>
          <w:tab w:leader="none" w:pos="327"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who acted on behalf of any customer of the Companies to obtain insurance from the Companies, or who referred any insurance business to the Companies, during the Final Year, and (B) with respect to which either Executive had (I) Confidential Information or Privileged Information or (II) account responsibility either directly or through managing employees with such account responsibility.</w:t>
      </w:r>
    </w:p>
    <w:p>
      <w:pPr>
        <w:spacing w:after="0" w:line="159" w:lineRule="exact"/>
        <w:rPr>
          <w:rFonts w:ascii="Times New Roman" w:cs="Times New Roman" w:eastAsia="Times New Roman" w:hAnsi="Times New Roman"/>
          <w:sz w:val="19"/>
          <w:szCs w:val="19"/>
          <w:color w:val="auto"/>
        </w:rPr>
      </w:pPr>
    </w:p>
    <w:p>
      <w:pPr>
        <w:ind w:left="2063" w:hanging="766"/>
        <w:spacing w:after="0"/>
        <w:tabs>
          <w:tab w:leader="none" w:pos="2063"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Competitive Business</w:t>
      </w:r>
      <w:r>
        <w:rPr>
          <w:rFonts w:ascii="Times New Roman" w:cs="Times New Roman" w:eastAsia="Times New Roman" w:hAnsi="Times New Roman"/>
          <w:sz w:val="20"/>
          <w:szCs w:val="20"/>
          <w:color w:val="auto"/>
        </w:rPr>
        <w:t>” shall mean the insurance business of acquiring, holding, and/or underwriting (A)</w:t>
      </w:r>
    </w:p>
    <w:p>
      <w:pPr>
        <w:spacing w:after="0" w:line="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1F487C"/>
        </w:rPr>
        <w:t>i</w:t>
      </w:r>
      <w:r>
        <w:rPr>
          <w:rFonts w:ascii="Times New Roman" w:cs="Times New Roman" w:eastAsia="Times New Roman" w:hAnsi="Times New Roman"/>
          <w:sz w:val="20"/>
          <w:szCs w:val="20"/>
          <w:color w:val="000000"/>
        </w:rPr>
        <w:t>ndividual risk workers’ compensation insurance, or (B) other specialty admitted fronting/program insurance business.</w:t>
      </w:r>
    </w:p>
    <w:p>
      <w:pPr>
        <w:spacing w:after="0" w:line="241" w:lineRule="exact"/>
        <w:rPr>
          <w:sz w:val="20"/>
          <w:szCs w:val="20"/>
          <w:color w:val="auto"/>
        </w:rPr>
      </w:pPr>
    </w:p>
    <w:p>
      <w:pPr>
        <w:ind w:left="3" w:right="20" w:firstLine="1294"/>
        <w:spacing w:after="0" w:line="277" w:lineRule="auto"/>
        <w:tabs>
          <w:tab w:leader="none" w:pos="212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 shall mean any of the customers of the Companies who purchased insurance products that were in effect in the Final Year from, or were provided services in the Final Year by, the Companies, and with respect to which Executive had relationship responsibilities or direct contact, or access to Confidential Information or Privileged Information relating to the customer.</w:t>
      </w:r>
    </w:p>
    <w:p>
      <w:pPr>
        <w:spacing w:after="0" w:line="180" w:lineRule="exact"/>
        <w:rPr>
          <w:rFonts w:ascii="Times New Roman" w:cs="Times New Roman" w:eastAsia="Times New Roman" w:hAnsi="Times New Roman"/>
          <w:sz w:val="18"/>
          <w:szCs w:val="18"/>
          <w:color w:val="auto"/>
        </w:rPr>
      </w:pPr>
    </w:p>
    <w:p>
      <w:pPr>
        <w:ind w:left="3" w:firstLine="1294"/>
        <w:spacing w:after="0" w:line="297" w:lineRule="auto"/>
        <w:tabs>
          <w:tab w:leader="none" w:pos="211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Year</w:t>
      </w:r>
      <w:r>
        <w:rPr>
          <w:rFonts w:ascii="Times New Roman" w:cs="Times New Roman" w:eastAsia="Times New Roman" w:hAnsi="Times New Roman"/>
          <w:sz w:val="20"/>
          <w:szCs w:val="20"/>
          <w:color w:val="auto"/>
        </w:rPr>
        <w:t>” means the twelve-month period immediately preceding Executive’s last day of employment with the Parent Company and the Companies.</w:t>
      </w:r>
    </w:p>
    <w:p>
      <w:pPr>
        <w:spacing w:after="0" w:line="160" w:lineRule="exact"/>
        <w:rPr>
          <w:rFonts w:ascii="Times New Roman" w:cs="Times New Roman" w:eastAsia="Times New Roman" w:hAnsi="Times New Roman"/>
          <w:sz w:val="18"/>
          <w:szCs w:val="18"/>
          <w:color w:val="auto"/>
        </w:rPr>
      </w:pPr>
    </w:p>
    <w:p>
      <w:pPr>
        <w:ind w:left="3" w:right="200" w:firstLine="1294"/>
        <w:spacing w:after="0" w:line="295" w:lineRule="auto"/>
        <w:tabs>
          <w:tab w:leader="none" w:pos="206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Fronting/Program Business Relationship</w:t>
      </w:r>
      <w:r>
        <w:rPr>
          <w:rFonts w:ascii="Times New Roman" w:cs="Times New Roman" w:eastAsia="Times New Roman" w:hAnsi="Times New Roman"/>
          <w:sz w:val="20"/>
          <w:szCs w:val="20"/>
          <w:color w:val="auto"/>
        </w:rPr>
        <w:t>” means a general managing agent or program administrator that has a contractual relationship with any of</w:t>
      </w:r>
    </w:p>
    <w:p>
      <w:pPr>
        <w:spacing w:after="0" w:line="2" w:lineRule="exact"/>
        <w:rPr>
          <w:sz w:val="20"/>
          <w:szCs w:val="20"/>
          <w:color w:val="auto"/>
        </w:rPr>
      </w:pPr>
    </w:p>
    <w:p>
      <w:pPr>
        <w:ind w:left="3" w:right="240"/>
        <w:spacing w:after="0" w:line="269" w:lineRule="auto"/>
        <w:rPr>
          <w:sz w:val="20"/>
          <w:szCs w:val="20"/>
          <w:color w:val="auto"/>
        </w:rPr>
      </w:pPr>
      <w:r>
        <w:rPr>
          <w:rFonts w:ascii="Times New Roman" w:cs="Times New Roman" w:eastAsia="Times New Roman" w:hAnsi="Times New Roman"/>
          <w:sz w:val="20"/>
          <w:szCs w:val="20"/>
          <w:color w:val="auto"/>
        </w:rPr>
        <w:t>the Companies or any Protected Holdings Group Company to produce, underwrite and/or administer insurance policies on behalf of such company.</w:t>
      </w:r>
    </w:p>
    <w:p>
      <w:pPr>
        <w:spacing w:after="0" w:line="160" w:lineRule="exact"/>
        <w:rPr>
          <w:sz w:val="20"/>
          <w:szCs w:val="20"/>
          <w:color w:val="auto"/>
        </w:rPr>
      </w:pPr>
    </w:p>
    <w:p>
      <w:pPr>
        <w:ind w:left="1943" w:hanging="660"/>
        <w:spacing w:after="0"/>
        <w:tabs>
          <w:tab w:leader="none" w:pos="19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Key Employees</w:t>
      </w:r>
      <w:r>
        <w:rPr>
          <w:rFonts w:ascii="Times New Roman" w:cs="Times New Roman" w:eastAsia="Times New Roman" w:hAnsi="Times New Roman"/>
          <w:sz w:val="20"/>
          <w:szCs w:val="20"/>
          <w:color w:val="auto"/>
        </w:rPr>
        <w:t>” shall mean any executive, managerial, sales,</w:t>
      </w:r>
    </w:p>
    <w:p>
      <w:pPr>
        <w:spacing w:after="0" w:line="22" w:lineRule="exact"/>
        <w:rPr>
          <w:sz w:val="20"/>
          <w:szCs w:val="20"/>
          <w:color w:val="auto"/>
        </w:rPr>
      </w:pPr>
    </w:p>
    <w:p>
      <w:pPr>
        <w:ind w:left="3" w:right="340"/>
        <w:spacing w:after="0" w:line="246" w:lineRule="auto"/>
        <w:rPr>
          <w:sz w:val="20"/>
          <w:szCs w:val="20"/>
          <w:color w:val="auto"/>
        </w:rPr>
      </w:pPr>
      <w:r>
        <w:rPr>
          <w:rFonts w:ascii="Times New Roman" w:cs="Times New Roman" w:eastAsia="Times New Roman" w:hAnsi="Times New Roman"/>
          <w:sz w:val="20"/>
          <w:szCs w:val="20"/>
          <w:color w:val="auto"/>
        </w:rPr>
        <w:t>marketing, or supervisory level employees of the Companies under Executive’s direct or indirect management authority during the Final Year.</w:t>
      </w:r>
    </w:p>
    <w:p>
      <w:pPr>
        <w:spacing w:after="0" w:line="195" w:lineRule="exact"/>
        <w:rPr>
          <w:sz w:val="20"/>
          <w:szCs w:val="20"/>
          <w:color w:val="auto"/>
        </w:rPr>
      </w:pPr>
    </w:p>
    <w:p>
      <w:pPr>
        <w:ind w:left="3" w:right="60" w:firstLine="1294"/>
        <w:spacing w:after="0" w:line="275" w:lineRule="auto"/>
        <w:tabs>
          <w:tab w:leader="none" w:pos="21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Prospective Customer</w:t>
      </w:r>
      <w:r>
        <w:rPr>
          <w:rFonts w:ascii="Times New Roman" w:cs="Times New Roman" w:eastAsia="Times New Roman" w:hAnsi="Times New Roman"/>
          <w:sz w:val="20"/>
          <w:szCs w:val="20"/>
          <w:color w:val="auto"/>
        </w:rPr>
        <w:t>” shall mean any potential customer of the Companies who was actually engaged in discussions with any of the Companies during the Final Year (either directly or through an Agent) to purchase insurance products or services from the Companies, and Executive was actively involved in such discussions, provided, however, a Prospective Customer does not include any such potential customer that decided to discontinue discussions with the Companies, and notified the Companies of that decision, before Executive’s last day of employment.</w:t>
      </w:r>
    </w:p>
    <w:p>
      <w:pPr>
        <w:sectPr>
          <w:pgSz w:w="11900" w:h="16838" w:orient="portrait"/>
          <w:cols w:equalWidth="0" w:num="1">
            <w:col w:w="10683"/>
          </w:cols>
          <w:pgMar w:left="977" w:top="590" w:right="239" w:bottom="1440" w:gutter="0" w:footer="0" w:header="0"/>
        </w:sectPr>
      </w:pPr>
    </w:p>
    <w:bookmarkStart w:id="193" w:name="page194"/>
    <w:bookmarkEnd w:id="193"/>
    <w:p>
      <w:pPr>
        <w:ind w:left="3" w:firstLine="1294"/>
        <w:spacing w:after="0" w:line="282" w:lineRule="auto"/>
        <w:tabs>
          <w:tab w:leader="none" w:pos="2213"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Protected Holdings Group Company</w:t>
      </w:r>
      <w:r>
        <w:rPr>
          <w:rFonts w:ascii="Times New Roman" w:cs="Times New Roman" w:eastAsia="Times New Roman" w:hAnsi="Times New Roman"/>
          <w:sz w:val="20"/>
          <w:szCs w:val="20"/>
          <w:color w:val="auto"/>
        </w:rPr>
        <w:t>” shall mean any Holdings Group insurance company (other than the Companies) that: (A) was a party to a contractual relationship with a Fronting/Program Business Relationship in effect in the Final Year; and (B) Executive was involved in obtaining such contractual relationship with such Holdings Group company.</w:t>
      </w:r>
    </w:p>
    <w:p>
      <w:pPr>
        <w:spacing w:after="0" w:line="175" w:lineRule="exact"/>
        <w:rPr>
          <w:rFonts w:ascii="Times New Roman" w:cs="Times New Roman" w:eastAsia="Times New Roman" w:hAnsi="Times New Roman"/>
          <w:sz w:val="18"/>
          <w:szCs w:val="18"/>
          <w:color w:val="auto"/>
        </w:rPr>
      </w:pPr>
    </w:p>
    <w:p>
      <w:pPr>
        <w:ind w:left="3" w:right="160" w:firstLine="1294"/>
        <w:spacing w:after="0" w:line="297" w:lineRule="auto"/>
        <w:tabs>
          <w:tab w:leader="none" w:pos="2113"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shall mean eighteen (18) months, except that in the event of “Company Non-Renewal Termination” (as defined herein), “Restricted Period shall mean twelve (12) months.</w:t>
      </w:r>
    </w:p>
    <w:p>
      <w:pPr>
        <w:spacing w:after="0" w:line="160" w:lineRule="exact"/>
        <w:rPr>
          <w:rFonts w:ascii="Times New Roman" w:cs="Times New Roman" w:eastAsia="Times New Roman" w:hAnsi="Times New Roman"/>
          <w:sz w:val="18"/>
          <w:szCs w:val="18"/>
          <w:color w:val="auto"/>
        </w:rPr>
      </w:pPr>
    </w:p>
    <w:p>
      <w:pPr>
        <w:ind w:left="3" w:right="300" w:firstLine="1294"/>
        <w:spacing w:after="0" w:line="273" w:lineRule="auto"/>
        <w:tabs>
          <w:tab w:leader="none" w:pos="206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Territory</w:t>
      </w:r>
      <w:r>
        <w:rPr>
          <w:rFonts w:ascii="Times New Roman" w:cs="Times New Roman" w:eastAsia="Times New Roman" w:hAnsi="Times New Roman"/>
          <w:sz w:val="20"/>
          <w:szCs w:val="20"/>
          <w:color w:val="auto"/>
        </w:rPr>
        <w:t>” shall mean, (A) with respect to clauses (b)(i), (iv), (v) and (vi) above, each and every state or other United States jurisdiction (“State(s)”) where any of the Companies is authorized to underwrite, and was actually engaged in underwriting during the Final Year, individual risk workers’ compensation insurance or other specialty admitted fronting/program insurance business; and (B) with respect to clauses (b)(ii) and (iii) above, each and every State where any of the Companies or a Protected Holdings Group Company is authorized to underwrite insurance, and was actually engaged in underwriting insurance through a Fronting/Program Business Relationship during the Final Year.</w:t>
      </w:r>
    </w:p>
    <w:p>
      <w:pPr>
        <w:spacing w:after="0" w:line="186" w:lineRule="exact"/>
        <w:rPr>
          <w:rFonts w:ascii="Times New Roman" w:cs="Times New Roman" w:eastAsia="Times New Roman" w:hAnsi="Times New Roman"/>
          <w:sz w:val="18"/>
          <w:szCs w:val="18"/>
          <w:color w:val="auto"/>
        </w:rPr>
      </w:pPr>
    </w:p>
    <w:p>
      <w:pPr>
        <w:ind w:left="3" w:firstLine="646"/>
        <w:spacing w:after="0" w:line="272" w:lineRule="auto"/>
        <w:tabs>
          <w:tab w:leader="none" w:pos="141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restrictions contained in this Section 5 shall not prevent: (i) the ownership by Executive of not more than three percent (3%) of the securities of any class of any corporation, whether or not such corporation is engaged in any Competitive Business, which are publicly traded on any securities exchange or any “over the counter” market; or (ii) after Executive’s employment by the Parent Company and the Companies ends, Executive’s being employed by a subsidiary or division of an insurance company that engages in Competitive Business as long as both (A) such subsidiary or division does not engage in Competitive Business in the Territory, and (B) Executive does not provide services to or assist the subsidiaries or divisions of such company that engage in Competitive Business in the Territory.</w:t>
      </w:r>
    </w:p>
    <w:p>
      <w:pPr>
        <w:spacing w:after="0" w:line="201" w:lineRule="exact"/>
        <w:rPr>
          <w:rFonts w:ascii="Times New Roman" w:cs="Times New Roman" w:eastAsia="Times New Roman" w:hAnsi="Times New Roman"/>
          <w:sz w:val="18"/>
          <w:szCs w:val="18"/>
          <w:color w:val="auto"/>
        </w:rPr>
      </w:pPr>
    </w:p>
    <w:p>
      <w:pPr>
        <w:ind w:left="683" w:hanging="683"/>
        <w:spacing w:after="0"/>
        <w:tabs>
          <w:tab w:leader="none" w:pos="6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Executive’s employment hereunder shall terminate under the following circumstances:</w:t>
      </w:r>
    </w:p>
    <w:p>
      <w:pPr>
        <w:spacing w:after="0" w:line="242" w:lineRule="exact"/>
        <w:rPr>
          <w:rFonts w:ascii="Times New Roman" w:cs="Times New Roman" w:eastAsia="Times New Roman" w:hAnsi="Times New Roman"/>
          <w:sz w:val="18"/>
          <w:szCs w:val="18"/>
          <w:color w:val="auto"/>
        </w:rPr>
      </w:pPr>
    </w:p>
    <w:p>
      <w:pPr>
        <w:ind w:left="3" w:right="40" w:firstLine="646"/>
        <w:spacing w:after="0" w:line="269" w:lineRule="auto"/>
        <w:tabs>
          <w:tab w:leader="none" w:pos="14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The Parent Company may terminate the employment of Executive for Cause at any time by providing written notice to Executive specifying the cause of the termination. For the purposes of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that: (i) Executive willfully violated Sections 4 or 5 of this Agreement; (ii) Executive grossly neglected his duties hereunder; (iii) Executive was convicted of a felony or a crime involving moral turpitude (meaning a crime that includes the commission of an act of depravity, dishonesty, or bad morals); (iv) Executive has committed an act of dishonesty, fraud, or embezzlement against any entity in the Holdings Group; (v) Executive willfully and/or knowingly breached this Agreement in any material respect or willfully violated the Parent Company’s or the Companies’ written policies which have been provided to him; (vi) Executive willfully failed or refused to follow the lawful instructions of the CEO or any of the Companies’ Boards that are consistent with this Agreement (“</w:t>
      </w:r>
      <w:r>
        <w:rPr>
          <w:rFonts w:ascii="Times New Roman" w:cs="Times New Roman" w:eastAsia="Times New Roman" w:hAnsi="Times New Roman"/>
          <w:sz w:val="20"/>
          <w:szCs w:val="20"/>
          <w:u w:val="single" w:color="auto"/>
          <w:color w:val="auto"/>
        </w:rPr>
        <w:t>Insubordination</w:t>
      </w:r>
      <w:r>
        <w:rPr>
          <w:rFonts w:ascii="Times New Roman" w:cs="Times New Roman" w:eastAsia="Times New Roman" w:hAnsi="Times New Roman"/>
          <w:sz w:val="20"/>
          <w:szCs w:val="20"/>
          <w:color w:val="auto"/>
        </w:rPr>
        <w:t>”); or (vii) Executive fails to relocate to the Raleigh, NC area by the Relocation Date. In the event that the Parent Company provides written notice of termination for Cause pursuant to Section 6(a)(ii) or (vi), Executive shall be entitled to cure any alleged neglect of his duties or Insubordination, to the extent curable, within thirty (30) days of receiving written notice from the Company specifying the factual basis for its belief that Executive grossly neglected his duties hereunder or engaged in Insubordination. If Executive is terminated for Cause, Executive’s compensation shall terminate on the date of such termination, and all equity awards, whether vested or unvested at that time, shall be immediately forfeited and canceled effective as of the date of such termination.</w:t>
      </w:r>
    </w:p>
    <w:p>
      <w:pPr>
        <w:spacing w:after="0" w:line="198" w:lineRule="exact"/>
        <w:rPr>
          <w:rFonts w:ascii="Times New Roman" w:cs="Times New Roman" w:eastAsia="Times New Roman" w:hAnsi="Times New Roman"/>
          <w:sz w:val="18"/>
          <w:szCs w:val="18"/>
          <w:color w:val="auto"/>
        </w:rPr>
      </w:pPr>
    </w:p>
    <w:p>
      <w:pPr>
        <w:ind w:left="3" w:right="100" w:firstLine="646"/>
        <w:spacing w:after="0" w:line="282" w:lineRule="auto"/>
        <w:tabs>
          <w:tab w:leader="none" w:pos="141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Company Termination Without Cause</w:t>
      </w:r>
      <w:r>
        <w:rPr>
          <w:rFonts w:ascii="Times New Roman" w:cs="Times New Roman" w:eastAsia="Times New Roman" w:hAnsi="Times New Roman"/>
          <w:sz w:val="20"/>
          <w:szCs w:val="20"/>
          <w:color w:val="auto"/>
        </w:rPr>
        <w:t>. The Parent Company may terminate Executive at any time without Cause, with or without prior notice. If (i) the Parent Company delivers a timely Non-Renewal Notice and Executive has not timely delivered a timely Non-Renewal Notice, (ii) Executive</w:t>
      </w:r>
    </w:p>
    <w:p>
      <w:pPr>
        <w:sectPr>
          <w:pgSz w:w="11900" w:h="16838" w:orient="portrait"/>
          <w:cols w:equalWidth="0" w:num="1">
            <w:col w:w="10643"/>
          </w:cols>
          <w:pgMar w:left="977" w:top="806" w:right="279" w:bottom="1440" w:gutter="0" w:footer="0" w:header="0"/>
        </w:sectPr>
      </w:pPr>
    </w:p>
    <w:bookmarkStart w:id="194" w:name="page195"/>
    <w:bookmarkEnd w:id="194"/>
    <w:p>
      <w:pPr>
        <w:ind w:left="16" w:right="120"/>
        <w:spacing w:after="0" w:line="282" w:lineRule="auto"/>
        <w:rPr>
          <w:sz w:val="20"/>
          <w:szCs w:val="20"/>
          <w:color w:val="auto"/>
        </w:rPr>
      </w:pPr>
      <w:r>
        <w:rPr>
          <w:rFonts w:ascii="Times New Roman" w:cs="Times New Roman" w:eastAsia="Times New Roman" w:hAnsi="Times New Roman"/>
          <w:sz w:val="20"/>
          <w:szCs w:val="20"/>
          <w:color w:val="auto"/>
        </w:rPr>
        <w:t>continues in employment with the Parent Company through the last day of the Term and (iii) the parties have not executed a written agreement applicable to Executive’s employment after the expiration of the Term, the Executive’s employment shall terminate on the last day of the Term (a “</w:t>
      </w:r>
      <w:r>
        <w:rPr>
          <w:rFonts w:ascii="Times New Roman" w:cs="Times New Roman" w:eastAsia="Times New Roman" w:hAnsi="Times New Roman"/>
          <w:sz w:val="20"/>
          <w:szCs w:val="20"/>
          <w:u w:val="single" w:color="auto"/>
          <w:color w:val="auto"/>
        </w:rPr>
        <w:t>Company Non-Renewal Termination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6" w:right="580" w:firstLine="646"/>
        <w:spacing w:after="0" w:line="282" w:lineRule="auto"/>
        <w:tabs>
          <w:tab w:leader="none" w:pos="141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by Executive for Good Reason</w:t>
      </w:r>
      <w:r>
        <w:rPr>
          <w:rFonts w:ascii="Times New Roman" w:cs="Times New Roman" w:eastAsia="Times New Roman" w:hAnsi="Times New Roman"/>
          <w:sz w:val="20"/>
          <w:szCs w:val="20"/>
          <w:color w:val="auto"/>
        </w:rPr>
        <w:t>. Executive may, at his option, terminate this Agreement for Good Reason in accordance with the terms of this Section 6(c).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the occurrence of any one or more of the following events without the prior consent of Executive:</w:t>
      </w:r>
    </w:p>
    <w:p>
      <w:pPr>
        <w:spacing w:after="0" w:line="175" w:lineRule="exact"/>
        <w:rPr>
          <w:rFonts w:ascii="Times New Roman" w:cs="Times New Roman" w:eastAsia="Times New Roman" w:hAnsi="Times New Roman"/>
          <w:sz w:val="18"/>
          <w:szCs w:val="18"/>
          <w:color w:val="auto"/>
        </w:rPr>
      </w:pPr>
    </w:p>
    <w:p>
      <w:pPr>
        <w:ind w:left="16" w:right="320" w:firstLine="1294"/>
        <w:spacing w:after="0" w:line="268" w:lineRule="auto"/>
        <w:tabs>
          <w:tab w:leader="none" w:pos="2036"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diminution in Executive’s authority, duties or responsibilities, or requiring Executive to report directly to a person or persons other than</w:t>
      </w:r>
    </w:p>
    <w:p>
      <w:pPr>
        <w:spacing w:after="0" w:line="1"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Parent Company’s CEO or Board of Directors, or (y) the Companies’ Boards;</w:t>
      </w:r>
    </w:p>
    <w:p>
      <w:pPr>
        <w:spacing w:after="0" w:line="200" w:lineRule="exact"/>
        <w:rPr>
          <w:rFonts w:ascii="Times New Roman" w:cs="Times New Roman" w:eastAsia="Times New Roman" w:hAnsi="Times New Roman"/>
          <w:sz w:val="18"/>
          <w:szCs w:val="18"/>
          <w:color w:val="auto"/>
        </w:rPr>
      </w:pPr>
    </w:p>
    <w:p>
      <w:pPr>
        <w:ind w:left="1956" w:hanging="660"/>
        <w:spacing w:after="0"/>
        <w:tabs>
          <w:tab w:leader="none" w:pos="1956"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diminution in Executive’s Base Salary; or</w:t>
      </w:r>
    </w:p>
    <w:p>
      <w:pPr>
        <w:spacing w:after="0" w:line="242" w:lineRule="exact"/>
        <w:rPr>
          <w:rFonts w:ascii="Times New Roman" w:cs="Times New Roman" w:eastAsia="Times New Roman" w:hAnsi="Times New Roman"/>
          <w:sz w:val="18"/>
          <w:szCs w:val="18"/>
          <w:color w:val="auto"/>
        </w:rPr>
      </w:pPr>
    </w:p>
    <w:p>
      <w:pPr>
        <w:ind w:left="2076" w:hanging="766"/>
        <w:spacing w:after="0"/>
        <w:tabs>
          <w:tab w:leader="none" w:pos="2076" w:val="left"/>
        </w:tabs>
        <w:numPr>
          <w:ilvl w:val="3"/>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action or inaction by the Parent Company or the Companies which constitutes a material breach of the</w:t>
      </w:r>
    </w:p>
    <w:p>
      <w:pPr>
        <w:spacing w:after="0" w:line="28" w:lineRule="exact"/>
        <w:rPr>
          <w:rFonts w:ascii="Times New Roman" w:cs="Times New Roman" w:eastAsia="Times New Roman" w:hAnsi="Times New Roman"/>
          <w:sz w:val="18"/>
          <w:szCs w:val="18"/>
          <w:color w:val="auto"/>
        </w:rPr>
      </w:pPr>
    </w:p>
    <w:p>
      <w:pPr>
        <w:ind w:left="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terms of this Agreement;</w:t>
      </w:r>
    </w:p>
    <w:p>
      <w:pPr>
        <w:spacing w:after="0" w:line="227" w:lineRule="exact"/>
        <w:rPr>
          <w:sz w:val="20"/>
          <w:szCs w:val="20"/>
          <w:color w:val="auto"/>
        </w:rPr>
      </w:pPr>
    </w:p>
    <w:p>
      <w:pPr>
        <w:ind w:left="16"/>
        <w:spacing w:after="0" w:line="244" w:lineRule="auto"/>
        <w:rPr>
          <w:sz w:val="20"/>
          <w:szCs w:val="20"/>
          <w:color w:val="auto"/>
        </w:rPr>
      </w:pPr>
      <w:r>
        <w:rPr>
          <w:rFonts w:ascii="Times New Roman" w:cs="Times New Roman" w:eastAsia="Times New Roman" w:hAnsi="Times New Roman"/>
          <w:sz w:val="20"/>
          <w:szCs w:val="20"/>
          <w:color w:val="auto"/>
        </w:rPr>
        <w:t>and, in each case, the failure by the Parent Company or the Companies, as applicable, to cure such condition within the thirty (30) day period after receipt of written notice from Executive specifying in detail the factual basis for his belief that he has Good Reason to resign (“</w:t>
      </w:r>
      <w:r>
        <w:rPr>
          <w:rFonts w:ascii="Times New Roman" w:cs="Times New Roman" w:eastAsia="Times New Roman" w:hAnsi="Times New Roman"/>
          <w:sz w:val="20"/>
          <w:szCs w:val="20"/>
          <w:u w:val="single" w:color="auto"/>
          <w:color w:val="auto"/>
        </w:rPr>
        <w:t>Good Reason Notice</w:t>
      </w:r>
      <w:r>
        <w:rPr>
          <w:rFonts w:ascii="Times New Roman" w:cs="Times New Roman" w:eastAsia="Times New Roman" w:hAnsi="Times New Roman"/>
          <w:sz w:val="20"/>
          <w:szCs w:val="20"/>
          <w:color w:val="auto"/>
        </w:rPr>
        <w:t>”). Executive must deliver a Good Reason Notice to the Parent Company and the Companies within thirty (30) calendar days after the initial existence of a Good Reason condition, and, if the Parent Company or the Companies, as applicable, fails to timely cure such Good Reason condition, Executive must terminate his employment within one year after the initial existence of such Good Reason condition, and any failure by Executive to timely comply with either of these requirements shall constitute a waiver of Executive’s right to resign for Good Reason for such condition.</w:t>
      </w:r>
    </w:p>
    <w:p>
      <w:pPr>
        <w:spacing w:after="0" w:line="200" w:lineRule="exact"/>
        <w:rPr>
          <w:sz w:val="20"/>
          <w:szCs w:val="20"/>
          <w:color w:val="auto"/>
        </w:rPr>
      </w:pPr>
    </w:p>
    <w:p>
      <w:pPr>
        <w:ind w:left="16" w:right="440" w:firstLine="646"/>
        <w:spacing w:after="0" w:line="268" w:lineRule="auto"/>
        <w:tabs>
          <w:tab w:leader="none" w:pos="142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due to Death or Disability</w:t>
      </w:r>
      <w:r>
        <w:rPr>
          <w:rFonts w:ascii="Times New Roman" w:cs="Times New Roman" w:eastAsia="Times New Roman" w:hAnsi="Times New Roman"/>
          <w:sz w:val="20"/>
          <w:szCs w:val="20"/>
          <w:color w:val="auto"/>
        </w:rPr>
        <w:t>. Executive’s employment hereunder shall terminate upon his death. The Parent Company may terminate</w:t>
      </w:r>
    </w:p>
    <w:p>
      <w:pPr>
        <w:spacing w:after="0" w:line="1" w:lineRule="exact"/>
        <w:rPr>
          <w:rFonts w:ascii="Times New Roman" w:cs="Times New Roman" w:eastAsia="Times New Roman" w:hAnsi="Times New Roman"/>
          <w:sz w:val="18"/>
          <w:szCs w:val="18"/>
          <w:color w:val="auto"/>
        </w:rPr>
      </w:pPr>
    </w:p>
    <w:p>
      <w:pPr>
        <w:ind w:left="16"/>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Executive’s employment if he is prevented from performing his responsibilities under this Agreement because of “Disability.” A “</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that Executive is unable to engage in any substantial gainful activity by reason of a medically determinable physical or mental impairment that can be expected to result in death or can be expected to last for a continuous period of not less than</w:t>
      </w:r>
    </w:p>
    <w:p>
      <w:pPr>
        <w:spacing w:after="0" w:line="1" w:lineRule="exact"/>
        <w:rPr>
          <w:rFonts w:ascii="Times New Roman" w:cs="Times New Roman" w:eastAsia="Times New Roman" w:hAnsi="Times New Roman"/>
          <w:sz w:val="18"/>
          <w:szCs w:val="18"/>
          <w:color w:val="auto"/>
        </w:rPr>
      </w:pPr>
    </w:p>
    <w:p>
      <w:pPr>
        <w:ind w:left="16" w:right="20" w:hanging="3"/>
        <w:spacing w:after="0"/>
        <w:tabs>
          <w:tab w:leader="none" w:pos="26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or disability insurance benefit plan covering Executive (“</w:t>
      </w:r>
      <w:r>
        <w:rPr>
          <w:rFonts w:ascii="Times New Roman" w:cs="Times New Roman" w:eastAsia="Times New Roman" w:hAnsi="Times New Roman"/>
          <w:sz w:val="20"/>
          <w:szCs w:val="20"/>
          <w:u w:val="single" w:color="auto"/>
          <w:color w:val="auto"/>
        </w:rPr>
        <w:t>Disability Plan</w:t>
      </w:r>
      <w:r>
        <w:rPr>
          <w:rFonts w:ascii="Times New Roman" w:cs="Times New Roman" w:eastAsia="Times New Roman" w:hAnsi="Times New Roman"/>
          <w:sz w:val="20"/>
          <w:szCs w:val="20"/>
          <w:color w:val="auto"/>
        </w:rPr>
        <w:t>”). If Executive is unable to perform his responsibilities, by reason of any accident, illness, or mental, or physical impairment, for a period that is reasonably anticipated by the Parent Company to be longer than the waiting period in the Disability Plan, then, at the Parent Company’s request, Executive shall promptly apply for such income replacement benefits.</w:t>
      </w:r>
    </w:p>
    <w:p>
      <w:pPr>
        <w:spacing w:after="0" w:line="205" w:lineRule="exact"/>
        <w:rPr>
          <w:rFonts w:ascii="Times New Roman" w:cs="Times New Roman" w:eastAsia="Times New Roman" w:hAnsi="Times New Roman"/>
          <w:sz w:val="20"/>
          <w:szCs w:val="20"/>
          <w:color w:val="auto"/>
        </w:rPr>
      </w:pPr>
    </w:p>
    <w:p>
      <w:pPr>
        <w:ind w:left="16" w:right="60" w:firstLine="646"/>
        <w:spacing w:after="0" w:line="275" w:lineRule="auto"/>
        <w:tabs>
          <w:tab w:leader="none" w:pos="14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Expiration of Term</w:t>
      </w:r>
      <w:r>
        <w:rPr>
          <w:rFonts w:ascii="Times New Roman" w:cs="Times New Roman" w:eastAsia="Times New Roman" w:hAnsi="Times New Roman"/>
          <w:sz w:val="20"/>
          <w:szCs w:val="20"/>
          <w:color w:val="auto"/>
        </w:rPr>
        <w:t>. If (i) Executive delivers a timely Non-Renewal Notice pursuant to Section 1 (whether or not the Parent Company has timely delivered a timely Non-Renewal Notice), (ii) Executive continues in employment with the Parent Company through the last day of the Term, and (iii) the parties have not executed a written agreement applicable to Executive’s employment after the expiration of the Term, the Executive’s employment shall terminate on the last day of the Term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Non- Renewal Termination”</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18"/>
          <w:szCs w:val="18"/>
          <w:color w:val="auto"/>
        </w:rPr>
      </w:pPr>
    </w:p>
    <w:p>
      <w:pPr>
        <w:ind w:left="656" w:hanging="643"/>
        <w:spacing w:after="0"/>
        <w:tabs>
          <w:tab w:leader="none" w:pos="6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COMPENSATION AND BENEFITS UPON TERMINATION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18"/>
          <w:szCs w:val="18"/>
          <w:color w:val="auto"/>
        </w:rPr>
      </w:pPr>
    </w:p>
    <w:p>
      <w:pPr>
        <w:ind w:left="16" w:right="340" w:firstLine="646"/>
        <w:spacing w:after="0" w:line="297" w:lineRule="auto"/>
        <w:tabs>
          <w:tab w:leader="none" w:pos="141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during the Term, the Parent Company terminates Executive’s employment without Cause, there is a Company Non-Renewal Termination, or Executive terminates his employment for Good</w:t>
      </w:r>
    </w:p>
    <w:p>
      <w:pPr>
        <w:sectPr>
          <w:pgSz w:w="11900" w:h="16838" w:orient="portrait"/>
          <w:cols w:equalWidth="0" w:num="1">
            <w:col w:w="10676"/>
          </w:cols>
          <w:pgMar w:left="964" w:top="589" w:right="2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color w:val="auto"/>
        </w:rPr>
        <w:t>Reason, then:</w:t>
      </w:r>
    </w:p>
    <w:p>
      <w:pPr>
        <w:spacing w:after="0" w:line="28" w:lineRule="exact"/>
        <w:rPr>
          <w:sz w:val="20"/>
          <w:szCs w:val="20"/>
          <w:color w:val="auto"/>
        </w:rPr>
      </w:pPr>
    </w:p>
    <w:p>
      <w:pPr>
        <w:jc w:val="both"/>
        <w:ind w:right="160" w:firstLine="1294"/>
        <w:spacing w:after="0" w:line="281" w:lineRule="auto"/>
        <w:tabs>
          <w:tab w:leader="none" w:pos="2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soon as practicable following such termination but no later than ten (10) days after the Termination Date (as defined below), FLIMCO shall pay to Executive his accrued but yet unpaid base salary earned through the Termination Date and any accrued, but unused vacation pay through the Termination Date (the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18"/>
          <w:szCs w:val="18"/>
          <w:color w:val="auto"/>
        </w:rPr>
      </w:pPr>
    </w:p>
    <w:p>
      <w:pPr>
        <w:ind w:right="700" w:firstLine="1294"/>
        <w:spacing w:after="0" w:line="297" w:lineRule="auto"/>
        <w:tabs>
          <w:tab w:leader="none" w:pos="20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forty-five (45) days following the Termination Date, FLIMCO shall reimburse Executive for reasonable expenses incurred, but not paid prior to the Termination Date;</w:t>
      </w:r>
    </w:p>
    <w:p>
      <w:pPr>
        <w:spacing w:after="0" w:line="160" w:lineRule="exact"/>
        <w:rPr>
          <w:rFonts w:ascii="Times New Roman" w:cs="Times New Roman" w:eastAsia="Times New Roman" w:hAnsi="Times New Roman"/>
          <w:sz w:val="18"/>
          <w:szCs w:val="18"/>
          <w:color w:val="auto"/>
        </w:rPr>
      </w:pPr>
    </w:p>
    <w:p>
      <w:pPr>
        <w:ind w:right="40" w:firstLine="1294"/>
        <w:spacing w:after="0" w:line="277" w:lineRule="auto"/>
        <w:tabs>
          <w:tab w:leader="none" w:pos="2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execution and delivery of a general release (which release shall not alter or result in the waiver of Executive’s right to exercise the portion of any stock option or other equity award that vested through the Termination Date, or any rights under this Section 7(a)) in a form acceptable to the Parent Company within forty five (45) days after the Termination Date (the “</w:t>
      </w:r>
      <w:r>
        <w:rPr>
          <w:rFonts w:ascii="Times New Roman" w:cs="Times New Roman" w:eastAsia="Times New Roman" w:hAnsi="Times New Roman"/>
          <w:sz w:val="20"/>
          <w:szCs w:val="20"/>
          <w:u w:val="single" w:color="auto"/>
          <w:color w:val="auto"/>
        </w:rPr>
        <w:t>Release Expiration Date</w:t>
      </w:r>
      <w:r>
        <w:rPr>
          <w:rFonts w:ascii="Times New Roman" w:cs="Times New Roman" w:eastAsia="Times New Roman" w:hAnsi="Times New Roman"/>
          <w:sz w:val="20"/>
          <w:szCs w:val="20"/>
          <w:color w:val="auto"/>
        </w:rPr>
        <w:t>”), which release has not been revoked, Executive is entitled to receive:</w:t>
      </w:r>
    </w:p>
    <w:p>
      <w:pPr>
        <w:spacing w:after="0" w:line="181" w:lineRule="exact"/>
        <w:rPr>
          <w:sz w:val="20"/>
          <w:szCs w:val="20"/>
          <w:color w:val="auto"/>
        </w:rPr>
      </w:pPr>
    </w:p>
    <w:p>
      <w:pPr>
        <w:ind w:right="20" w:firstLine="1294"/>
        <w:spacing w:after="0" w:line="272" w:lineRule="auto"/>
        <w:tabs>
          <w:tab w:leader="none" w:pos="2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of a termination without Cause or for Good Reason (I) before or 12 months or more after a Change in Control (as defined in Section 7(d)), an amount equal to Executive's base salary for a period of eighteen (18) months after the Termination Date, or (II) within twelve (12) months after a Change in Control, an amount equal to Executive's base salary for a period of thirty (30) months after the Termination Date, or (B) in the event of a Company Non-Renewal Termination, an amount equal to Executive's base salary for a period of twelve (12) months after the Termination Date, which, in any case shall be paid in periodic installments in accordance with FLIMCO's normal payroll practices in effect as of the Termination Date commencing on the first payroll cycle which is at least ten (10) business days after the 45th day after the Termination Date;</w:t>
      </w:r>
    </w:p>
    <w:p>
      <w:pPr>
        <w:spacing w:after="0" w:line="187" w:lineRule="exact"/>
        <w:rPr>
          <w:rFonts w:ascii="Times New Roman" w:cs="Times New Roman" w:eastAsia="Times New Roman" w:hAnsi="Times New Roman"/>
          <w:sz w:val="18"/>
          <w:szCs w:val="18"/>
          <w:color w:val="auto"/>
        </w:rPr>
      </w:pPr>
    </w:p>
    <w:p>
      <w:pPr>
        <w:ind w:right="40" w:firstLine="1294"/>
        <w:spacing w:after="0" w:line="272" w:lineRule="auto"/>
        <w:tabs>
          <w:tab w:leader="none" w:pos="20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continuation of coverage under all employee benefit insurance plans in which Executive was a participant as of the Termination Date, to the extent such post-employment coverage is authorized by such plans, at FLIMCO’s expense for the period of eighteen (18) after the Termination Date (for a termination without Cause or for Good Reason) or the period of twelve (12) months after the Termination Date (for a Company Non-Renewal Termination), provided, however if post-employment coverage is not authorized under such health insurance plan, then FLIMCO will pay Executive the premium cost for health insurance coverage that FLIMCO would have paid if Executive had continued being a participant in such health insurance plan during the applicable 12 month or 18 month period; and</w:t>
      </w:r>
    </w:p>
    <w:p>
      <w:pPr>
        <w:spacing w:after="0" w:line="187" w:lineRule="exact"/>
        <w:rPr>
          <w:rFonts w:ascii="Times New Roman" w:cs="Times New Roman" w:eastAsia="Times New Roman" w:hAnsi="Times New Roman"/>
          <w:sz w:val="18"/>
          <w:szCs w:val="18"/>
          <w:color w:val="auto"/>
        </w:rPr>
      </w:pPr>
    </w:p>
    <w:p>
      <w:pPr>
        <w:ind w:firstLine="1294"/>
        <w:spacing w:after="0" w:line="282" w:lineRule="auto"/>
        <w:tabs>
          <w:tab w:leader="none" w:pos="20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unpaid discretionary bonus awarded to Executive for the year prior to the year in which the Termination Date occurs, which shall be paid in a lump sum on the normal bonus payment date for Parent Company bonuses for such preceding fiscal year.</w:t>
      </w:r>
    </w:p>
    <w:p>
      <w:pPr>
        <w:spacing w:after="0" w:line="175" w:lineRule="exact"/>
        <w:rPr>
          <w:sz w:val="20"/>
          <w:szCs w:val="20"/>
          <w:color w:val="auto"/>
        </w:rPr>
      </w:pPr>
    </w:p>
    <w:p>
      <w:pPr>
        <w:ind w:right="40" w:firstLine="1294"/>
        <w:spacing w:after="0" w:line="275" w:lineRule="auto"/>
        <w:tabs>
          <w:tab w:leader="none" w:pos="211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Executive fails to execute the Release on or prior to the Release Expiration Date, Executive shall not be entitled to any payments or benefits pursuant to Section 7(a)(iii). Notwithstanding the foregoing, if the Release could become effective during the calendar year following the calendar year of the Termination Date, then no such payments that constitute “deferred compensation” under Internal Revenue Code Section 409A shall be made earlier than the first day of the calendar year following the calendar year of the Termination Date.</w:t>
      </w:r>
    </w:p>
    <w:p>
      <w:pPr>
        <w:spacing w:after="0" w:line="181" w:lineRule="exact"/>
        <w:rPr>
          <w:rFonts w:ascii="Times New Roman" w:cs="Times New Roman" w:eastAsia="Times New Roman" w:hAnsi="Times New Roman"/>
          <w:sz w:val="18"/>
          <w:szCs w:val="18"/>
          <w:color w:val="auto"/>
        </w:rPr>
      </w:pPr>
    </w:p>
    <w:p>
      <w:pPr>
        <w:ind w:right="460" w:firstLine="646"/>
        <w:spacing w:after="0" w:line="282" w:lineRule="auto"/>
        <w:tabs>
          <w:tab w:leader="none" w:pos="141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Executive’s employment is terminated as a result of death or by the Parent Company for Cause or because of Disability, or if a termination of employment occurs pursuant to Section 6(e) as a result of Executive’s delivering a timely Non-Renewal Notice:</w:t>
      </w:r>
    </w:p>
    <w:p>
      <w:pPr>
        <w:spacing w:after="0" w:line="175" w:lineRule="exact"/>
        <w:rPr>
          <w:rFonts w:ascii="Times New Roman" w:cs="Times New Roman" w:eastAsia="Times New Roman" w:hAnsi="Times New Roman"/>
          <w:sz w:val="18"/>
          <w:szCs w:val="18"/>
          <w:color w:val="auto"/>
        </w:rPr>
      </w:pPr>
    </w:p>
    <w:p>
      <w:pPr>
        <w:ind w:left="2020" w:hanging="726"/>
        <w:spacing w:after="0"/>
        <w:tabs>
          <w:tab w:leader="none" w:pos="2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ten (10) days following the Termination Date, FLIMCO shall pay to Executive the Accrued</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Obligations; and</w:t>
      </w:r>
    </w:p>
    <w:p>
      <w:pPr>
        <w:spacing w:after="0" w:line="240" w:lineRule="exact"/>
        <w:rPr>
          <w:rFonts w:ascii="Times New Roman" w:cs="Times New Roman" w:eastAsia="Times New Roman" w:hAnsi="Times New Roman"/>
          <w:sz w:val="18"/>
          <w:szCs w:val="18"/>
          <w:color w:val="auto"/>
        </w:rPr>
      </w:pPr>
    </w:p>
    <w:p>
      <w:pPr>
        <w:ind w:right="700" w:firstLine="1294"/>
        <w:spacing w:after="0" w:line="297" w:lineRule="auto"/>
        <w:tabs>
          <w:tab w:leader="none" w:pos="207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forty-five (45) days following the Termination Date, FLIMCO shall reimburse Executive for reasonable expenses incurred, but not paid prior to the Termination Date.</w:t>
      </w:r>
    </w:p>
    <w:p>
      <w:pPr>
        <w:sectPr>
          <w:pgSz w:w="11900" w:h="16838" w:orient="portrait"/>
          <w:cols w:equalWidth="0" w:num="1">
            <w:col w:w="10660"/>
          </w:cols>
          <w:pgMar w:left="980" w:top="590" w:right="259" w:bottom="1440" w:gutter="0" w:footer="0" w:header="0"/>
        </w:sectPr>
      </w:pPr>
    </w:p>
    <w:bookmarkStart w:id="196" w:name="page197"/>
    <w:bookmarkEnd w:id="196"/>
    <w:p>
      <w:pPr>
        <w:ind w:left="3" w:right="60" w:firstLine="646"/>
        <w:spacing w:after="0" w:line="275" w:lineRule="auto"/>
        <w:tabs>
          <w:tab w:leader="none" w:pos="14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for payments provided under Sections 7(a)(i), 7(a)(ii), and 7(b), all compensation and benefits paid pursuant to this Section 7 shall cease and Executive shall promptly return any amount paid under Section 7(a)(iii) to FLIMCO if Executive violates any of the terms of Sections 4 or 5 above during the Restricted Period. In addition to these remedies, the Parent Company, the Companies and the Holdings Group shall have all other remedies provided by this Agreement and by law for the breach of Sections 4 or 5 above.</w:t>
      </w:r>
    </w:p>
    <w:p>
      <w:pPr>
        <w:spacing w:after="0" w:line="167" w:lineRule="exact"/>
        <w:rPr>
          <w:rFonts w:ascii="Times New Roman" w:cs="Times New Roman" w:eastAsia="Times New Roman" w:hAnsi="Times New Roman"/>
          <w:sz w:val="18"/>
          <w:szCs w:val="18"/>
          <w:color w:val="auto"/>
        </w:rPr>
      </w:pPr>
    </w:p>
    <w:p>
      <w:pPr>
        <w:ind w:left="1303" w:hanging="654"/>
        <w:spacing w:after="0"/>
        <w:tabs>
          <w:tab w:leader="none" w:pos="130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of</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Executive’s “separation from service” within the meaning of Section 409A of the Internal Revenue Code of 1986, as amended (the</w:t>
      </w:r>
    </w:p>
    <w:p>
      <w:pPr>
        <w:ind w:left="3" w:right="14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and the regulations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(and, for purposes of this definition only, capitalized terms have the meaning defined in the James River Group Holdings, Ltd. 2014 Long-Term Incentive Plan, as amended) the first to occur of the following events:</w:t>
      </w:r>
    </w:p>
    <w:p>
      <w:pPr>
        <w:spacing w:after="0" w:line="187" w:lineRule="exact"/>
        <w:rPr>
          <w:sz w:val="20"/>
          <w:szCs w:val="20"/>
          <w:color w:val="auto"/>
        </w:rPr>
      </w:pPr>
    </w:p>
    <w:p>
      <w:pPr>
        <w:ind w:left="1303" w:right="20" w:hanging="654"/>
        <w:spacing w:after="0" w:line="245" w:lineRule="auto"/>
        <w:tabs>
          <w:tab w:leader="none" w:pos="13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purchase or other acquisition (other than from Holdings), in a single transaction or series of related transactions, by any person, entity or group of persons, within the meaning of Section 13(d) or 14(d) of the Exchange Act (excluding, for this purpose, Holdings or its subsidiaries or any employee benefit plan of Holdings or its subsidiaries), of beneficial ownership (within the meaning of Rule 13d-3 promulgated under the Act) of 50% or more of either the then-outstanding Shares or the combined voting power of Holdings’ then-outstanding voting securities entitled to vote generally in the election of directors;</w:t>
      </w:r>
    </w:p>
    <w:p>
      <w:pPr>
        <w:spacing w:after="0" w:line="185" w:lineRule="exact"/>
        <w:rPr>
          <w:rFonts w:ascii="Times New Roman" w:cs="Times New Roman" w:eastAsia="Times New Roman" w:hAnsi="Times New Roman"/>
          <w:sz w:val="18"/>
          <w:szCs w:val="18"/>
          <w:color w:val="auto"/>
        </w:rPr>
      </w:pPr>
    </w:p>
    <w:p>
      <w:pPr>
        <w:ind w:left="1303" w:right="440" w:hanging="654"/>
        <w:spacing w:after="0" w:line="269" w:lineRule="auto"/>
        <w:tabs>
          <w:tab w:leader="none" w:pos="13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consummation of a reorganization, merger, amalgamation or consolidation involving Holdings, in each case with respect to which persons who were the shareholders of Holdings immediately prior to such reorganization,</w:t>
      </w:r>
    </w:p>
    <w:p>
      <w:pPr>
        <w:spacing w:after="0" w:line="11" w:lineRule="exact"/>
        <w:rPr>
          <w:rFonts w:ascii="Times New Roman" w:cs="Times New Roman" w:eastAsia="Times New Roman" w:hAnsi="Times New Roman"/>
          <w:sz w:val="18"/>
          <w:szCs w:val="18"/>
          <w:color w:val="auto"/>
        </w:rPr>
      </w:pPr>
    </w:p>
    <w:p>
      <w:pPr>
        <w:jc w:val="both"/>
        <w:ind w:left="1303" w:righ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merger, amalgamation or consolidation do not, immediately thereafter, own more than 50% of, respectively, the Shares and the combined voting power entitled to vote generally in the election of directors of the reorganized, merged, amalgamated or consolidated corporation’s then- outstanding voting securities; or</w:t>
      </w:r>
    </w:p>
    <w:p>
      <w:pPr>
        <w:spacing w:after="0" w:line="174" w:lineRule="exact"/>
        <w:rPr>
          <w:rFonts w:ascii="Times New Roman" w:cs="Times New Roman" w:eastAsia="Times New Roman" w:hAnsi="Times New Roman"/>
          <w:sz w:val="18"/>
          <w:szCs w:val="18"/>
          <w:color w:val="auto"/>
        </w:rPr>
      </w:pPr>
    </w:p>
    <w:p>
      <w:pPr>
        <w:ind w:left="1303" w:right="420" w:hanging="654"/>
        <w:spacing w:after="0" w:line="249" w:lineRule="auto"/>
        <w:tabs>
          <w:tab w:leader="none" w:pos="13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liquidation or dissolution of Holdings, or the sale of all or substantially all of the assets of Holdings; provided, however, an event described above shall be considered a Change in Control hereunder only if it also constitutes a “change in control event” under Section 409A of the Code, to the extent necessary to avoid the adverse tax consequences thereunder with respect to any payment subject to Section 409A of the Code.</w:t>
      </w:r>
    </w:p>
    <w:p>
      <w:pPr>
        <w:spacing w:after="0" w:line="194" w:lineRule="exact"/>
        <w:rPr>
          <w:sz w:val="20"/>
          <w:szCs w:val="20"/>
          <w:color w:val="auto"/>
        </w:rPr>
      </w:pPr>
    </w:p>
    <w:p>
      <w:pPr>
        <w:ind w:left="3" w:firstLine="646"/>
        <w:spacing w:after="0" w:line="282" w:lineRule="auto"/>
        <w:tabs>
          <w:tab w:leader="none" w:pos="140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Executive’s rights with respect to the vesting and exercise after the Termination Date, of any stock option or vesting of any other equity award shall be governed by any applicable award agreement and the James River Group Holdings, Ltd. Long-Term Incentive Plan, as amended.</w:t>
      </w:r>
    </w:p>
    <w:p>
      <w:pPr>
        <w:spacing w:after="0" w:line="175" w:lineRule="exact"/>
        <w:rPr>
          <w:rFonts w:ascii="Times New Roman" w:cs="Times New Roman" w:eastAsia="Times New Roman" w:hAnsi="Times New Roman"/>
          <w:sz w:val="18"/>
          <w:szCs w:val="18"/>
          <w:color w:val="auto"/>
        </w:rPr>
      </w:pPr>
    </w:p>
    <w:p>
      <w:pPr>
        <w:ind w:left="-657" w:right="100" w:firstLine="657"/>
        <w:spacing w:after="0" w:line="271" w:lineRule="auto"/>
        <w:tabs>
          <w:tab w:leader="none" w:pos="67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409A COMPLIANCE</w:t>
      </w:r>
      <w:r>
        <w:rPr>
          <w:rFonts w:ascii="Times New Roman" w:cs="Times New Roman" w:eastAsia="Times New Roman" w:hAnsi="Times New Roman"/>
          <w:sz w:val="20"/>
          <w:szCs w:val="20"/>
          <w:color w:val="auto"/>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Holdings’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w:t>
      </w:r>
    </w:p>
    <w:p>
      <w:pPr>
        <w:sectPr>
          <w:pgSz w:w="11900" w:h="16838" w:orient="portrait"/>
          <w:cols w:equalWidth="0" w:num="1">
            <w:col w:w="10683"/>
          </w:cols>
          <w:pgMar w:left="977" w:top="805" w:right="239" w:bottom="1440" w:gutter="0" w:footer="0" w:header="0"/>
        </w:sectPr>
      </w:pPr>
    </w:p>
    <w:bookmarkStart w:id="197" w:name="page198"/>
    <w:bookmarkEnd w:id="197"/>
    <w:p>
      <w:pPr>
        <w:ind w:right="20"/>
        <w:spacing w:after="0" w:line="282" w:lineRule="auto"/>
        <w:rPr>
          <w:sz w:val="20"/>
          <w:szCs w:val="20"/>
          <w:color w:val="auto"/>
        </w:rPr>
      </w:pPr>
      <w:r>
        <w:rPr>
          <w:rFonts w:ascii="Times New Roman" w:cs="Times New Roman" w:eastAsia="Times New Roman" w:hAnsi="Times New Roman"/>
          <w:sz w:val="20"/>
          <w:szCs w:val="20"/>
          <w:color w:val="auto"/>
        </w:rPr>
        <w:t>the period of the delay shall be paid in a single lump sum during the ten (10) day period following the six- month anniversary of the Termination Date. Each payroll period payment described in Section 7(a)(iii)(A) shall be treated as a separate payment for purposes of Section 409A.</w:t>
      </w:r>
    </w:p>
    <w:p>
      <w:pPr>
        <w:spacing w:after="0" w:line="175" w:lineRule="exact"/>
        <w:rPr>
          <w:sz w:val="20"/>
          <w:szCs w:val="20"/>
          <w:color w:val="auto"/>
        </w:rPr>
      </w:pPr>
    </w:p>
    <w:p>
      <w:pPr>
        <w:ind w:right="80" w:firstLine="657"/>
        <w:spacing w:after="0" w:line="272" w:lineRule="auto"/>
        <w:tabs>
          <w:tab w:leader="none" w:pos="13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UNIQUENESS OF SERVICES; ACKNOWLEDGEMENTS</w:t>
      </w:r>
      <w:r>
        <w:rPr>
          <w:rFonts w:ascii="Times New Roman" w:cs="Times New Roman" w:eastAsia="Times New Roman" w:hAnsi="Times New Roman"/>
          <w:sz w:val="20"/>
          <w:szCs w:val="20"/>
          <w:color w:val="auto"/>
        </w:rPr>
        <w:t>. Executive acknowledges that the services to be rendered under the provisions of this Agreement are of a special, unique, and extraordinary character; involve access to and development of Confidential Information and Privileged Information; involve developing and protecting customer relationships and goodwill; and that it would be difficult or impossible to replace such services and that, by reason thereof, Executive agrees and consents that if he violates any of the provisions of Sections 4 and 5 of this Agreement, the Parent Company, the Companies and/or any entity in the Holdings Group, in addition to any other rights and remedies available under this Agreement or otherwise, shall be entitled to an injunction to be issued by a court of competent jurisdiction restricting Executive from committing or continuing any violation of Sections 4 and 5 of this Agreement.</w:t>
      </w:r>
    </w:p>
    <w:p>
      <w:pPr>
        <w:spacing w:after="0" w:line="201" w:lineRule="exact"/>
        <w:rPr>
          <w:rFonts w:ascii="Times New Roman" w:cs="Times New Roman" w:eastAsia="Times New Roman" w:hAnsi="Times New Roman"/>
          <w:sz w:val="18"/>
          <w:szCs w:val="18"/>
          <w:color w:val="auto"/>
        </w:rPr>
      </w:pPr>
    </w:p>
    <w:p>
      <w:pPr>
        <w:ind w:right="80" w:firstLine="657"/>
        <w:spacing w:after="0" w:line="271" w:lineRule="auto"/>
        <w:tabs>
          <w:tab w:leader="none" w:pos="14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FURTHER ACKNOWLEDGEMENTS</w:t>
      </w:r>
      <w:r>
        <w:rPr>
          <w:rFonts w:ascii="Times New Roman" w:cs="Times New Roman" w:eastAsia="Times New Roman" w:hAnsi="Times New Roman"/>
          <w:sz w:val="20"/>
          <w:szCs w:val="20"/>
          <w:color w:val="auto"/>
        </w:rPr>
        <w:t>. Executive further acknowledges and agrees that the restrictions contained in Sections 4 and 5 above are reasonable and necessary to protect the legitimate interest of the Holdings Group, in view of, among other things, the short duration of the restrictions; the narrow scope of the restrictions; the Holdings Group’s interests in protecting its trade secrets, Confidential Information, and Privileged Information (which Executive agrees would be useful to competitors for more than eighteen (18) months) and its customer relationships and goodwill; Executive’s background and capabilities which will allow him to seek and accept employment without violation of the restrictions; and Executive’s entitlements under this Agreement. If any provision contained in Sections 4 or 5 above is adjudged unreasonable by a court of competent jurisdiction or arbitrator in any proceeding, then such provision shall be deemed modified as provided in Sections 4 or 5 above or by reducing the scope of such provision, the period of time during which such provision is applicable and/or the geographic area to which such provision applies, to the extent necessary for such provision to be adjudged reasonable and enforceable.</w:t>
      </w:r>
    </w:p>
    <w:p>
      <w:pPr>
        <w:spacing w:after="0" w:line="185" w:lineRule="exact"/>
        <w:rPr>
          <w:rFonts w:ascii="Times New Roman" w:cs="Times New Roman" w:eastAsia="Times New Roman" w:hAnsi="Times New Roman"/>
          <w:sz w:val="18"/>
          <w:szCs w:val="18"/>
          <w:color w:val="auto"/>
        </w:rPr>
      </w:pPr>
    </w:p>
    <w:p>
      <w:pPr>
        <w:ind w:right="160" w:firstLine="657"/>
        <w:spacing w:after="0" w:line="275" w:lineRule="auto"/>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or permitted by this Agreement shall be in writing and shall be deemed to have been duly given when delivered in person or three (3) days after it is mailed if delivered by registered or certified mail, return receipt requested, postage prepaid, addressed to the party for whom intended at such party’s address set forth above (for the Parent Company) or to the address listed in the Parent Company’s records (for Executive), or to such other address as such party may designate by notice in writing given in the manner provided herein.</w:t>
      </w:r>
    </w:p>
    <w:p>
      <w:pPr>
        <w:spacing w:after="0" w:line="181" w:lineRule="exact"/>
        <w:rPr>
          <w:rFonts w:ascii="Times New Roman" w:cs="Times New Roman" w:eastAsia="Times New Roman" w:hAnsi="Times New Roman"/>
          <w:sz w:val="18"/>
          <w:szCs w:val="18"/>
          <w:color w:val="auto"/>
        </w:rPr>
      </w:pPr>
    </w:p>
    <w:p>
      <w:pPr>
        <w:ind w:right="20" w:firstLine="657"/>
        <w:spacing w:after="0" w:line="297" w:lineRule="auto"/>
        <w:tabs>
          <w:tab w:leader="none" w:pos="14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SECTION HEADINGS</w:t>
      </w:r>
      <w:r>
        <w:rPr>
          <w:rFonts w:ascii="Times New Roman" w:cs="Times New Roman" w:eastAsia="Times New Roman" w:hAnsi="Times New Roman"/>
          <w:sz w:val="20"/>
          <w:szCs w:val="20"/>
          <w:color w:val="auto"/>
        </w:rPr>
        <w:t>. The section heading in this Agreement are for convenience of reference only, and they form no part of this Agreement and shall not affect its interpretation.</w:t>
      </w:r>
    </w:p>
    <w:p>
      <w:pPr>
        <w:spacing w:after="0" w:line="160" w:lineRule="exact"/>
        <w:rPr>
          <w:rFonts w:ascii="Times New Roman" w:cs="Times New Roman" w:eastAsia="Times New Roman" w:hAnsi="Times New Roman"/>
          <w:sz w:val="18"/>
          <w:szCs w:val="18"/>
          <w:color w:val="auto"/>
        </w:rPr>
      </w:pPr>
    </w:p>
    <w:p>
      <w:pPr>
        <w:ind w:firstLine="657"/>
        <w:spacing w:after="0" w:line="289" w:lineRule="auto"/>
        <w:tabs>
          <w:tab w:leader="none" w:pos="142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ENTIRE AGREEMENT; AMENDMENTS; COUNTERPARTS</w:t>
      </w:r>
      <w:r>
        <w:rPr>
          <w:rFonts w:ascii="Times New Roman" w:cs="Times New Roman" w:eastAsia="Times New Roman" w:hAnsi="Times New Roman"/>
          <w:sz w:val="19"/>
          <w:szCs w:val="19"/>
          <w:color w:val="auto"/>
        </w:rPr>
        <w:t>. This Agreement constitutes the entire agreement and understanding among Executive, the Parent Company and the Companies with respect to the subject matter hereof and shall supersede any and all other prior agreements and understandings, whether oral or written, relating thereto or the employment of Executive by the Parent Company and the Companies. This Agreement may not be rescinded, modified, or amended, unless an amendment is agreed to in a writing signed by Executive and by an officer of the Parent Company specifically authorized by its Board of Directors (other than Executive), and any waiver shall be set forth in writing and signed by the party to be charged. This Agreement may be executed in any number of counterparts, including by facsimile, each of which shall be an original, but all of which together shall constitute one and the same instrument.</w:t>
      </w:r>
    </w:p>
    <w:p>
      <w:pPr>
        <w:spacing w:after="0" w:line="170" w:lineRule="exact"/>
        <w:rPr>
          <w:rFonts w:ascii="Times New Roman" w:cs="Times New Roman" w:eastAsia="Times New Roman" w:hAnsi="Times New Roman"/>
          <w:sz w:val="17"/>
          <w:szCs w:val="17"/>
          <w:color w:val="auto"/>
        </w:rPr>
      </w:pPr>
    </w:p>
    <w:p>
      <w:pPr>
        <w:ind w:right="760" w:firstLine="657"/>
        <w:spacing w:after="0" w:line="297" w:lineRule="auto"/>
        <w:tabs>
          <w:tab w:leader="none" w:pos="14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PARTIAL INVALIDITY</w:t>
      </w:r>
      <w:r>
        <w:rPr>
          <w:rFonts w:ascii="Times New Roman" w:cs="Times New Roman" w:eastAsia="Times New Roman" w:hAnsi="Times New Roman"/>
          <w:sz w:val="20"/>
          <w:szCs w:val="20"/>
          <w:color w:val="auto"/>
        </w:rPr>
        <w:t>. The invalidity or unenforceability, by statute, court decision, or otherwise, of any term or condition of this Agreement shall not affect the validity or enforceability of any other term or condition hereof.</w:t>
      </w:r>
    </w:p>
    <w:p>
      <w:pPr>
        <w:spacing w:after="0" w:line="160" w:lineRule="exact"/>
        <w:rPr>
          <w:rFonts w:ascii="Times New Roman" w:cs="Times New Roman" w:eastAsia="Times New Roman" w:hAnsi="Times New Roman"/>
          <w:sz w:val="18"/>
          <w:szCs w:val="18"/>
          <w:color w:val="auto"/>
        </w:rPr>
      </w:pPr>
    </w:p>
    <w:p>
      <w:pPr>
        <w:ind w:right="200" w:firstLine="657"/>
        <w:spacing w:after="0" w:line="297" w:lineRule="auto"/>
        <w:tabs>
          <w:tab w:leader="none" w:pos="142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and administered in accordance with the laws of North Carolina, without regard to the principles of conflicts of law which might otherwise apply.</w:t>
      </w:r>
    </w:p>
    <w:p>
      <w:pPr>
        <w:sectPr>
          <w:pgSz w:w="11900" w:h="16838" w:orient="portrait"/>
          <w:cols w:equalWidth="0" w:num="1">
            <w:col w:w="11320"/>
          </w:cols>
          <w:pgMar w:left="320" w:top="589" w:right="259" w:bottom="1440" w:gutter="0" w:footer="0" w:header="0"/>
        </w:sectPr>
      </w:pPr>
    </w:p>
    <w:bookmarkStart w:id="198" w:name="page199"/>
    <w:bookmarkEnd w:id="198"/>
    <w:p>
      <w:pPr>
        <w:ind w:left="-657" w:right="20" w:firstLine="657"/>
        <w:spacing w:after="0" w:line="272" w:lineRule="auto"/>
        <w:tabs>
          <w:tab w:leader="none" w:pos="77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ASSIGNABILITY</w:t>
      </w:r>
      <w:r>
        <w:rPr>
          <w:rFonts w:ascii="Times New Roman" w:cs="Times New Roman" w:eastAsia="Times New Roman" w:hAnsi="Times New Roman"/>
          <w:sz w:val="20"/>
          <w:szCs w:val="20"/>
          <w:color w:val="auto"/>
        </w:rPr>
        <w:t>. This Agreement may not be assigned by Executive, and any purported assignment by Executive shall be null and void. All of the terms and conditions of this Agreement shall be binding upon and inure to the benefit of the Parent Company and its successors (including without limitation any successor to the Parent Company’s business as the result of a merger or consolidation of the Parent Company, whether or not the Parent Company survives such merger or consolidation) and assigns. Successors to the Company shall include, without limitation, any corporation or corporations acquiring, directly or indirectly, all or substantially all of the assets of the Parent Company whether by merger, consolidation, purchase, or otherwise and such successor shall thereafter be deemed the “Parent Company” for purposes hereof.</w:t>
      </w:r>
    </w:p>
    <w:p>
      <w:pPr>
        <w:spacing w:after="0" w:line="174"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18"/>
          <w:szCs w:val="18"/>
          <w:color w:val="auto"/>
        </w:rPr>
      </w:pPr>
    </w:p>
    <w:p>
      <w:pPr>
        <w:ind w:left="3" w:right="80" w:firstLine="646"/>
        <w:spacing w:after="0" w:line="271" w:lineRule="auto"/>
        <w:tabs>
          <w:tab w:leader="none" w:pos="1404"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Raleigh, North Carolina;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either party may seek temporary or preliminary injunctive relief with respect to appropriate matters (including, without limitation, enforcement of Sections 4 and 5 above) from a court in aid of arbitration. Such arbitration proceeding shall be conducted pursuant to the commercial arbitration rules (formal or informal) of the American Arbitration Association in as expedited a manner as is then permitted by such rules (the “</w:t>
      </w: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w:t>
      </w:r>
    </w:p>
    <w:p>
      <w:pPr>
        <w:spacing w:after="0" w:line="188" w:lineRule="exact"/>
        <w:rPr>
          <w:rFonts w:ascii="Times New Roman" w:cs="Times New Roman" w:eastAsia="Times New Roman" w:hAnsi="Times New Roman"/>
          <w:sz w:val="18"/>
          <w:szCs w:val="18"/>
          <w:color w:val="auto"/>
        </w:rPr>
      </w:pPr>
    </w:p>
    <w:p>
      <w:pPr>
        <w:ind w:left="3" w:right="100" w:firstLine="646"/>
        <w:spacing w:after="0" w:line="275" w:lineRule="auto"/>
        <w:tabs>
          <w:tab w:leader="none" w:pos="1414"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 Such Arbitration may be initiated by written notice from either the Parent Company or Executive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thirty (30) days following completion of the Arbitration.</w:t>
      </w:r>
    </w:p>
    <w:p>
      <w:pPr>
        <w:spacing w:after="0" w:line="181" w:lineRule="exact"/>
        <w:rPr>
          <w:rFonts w:ascii="Times New Roman" w:cs="Times New Roman" w:eastAsia="Times New Roman" w:hAnsi="Times New Roman"/>
          <w:sz w:val="18"/>
          <w:szCs w:val="18"/>
          <w:color w:val="auto"/>
        </w:rPr>
      </w:pPr>
    </w:p>
    <w:p>
      <w:pPr>
        <w:ind w:left="3" w:right="120" w:firstLine="646"/>
        <w:spacing w:after="0" w:line="292" w:lineRule="auto"/>
        <w:tabs>
          <w:tab w:leader="none" w:pos="1404"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Venue and Jurisdiction</w:t>
      </w:r>
      <w:r>
        <w:rPr>
          <w:rFonts w:ascii="Times New Roman" w:cs="Times New Roman" w:eastAsia="Times New Roman" w:hAnsi="Times New Roman"/>
          <w:sz w:val="19"/>
          <w:szCs w:val="19"/>
          <w:color w:val="auto"/>
        </w:rPr>
        <w:t xml:space="preserve">. Any action to compel arbitration hereunder or otherwise relating to this Agreement shall be brought exclusively in either a state court or federal court located in Raleigh, North Carolina,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with respect to an action brought in North Carolina, if a federal court has jurisdiction over the subject matter thereof, then such action shall be brought in federal court, and the Parent Company, the Companies and Executive hereby irrevocably submit with regard to any such action or proceeding for itself and in respect to its property, generally and unconditionally, to the jurisdiction of the aforesaid courts.</w:t>
      </w:r>
    </w:p>
    <w:p>
      <w:pPr>
        <w:spacing w:after="0" w:line="170" w:lineRule="exact"/>
        <w:rPr>
          <w:rFonts w:ascii="Times New Roman" w:cs="Times New Roman" w:eastAsia="Times New Roman" w:hAnsi="Times New Roman"/>
          <w:sz w:val="17"/>
          <w:szCs w:val="17"/>
          <w:color w:val="auto"/>
        </w:rPr>
      </w:pPr>
    </w:p>
    <w:p>
      <w:pPr>
        <w:jc w:val="both"/>
        <w:ind w:left="3" w:firstLine="646"/>
        <w:spacing w:after="0" w:line="282" w:lineRule="auto"/>
        <w:tabs>
          <w:tab w:leader="none" w:pos="1414"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IN THE EVENT OF ANY LITIGATION WITH RESPECT TO ANY MATTER CONNECTED WITH THIS AGREEMENT OR THE AGREEMENTS OR TRANSACTIONS CONTEMPLATED HEREUNDER ALL OF THE PARTIES HERETO WAIVE ALL RIGHTS TO A TRIAL BY JURY.</w:t>
      </w:r>
    </w:p>
    <w:p>
      <w:pPr>
        <w:spacing w:after="0" w:line="175" w:lineRule="exact"/>
        <w:rPr>
          <w:rFonts w:ascii="Times New Roman" w:cs="Times New Roman" w:eastAsia="Times New Roman" w:hAnsi="Times New Roman"/>
          <w:sz w:val="18"/>
          <w:szCs w:val="18"/>
          <w:color w:val="auto"/>
        </w:rPr>
      </w:pPr>
    </w:p>
    <w:p>
      <w:pPr>
        <w:ind w:left="-217" w:firstLine="595"/>
        <w:spacing w:after="0" w:line="271" w:lineRule="auto"/>
        <w:tabs>
          <w:tab w:leader="none" w:pos="142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333333"/>
        </w:rPr>
        <w:t>COOPERATION.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occmTing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occull'ing following termination of Executive's employment, the Company shall reimburse Executive for expenses reasonably incurred in</w:t>
      </w:r>
    </w:p>
    <w:p>
      <w:pPr>
        <w:sectPr>
          <w:pgSz w:w="11900" w:h="16838" w:orient="portrait"/>
          <w:cols w:equalWidth="0" w:num="1">
            <w:col w:w="10663"/>
          </w:cols>
          <w:pgMar w:left="977" w:top="590" w:right="259" w:bottom="1440" w:gutter="0" w:footer="0" w:header="0"/>
        </w:sectPr>
      </w:pPr>
    </w:p>
    <w:bookmarkStart w:id="199" w:name="page200"/>
    <w:bookmarkEnd w:id="199"/>
    <w:p>
      <w:pPr>
        <w:ind w:left="520"/>
        <w:spacing w:after="0" w:line="273" w:lineRule="auto"/>
        <w:rPr>
          <w:sz w:val="20"/>
          <w:szCs w:val="20"/>
          <w:color w:val="auto"/>
        </w:rPr>
      </w:pPr>
      <w:r>
        <w:rPr>
          <w:rFonts w:ascii="Times New Roman" w:cs="Times New Roman" w:eastAsia="Times New Roman" w:hAnsi="Times New Roman"/>
          <w:sz w:val="20"/>
          <w:szCs w:val="20"/>
          <w:color w:val="333333"/>
        </w:rPr>
        <w:t>connection therewith and shall schedule such cooperation to the extent reasonably practicable so as not to unreasonably interfere with Executive's business or personal affairs. Notwithstanding anything to the contrary, in the event the Company requests cooperation from Executive after his employment with the Company has terminated and at a time when Executive is not receiving any severance pay from the Company, Executive shall not be required to devote more than 40 hours of his time per year with respect to this Section 18, except that such 40 hour cap shall not include or apply to any time spent testifying at a deposition or at trial, or spent testifying before or being interviewed by any administrative or regulatory agency.</w:t>
      </w: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333333"/>
        </w:rPr>
        <w:t>Kindly indicate your acceptance of this Agreement by signing and returning a copy of this letter to me.</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Very truly yours,</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James River Group Inc.</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By: ___</w:t>
      </w:r>
      <w:r>
        <w:rPr>
          <w:rFonts w:ascii="Times New Roman" w:cs="Times New Roman" w:eastAsia="Times New Roman" w:hAnsi="Times New Roman"/>
          <w:sz w:val="20"/>
          <w:szCs w:val="20"/>
          <w:u w:val="single" w:color="auto"/>
          <w:color w:val="333333"/>
        </w:rPr>
        <w:t>/s/ Robert P. Myron__________</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Name: Robert P. Myron</w:t>
      </w:r>
    </w:p>
    <w:p>
      <w:pPr>
        <w:ind w:left="4220"/>
        <w:spacing w:after="0"/>
        <w:rPr>
          <w:sz w:val="20"/>
          <w:szCs w:val="20"/>
          <w:color w:val="auto"/>
        </w:rPr>
      </w:pPr>
      <w:r>
        <w:rPr>
          <w:rFonts w:ascii="Times New Roman" w:cs="Times New Roman" w:eastAsia="Times New Roman" w:hAnsi="Times New Roman"/>
          <w:sz w:val="20"/>
          <w:szCs w:val="20"/>
          <w:color w:val="333333"/>
        </w:rPr>
        <w:t>Title: President and Chief Executive Officer</w:t>
      </w:r>
    </w:p>
    <w:p>
      <w:pPr>
        <w:spacing w:after="0" w:line="1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Title: President and Chief Executive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ACCEPTED AND AGREED TO THIS 24</w:t>
      </w:r>
      <w:r>
        <w:rPr>
          <w:rFonts w:ascii="Times New Roman" w:cs="Times New Roman" w:eastAsia="Times New Roman" w:hAnsi="Times New Roman"/>
          <w:sz w:val="25"/>
          <w:szCs w:val="25"/>
          <w:color w:val="333333"/>
          <w:vertAlign w:val="superscript"/>
        </w:rPr>
        <w:t>th</w:t>
      </w:r>
      <w:r>
        <w:rPr>
          <w:rFonts w:ascii="Times New Roman" w:cs="Times New Roman" w:eastAsia="Times New Roman" w:hAnsi="Times New Roman"/>
          <w:sz w:val="20"/>
          <w:szCs w:val="20"/>
          <w:color w:val="333333"/>
        </w:rPr>
        <w:t xml:space="preserve"> DAY O</w:t>
      </w:r>
      <w:r>
        <w:rPr>
          <w:rFonts w:ascii="Times New Roman" w:cs="Times New Roman" w:eastAsia="Times New Roman" w:hAnsi="Times New Roman"/>
          <w:sz w:val="20"/>
          <w:szCs w:val="20"/>
          <w:color w:val="646464"/>
        </w:rPr>
        <w:t>F September,</w:t>
      </w:r>
      <w:r>
        <w:rPr>
          <w:rFonts w:ascii="Times New Roman" w:cs="Times New Roman" w:eastAsia="Times New Roman" w:hAnsi="Times New Roman"/>
          <w:sz w:val="20"/>
          <w:szCs w:val="20"/>
          <w:color w:val="333333"/>
        </w:rPr>
        <w:t xml:space="preserve"> 2018</w:t>
      </w:r>
    </w:p>
    <w:p>
      <w:pPr>
        <w:spacing w:after="0" w:line="1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Stonewood Insurance Company</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Sarah C. Doran__________</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Sarah C. Doran</w:t>
      </w:r>
    </w:p>
    <w:p>
      <w:pPr>
        <w:ind w:left="4220"/>
        <w:spacing w:after="0"/>
        <w:rPr>
          <w:sz w:val="20"/>
          <w:szCs w:val="20"/>
          <w:color w:val="auto"/>
        </w:rPr>
      </w:pPr>
      <w:r>
        <w:rPr>
          <w:rFonts w:ascii="Times New Roman" w:cs="Times New Roman" w:eastAsia="Times New Roman" w:hAnsi="Times New Roman"/>
          <w:sz w:val="20"/>
          <w:szCs w:val="20"/>
          <w:color w:val="auto"/>
        </w:rPr>
        <w:t>Title: Chairman</w:t>
      </w:r>
    </w:p>
    <w:p>
      <w:pPr>
        <w:spacing w:after="0" w:line="1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333333"/>
        </w:rPr>
        <w:t>Falls Lake Insurance Management Company, Inc.</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Sarah C. Doran__________</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Sarah C. Doran</w:t>
      </w:r>
    </w:p>
    <w:p>
      <w:pPr>
        <w:ind w:left="422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333333"/>
        </w:rPr>
        <w:t>Falls Lake National Insurance Company</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Sarah C. Doran__________</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Sarah C. Doran</w:t>
      </w:r>
    </w:p>
    <w:p>
      <w:pPr>
        <w:ind w:left="422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333333"/>
        </w:rPr>
        <w:t>Falls Lake General Insurance Company</w:t>
      </w:r>
    </w:p>
    <w:p>
      <w:pPr>
        <w:spacing w:after="0" w:line="21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Sarah C. Doran__________</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Sarah C. Doran</w:t>
      </w:r>
    </w:p>
    <w:p>
      <w:pPr>
        <w:ind w:left="4220"/>
        <w:spacing w:after="0"/>
        <w:rPr>
          <w:sz w:val="20"/>
          <w:szCs w:val="20"/>
          <w:color w:val="auto"/>
        </w:rPr>
      </w:pPr>
      <w:r>
        <w:rPr>
          <w:rFonts w:ascii="Times New Roman" w:cs="Times New Roman" w:eastAsia="Times New Roman" w:hAnsi="Times New Roman"/>
          <w:sz w:val="20"/>
          <w:szCs w:val="20"/>
          <w:color w:val="auto"/>
        </w:rPr>
        <w:t>Title: Chairman</w:t>
      </w:r>
    </w:p>
    <w:p>
      <w:pPr>
        <w:sectPr>
          <w:pgSz w:w="11900" w:h="16838" w:orient="portrait"/>
          <w:cols w:equalWidth="0" w:num="1">
            <w:col w:w="11360"/>
          </w:cols>
          <w:pgMar w:left="240" w:top="589" w:right="299" w:bottom="1440" w:gutter="0" w:footer="0" w:header="0"/>
        </w:sectPr>
      </w:pPr>
    </w:p>
    <w:bookmarkStart w:id="200" w:name="page201"/>
    <w:bookmarkEnd w:id="200"/>
    <w:p>
      <w:pPr>
        <w:ind w:left="3020"/>
        <w:spacing w:after="0"/>
        <w:rPr>
          <w:sz w:val="20"/>
          <w:szCs w:val="20"/>
          <w:color w:val="auto"/>
        </w:rPr>
      </w:pPr>
      <w:r>
        <w:rPr>
          <w:rFonts w:ascii="Times New Roman" w:cs="Times New Roman" w:eastAsia="Times New Roman" w:hAnsi="Times New Roman"/>
          <w:sz w:val="20"/>
          <w:szCs w:val="20"/>
          <w:color w:val="333333"/>
        </w:rPr>
        <w:t>Falls Lake Fire and Casualty Company</w:t>
      </w:r>
    </w:p>
    <w:p>
      <w:pPr>
        <w:spacing w:after="0" w:line="2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Sarah C. Doran__________</w:t>
      </w:r>
    </w:p>
    <w:p>
      <w:pPr>
        <w:spacing w:after="0" w:line="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Sarah C. Doran</w:t>
      </w:r>
    </w:p>
    <w:p>
      <w:pPr>
        <w:ind w:left="302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0" w:lineRule="exact"/>
        <w:rPr>
          <w:sz w:val="20"/>
          <w:szCs w:val="20"/>
          <w:color w:val="auto"/>
        </w:rPr>
      </w:pPr>
    </w:p>
    <w:p>
      <w:pPr>
        <w:spacing w:after="0" w:line="21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________</w:t>
      </w:r>
      <w:r>
        <w:rPr>
          <w:rFonts w:ascii="Times New Roman" w:cs="Times New Roman" w:eastAsia="Times New Roman" w:hAnsi="Times New Roman"/>
          <w:sz w:val="19"/>
          <w:szCs w:val="19"/>
          <w:u w:val="single" w:color="auto"/>
          <w:color w:val="auto"/>
        </w:rPr>
        <w:t>/s/ Terry McCafferty_________</w:t>
      </w:r>
    </w:p>
    <w:p>
      <w:pPr>
        <w:spacing w:after="0" w:line="3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Terry McCafferty</w:t>
      </w:r>
    </w:p>
    <w:p>
      <w:pPr>
        <w:sectPr>
          <w:pgSz w:w="11900" w:h="16838" w:orient="portrait"/>
          <w:cols w:equalWidth="0" w:num="1">
            <w:col w:w="9019"/>
          </w:cols>
          <w:pgMar w:left="1440" w:top="576" w:right="1440" w:bottom="1440" w:gutter="0" w:footer="0" w:header="0"/>
        </w:sectPr>
      </w:pPr>
    </w:p>
    <w:bookmarkStart w:id="201" w:name="page202"/>
    <w:bookmarkEnd w:id="20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James River Group, Inc</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1414 Raleigh Road, Suite 405,</w:t>
      </w:r>
    </w:p>
    <w:p>
      <w:pPr>
        <w:jc w:val="center"/>
        <w:ind w:right="-119"/>
        <w:spacing w:after="0"/>
        <w:rPr>
          <w:sz w:val="20"/>
          <w:szCs w:val="20"/>
          <w:color w:val="auto"/>
        </w:rPr>
      </w:pPr>
      <w:r>
        <w:rPr>
          <w:rFonts w:ascii="Times New Roman" w:cs="Times New Roman" w:eastAsia="Times New Roman" w:hAnsi="Times New Roman"/>
          <w:sz w:val="20"/>
          <w:szCs w:val="20"/>
          <w:color w:val="auto"/>
        </w:rPr>
        <w:t>Chapel Hill, NC 27517</w:t>
      </w:r>
    </w:p>
    <w:p>
      <w:pPr>
        <w:spacing w:after="0" w:line="200" w:lineRule="exact"/>
        <w:rPr>
          <w:sz w:val="20"/>
          <w:szCs w:val="20"/>
          <w:color w:val="auto"/>
        </w:rPr>
      </w:pPr>
    </w:p>
    <w:p>
      <w:pPr>
        <w:spacing w:after="0" w:line="21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October 12,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Terry McCafferty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Terry:</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is to confirm that the Effective Date of your employment, as set forth in the Employment Agreement dated September 17, 2018, has been changed from October 15, 2018 to October 22, 2018. Please confirm your agreement with the foregoing by signing and returning a copy of this letter.</w:t>
      </w:r>
    </w:p>
    <w:p>
      <w:pPr>
        <w:spacing w:after="0" w:line="200" w:lineRule="exact"/>
        <w:rPr>
          <w:sz w:val="20"/>
          <w:szCs w:val="20"/>
          <w:color w:val="auto"/>
        </w:rPr>
      </w:pPr>
    </w:p>
    <w:p>
      <w:pPr>
        <w:spacing w:after="0" w:line="2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James River Group, Inc.</w:t>
      </w:r>
    </w:p>
    <w:p>
      <w:pPr>
        <w:spacing w:after="0" w:line="200" w:lineRule="exact"/>
        <w:rPr>
          <w:sz w:val="20"/>
          <w:szCs w:val="20"/>
          <w:color w:val="auto"/>
        </w:rPr>
      </w:pPr>
    </w:p>
    <w:p>
      <w:pPr>
        <w:spacing w:after="0" w:line="2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_____</w:t>
      </w:r>
      <w:r>
        <w:rPr>
          <w:rFonts w:ascii="Times New Roman" w:cs="Times New Roman" w:eastAsia="Times New Roman" w:hAnsi="Times New Roman"/>
          <w:sz w:val="20"/>
          <w:szCs w:val="20"/>
          <w:u w:val="single" w:color="auto"/>
          <w:color w:val="auto"/>
        </w:rPr>
        <w:t>/s/ Robert P. Myron__________</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 Robert P. Myron</w:t>
      </w:r>
    </w:p>
    <w:p>
      <w:pPr>
        <w:ind w:left="4380"/>
        <w:spacing w:after="0"/>
        <w:tabs>
          <w:tab w:leader="none" w:pos="5020" w:val="left"/>
        </w:tabs>
        <w:rPr>
          <w:sz w:val="20"/>
          <w:szCs w:val="20"/>
          <w:color w:val="auto"/>
        </w:rPr>
      </w:pPr>
      <w:r>
        <w:rPr>
          <w:rFonts w:ascii="Times New Roman" w:cs="Times New Roman" w:eastAsia="Times New Roman" w:hAnsi="Times New Roman"/>
          <w:sz w:val="20"/>
          <w:szCs w:val="20"/>
          <w:color w:val="auto"/>
        </w:rPr>
        <w:t>Title:</w:t>
        <w:tab/>
        <w:t>Chairman and Chief Executive Officer</w:t>
      </w: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Confirmed and Agreed:</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w:t>
      </w:r>
      <w:r>
        <w:rPr>
          <w:rFonts w:ascii="Times New Roman" w:cs="Times New Roman" w:eastAsia="Times New Roman" w:hAnsi="Times New Roman"/>
          <w:sz w:val="20"/>
          <w:szCs w:val="20"/>
          <w:u w:val="single" w:color="auto"/>
          <w:color w:val="auto"/>
        </w:rPr>
        <w:t>/s/ Terry McCafferty_______</w:t>
      </w:r>
    </w:p>
    <w:p>
      <w:pPr>
        <w:spacing w:after="0" w:line="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Terry McCafferty</w:t>
      </w:r>
    </w:p>
    <w:p>
      <w:pPr>
        <w:sectPr>
          <w:pgSz w:w="11900" w:h="16838" w:orient="portrait"/>
          <w:cols w:equalWidth="0" w:num="1">
            <w:col w:w="11320"/>
          </w:cols>
          <w:pgMar w:left="240" w:top="801"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b w:val="1"/>
          <w:bCs w:val="1"/>
          <w:color w:val="auto"/>
        </w:rPr>
        <w:t>Exhibit 10.31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JRG Reinsurance Company, Ltd.</w:t>
      </w:r>
    </w:p>
    <w:p>
      <w:pPr>
        <w:jc w:val="center"/>
        <w:spacing w:after="0" w:line="213" w:lineRule="auto"/>
        <w:rPr>
          <w:sz w:val="20"/>
          <w:szCs w:val="20"/>
          <w:color w:val="auto"/>
        </w:rPr>
      </w:pPr>
      <w:r>
        <w:rPr>
          <w:rFonts w:ascii="Times New Roman" w:cs="Times New Roman" w:eastAsia="Times New Roman" w:hAnsi="Times New Roman"/>
          <w:sz w:val="20"/>
          <w:szCs w:val="20"/>
          <w:color w:val="auto"/>
        </w:rPr>
        <w:t>Wellesley House,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Floor</w:t>
      </w:r>
    </w:p>
    <w:p>
      <w:pPr>
        <w:jc w:val="center"/>
        <w:spacing w:after="0"/>
        <w:rPr>
          <w:sz w:val="20"/>
          <w:szCs w:val="20"/>
          <w:color w:val="auto"/>
        </w:rPr>
      </w:pPr>
      <w:r>
        <w:rPr>
          <w:rFonts w:ascii="Times New Roman" w:cs="Times New Roman" w:eastAsia="Times New Roman" w:hAnsi="Times New Roman"/>
          <w:sz w:val="20"/>
          <w:szCs w:val="20"/>
          <w:color w:val="auto"/>
        </w:rPr>
        <w:t>90 Pitts Bay Road</w:t>
      </w:r>
    </w:p>
    <w:p>
      <w:pPr>
        <w:jc w:val="center"/>
        <w:spacing w:after="0"/>
        <w:rPr>
          <w:sz w:val="20"/>
          <w:szCs w:val="20"/>
          <w:color w:val="auto"/>
        </w:rPr>
      </w:pPr>
      <w:r>
        <w:rPr>
          <w:rFonts w:ascii="Times New Roman" w:cs="Times New Roman" w:eastAsia="Times New Roman" w:hAnsi="Times New Roman"/>
          <w:sz w:val="20"/>
          <w:szCs w:val="20"/>
          <w:color w:val="auto"/>
        </w:rPr>
        <w:t>Pembroke HM 08 Bermuda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April 5, 2018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Daniel Heinlein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Daniel:</w:t>
      </w:r>
    </w:p>
    <w:p>
      <w:pPr>
        <w:spacing w:after="0" w:line="2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9"/>
          <w:szCs w:val="19"/>
          <w:color w:val="auto"/>
        </w:rPr>
        <w:t>The purpose of this letter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to confirm that we have agreed to amend and restate as of the Effective Date (as hereinafter defined) our prior agreement with respect to the terms of your employment by JRG Reinsurance Company, Ltd.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In consideration of the mutual promises contained in this Agreement, the parties to this Agreement hereby agree as follows:</w:t>
      </w:r>
    </w:p>
    <w:p>
      <w:pPr>
        <w:spacing w:after="0" w:line="194" w:lineRule="exact"/>
        <w:rPr>
          <w:sz w:val="20"/>
          <w:szCs w:val="20"/>
          <w:color w:val="auto"/>
        </w:rPr>
      </w:pPr>
    </w:p>
    <w:p>
      <w:pPr>
        <w:ind w:right="60" w:firstLine="656"/>
        <w:spacing w:after="0" w:line="272" w:lineRule="auto"/>
        <w:tabs>
          <w:tab w:leader="none" w:pos="143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EMPLOYMENT AND TERM</w:t>
      </w:r>
      <w:r>
        <w:rPr>
          <w:rFonts w:ascii="Times New Roman" w:cs="Times New Roman" w:eastAsia="Times New Roman" w:hAnsi="Times New Roman"/>
          <w:sz w:val="20"/>
          <w:szCs w:val="20"/>
          <w:color w:val="auto"/>
        </w:rPr>
        <w:t>. Effective as of April 1, 2018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Company agrees to employ you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as Chief Executive Officer and President, subject to Bermuda Department of Immigration approval. Executive hereby accepts such employment on the terms hereinafter set forth. The term of this Agreement shall be one year commencing as of the Effective Date and ending on the date immediately preceding the first anniversary of the Effective Date, subject to the termination provisions of Section 6. The term of this Agreement shall thereafter be automatically renewed for additional one year periods unless written notice to the contrary shall be given by either party to the other not less than sixty (60) days prior to the end of the initial or any renewal term that the term shall not thereafter be renewed (“</w:t>
      </w:r>
      <w:r>
        <w:rPr>
          <w:rFonts w:ascii="Times New Roman" w:cs="Times New Roman" w:eastAsia="Times New Roman" w:hAnsi="Times New Roman"/>
          <w:sz w:val="20"/>
          <w:szCs w:val="20"/>
          <w:u w:val="single" w:color="auto"/>
          <w:color w:val="auto"/>
        </w:rPr>
        <w:t>Non-Renewal Notice</w:t>
      </w:r>
      <w:r>
        <w:rPr>
          <w:rFonts w:ascii="Times New Roman" w:cs="Times New Roman" w:eastAsia="Times New Roman" w:hAnsi="Times New Roman"/>
          <w:sz w:val="20"/>
          <w:szCs w:val="20"/>
          <w:color w:val="auto"/>
        </w:rPr>
        <w:t>”), subject to the termination provisions of Section 6. The initial term plus any renewals thereof shall hereafter be referred to as the “Term.”</w:t>
      </w:r>
    </w:p>
    <w:p>
      <w:pPr>
        <w:spacing w:after="0" w:line="197"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18"/>
          <w:szCs w:val="18"/>
          <w:color w:val="auto"/>
        </w:rPr>
      </w:pPr>
    </w:p>
    <w:p>
      <w:pPr>
        <w:ind w:left="660" w:right="60" w:firstLine="645"/>
        <w:spacing w:after="0" w:line="297" w:lineRule="auto"/>
        <w:tabs>
          <w:tab w:leader="none" w:pos="215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During the Term Executive shall be paid a base salary of not less than three hundred twenty thousand dollars ($320,000) per year, payable in periodic installments in accordance with the Company’s normal payroll practices.</w:t>
      </w:r>
    </w:p>
    <w:p>
      <w:pPr>
        <w:spacing w:after="0" w:line="173" w:lineRule="exact"/>
        <w:rPr>
          <w:rFonts w:ascii="Times New Roman" w:cs="Times New Roman" w:eastAsia="Times New Roman" w:hAnsi="Times New Roman"/>
          <w:sz w:val="18"/>
          <w:szCs w:val="18"/>
          <w:color w:val="auto"/>
        </w:rPr>
      </w:pPr>
    </w:p>
    <w:p>
      <w:pPr>
        <w:ind w:left="660" w:right="60" w:firstLine="645"/>
        <w:spacing w:after="0" w:line="277" w:lineRule="auto"/>
        <w:tabs>
          <w:tab w:leader="none" w:pos="216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Executive shall be eligible to receive such discretionary bonuses as the Board of Directors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James River Group Holdings, Ltd.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(other than Executive, if Executive is a member of the Board), in its discretion, may determine based on Executive’s performance during each fiscal year during the Term, which shall be paid on or before March 15 of the subsequent fiscal year.</w:t>
      </w:r>
    </w:p>
    <w:p>
      <w:pPr>
        <w:spacing w:after="0" w:line="194" w:lineRule="exact"/>
        <w:rPr>
          <w:rFonts w:ascii="Times New Roman" w:cs="Times New Roman" w:eastAsia="Times New Roman" w:hAnsi="Times New Roman"/>
          <w:sz w:val="18"/>
          <w:szCs w:val="18"/>
          <w:color w:val="auto"/>
        </w:rPr>
      </w:pPr>
    </w:p>
    <w:p>
      <w:pPr>
        <w:jc w:val="both"/>
        <w:ind w:left="660" w:right="80" w:firstLine="645"/>
        <w:spacing w:after="0" w:line="282" w:lineRule="auto"/>
        <w:tabs>
          <w:tab w:leader="none" w:pos="215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Vacation, Benefits</w:t>
      </w:r>
      <w:r>
        <w:rPr>
          <w:rFonts w:ascii="Times New Roman" w:cs="Times New Roman" w:eastAsia="Times New Roman" w:hAnsi="Times New Roman"/>
          <w:sz w:val="20"/>
          <w:szCs w:val="20"/>
          <w:color w:val="auto"/>
        </w:rPr>
        <w:t>. Executive shall also be entitled, during the Term, to participate in all employee benefit plans and other fringe benefits or plans of the Company generally available to executive employees of the Holdings Group (as defined below) or generally available to the Company’s Bermuda-based executive employees, at the Company’s expense, including:</w:t>
      </w:r>
    </w:p>
    <w:p>
      <w:pPr>
        <w:spacing w:after="0" w:line="188" w:lineRule="exact"/>
        <w:rPr>
          <w:rFonts w:ascii="Times New Roman" w:cs="Times New Roman" w:eastAsia="Times New Roman" w:hAnsi="Times New Roman"/>
          <w:sz w:val="18"/>
          <w:szCs w:val="18"/>
          <w:color w:val="auto"/>
        </w:rPr>
      </w:pPr>
    </w:p>
    <w:p>
      <w:pPr>
        <w:ind w:left="660" w:right="260" w:firstLine="1293"/>
        <w:spacing w:after="0" w:line="297" w:lineRule="auto"/>
        <w:tabs>
          <w:tab w:leader="none" w:pos="2775"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total of five (5) weeks of paid vacation per annum (subject to the Company’s carry over policies), which will be pro-rated for the first and last year of the Term.</w:t>
      </w:r>
    </w:p>
    <w:p>
      <w:pPr>
        <w:spacing w:after="0" w:line="173" w:lineRule="exact"/>
        <w:rPr>
          <w:rFonts w:ascii="Times New Roman" w:cs="Times New Roman" w:eastAsia="Times New Roman" w:hAnsi="Times New Roman"/>
          <w:sz w:val="18"/>
          <w:szCs w:val="18"/>
          <w:color w:val="auto"/>
        </w:rPr>
      </w:pPr>
    </w:p>
    <w:p>
      <w:pPr>
        <w:ind w:left="660" w:firstLine="1293"/>
        <w:spacing w:after="0" w:line="273" w:lineRule="auto"/>
        <w:tabs>
          <w:tab w:leader="none" w:pos="2825"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business expense reimbursement for all reasonable business expenses upon the presentation of reasonably itemized statements of such expenses in accordance with the Company’s policies and procedures. The amount of expenses eligible for reimbursement during any tax year of Executive shall not affect the expenses eligible for reimbursement in any other tax year. The right to reimbursement provided in this Agreement is not subject to liquidation or exchange for another benefit. In no event shall the reimbursement of an eligible expense occur later than the earlier of (i) six (6) months from the date of incurrence and (ii) the end of the calendar year following the calendar year in which such expense was incurred.</w:t>
      </w:r>
    </w:p>
    <w:p>
      <w:pPr>
        <w:sectPr>
          <w:pgSz w:w="11900" w:h="16838" w:orient="portrait"/>
          <w:cols w:equalWidth="0" w:num="1">
            <w:col w:w="11420"/>
          </w:cols>
          <w:pgMar w:left="240" w:top="572" w:right="239" w:bottom="1440" w:gutter="0" w:footer="0" w:header="0"/>
        </w:sectPr>
      </w:pPr>
    </w:p>
    <w:bookmarkStart w:id="203" w:name="page204"/>
    <w:bookmarkEnd w:id="203"/>
    <w:p>
      <w:pPr>
        <w:ind w:left="4" w:firstLine="1293"/>
        <w:spacing w:after="0" w:line="272" w:lineRule="auto"/>
        <w:tabs>
          <w:tab w:leader="none" w:pos="2219"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tax equalization payments pursuant to the Company’s tax equalization policies (“</w:t>
      </w:r>
      <w:r>
        <w:rPr>
          <w:rFonts w:ascii="Times New Roman" w:cs="Times New Roman" w:eastAsia="Times New Roman" w:hAnsi="Times New Roman"/>
          <w:sz w:val="20"/>
          <w:szCs w:val="20"/>
          <w:u w:val="single" w:color="auto"/>
          <w:color w:val="auto"/>
        </w:rPr>
        <w:t>Tax Equalization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Policies</w:t>
      </w:r>
      <w:r>
        <w:rPr>
          <w:rFonts w:ascii="Times New Roman" w:cs="Times New Roman" w:eastAsia="Times New Roman" w:hAnsi="Times New Roman"/>
          <w:sz w:val="20"/>
          <w:szCs w:val="20"/>
          <w:color w:val="auto"/>
        </w:rPr>
        <w:t>”), provided that such tax equalization payments shall be made no later than the end of the second calendar year after the year in which the Executive’s income tax return is required to be filed (including any extensions) for the year to which the compensation subject to the tax equalization payment relates, or, if later, the second calendar year beginning after the latest year in which the Executive’s foreign tax return or payment is required to be filed or made for the year to which the compensation subject to the tax equalization payment relates, and further provided that if the right to such tax equalization proceeds arises as a result of audit, litigation, or similar proceeding, such tax equalization payments are scheduled and made in accordance with the tax gross-up payment provisions of Treas. Reg. §1.409A-3(i)(1)(v).</w:t>
      </w:r>
    </w:p>
    <w:p>
      <w:pPr>
        <w:spacing w:after="0" w:line="197" w:lineRule="exact"/>
        <w:rPr>
          <w:rFonts w:ascii="Times New Roman" w:cs="Times New Roman" w:eastAsia="Times New Roman" w:hAnsi="Times New Roman"/>
          <w:sz w:val="18"/>
          <w:szCs w:val="18"/>
          <w:color w:val="auto"/>
        </w:rPr>
      </w:pPr>
    </w:p>
    <w:p>
      <w:pPr>
        <w:ind w:left="4" w:right="80" w:firstLine="645"/>
        <w:spacing w:after="0" w:line="273" w:lineRule="auto"/>
        <w:tabs>
          <w:tab w:leader="none" w:pos="15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Housing Expense</w:t>
      </w:r>
      <w:r>
        <w:rPr>
          <w:rFonts w:ascii="Times New Roman" w:cs="Times New Roman" w:eastAsia="Times New Roman" w:hAnsi="Times New Roman"/>
          <w:sz w:val="20"/>
          <w:szCs w:val="20"/>
          <w:color w:val="auto"/>
        </w:rPr>
        <w:t>. The Company shall reimburse Executive for up to $12,000 per month for Executive’s “Housing Expense.” For purposes of this provision, “Housing Expense” means the rent, all utility expenses and renters insurance paid by Executive for a residence in Bermuda for each month during the Term in which Executive resides in such residence for the entire month, provided that Executive provides a copy of the lease and any other documentation relating to such rent payments as requested by the Company. Such Housing Expense reimbursement payments will be made by the end of the month following the month in which documentation of rent and other payments are provided to the Company.</w:t>
      </w:r>
    </w:p>
    <w:p>
      <w:pPr>
        <w:spacing w:after="0" w:line="199" w:lineRule="exact"/>
        <w:rPr>
          <w:rFonts w:ascii="Times New Roman" w:cs="Times New Roman" w:eastAsia="Times New Roman" w:hAnsi="Times New Roman"/>
          <w:sz w:val="18"/>
          <w:szCs w:val="18"/>
          <w:color w:val="auto"/>
        </w:rPr>
      </w:pPr>
    </w:p>
    <w:p>
      <w:pPr>
        <w:ind w:left="4" w:right="80" w:firstLine="645"/>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Withholdings and Deductions</w:t>
      </w:r>
      <w:r>
        <w:rPr>
          <w:rFonts w:ascii="Times New Roman" w:cs="Times New Roman" w:eastAsia="Times New Roman" w:hAnsi="Times New Roman"/>
          <w:sz w:val="20"/>
          <w:szCs w:val="20"/>
          <w:color w:val="auto"/>
        </w:rPr>
        <w:t>. All payments and compensation under this Agreement shall be subject to all required federal, state and local withholdings and deductions, and such deductions as Executive may instruct the Company to take that are authorized by applicable law.</w:t>
      </w:r>
    </w:p>
    <w:p>
      <w:pPr>
        <w:spacing w:after="0" w:line="188" w:lineRule="exact"/>
        <w:rPr>
          <w:rFonts w:ascii="Times New Roman" w:cs="Times New Roman" w:eastAsia="Times New Roman" w:hAnsi="Times New Roman"/>
          <w:sz w:val="18"/>
          <w:szCs w:val="18"/>
          <w:color w:val="auto"/>
        </w:rPr>
      </w:pPr>
    </w:p>
    <w:p>
      <w:pPr>
        <w:ind w:left="4" w:right="60" w:firstLine="645"/>
        <w:spacing w:after="0" w:line="275" w:lineRule="auto"/>
        <w:tabs>
          <w:tab w:leader="none" w:pos="14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Executive acknowledges that to the extent required by applicable law or written company policy adopted by the Board to implement the requirements of such law (including without limitation Section 304 of the Sarbanes Oxley Act and Section 954 of the Dodd Frank Act), any bonus and other incentive compensation (if any) shall be subject to any clawback, forfeiture, recoupment or similar requirement as the Board may determine in its sole discretion is necessary or desirable to implement such law or policy.</w:t>
      </w:r>
    </w:p>
    <w:p>
      <w:pPr>
        <w:spacing w:after="0" w:line="195" w:lineRule="exact"/>
        <w:rPr>
          <w:rFonts w:ascii="Times New Roman" w:cs="Times New Roman" w:eastAsia="Times New Roman" w:hAnsi="Times New Roman"/>
          <w:sz w:val="18"/>
          <w:szCs w:val="18"/>
          <w:color w:val="auto"/>
        </w:rPr>
      </w:pPr>
    </w:p>
    <w:p>
      <w:pPr>
        <w:ind w:left="-656" w:right="120" w:firstLine="656"/>
        <w:spacing w:after="0" w:line="272" w:lineRule="auto"/>
        <w:tabs>
          <w:tab w:leader="none" w:pos="7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DUTIES</w:t>
      </w:r>
      <w:r>
        <w:rPr>
          <w:rFonts w:ascii="Times New Roman" w:cs="Times New Roman" w:eastAsia="Times New Roman" w:hAnsi="Times New Roman"/>
          <w:sz w:val="20"/>
          <w:szCs w:val="20"/>
          <w:color w:val="auto"/>
        </w:rPr>
        <w:t>. Executive shall perform all duties normally associated with the positions of Chief Executive Officer and President and such other reasonable duties as may be assigned to him by the Chief Executive Officer of Holdings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Executive shall report solely and directly to the CEO and to the Board of Directors of the Company (“</w:t>
      </w:r>
      <w:r>
        <w:rPr>
          <w:rFonts w:ascii="Times New Roman" w:cs="Times New Roman" w:eastAsia="Times New Roman" w:hAnsi="Times New Roman"/>
          <w:sz w:val="20"/>
          <w:szCs w:val="20"/>
          <w:u w:val="single" w:color="auto"/>
          <w:color w:val="auto"/>
        </w:rPr>
        <w:t>Company Board</w:t>
      </w:r>
      <w:r>
        <w:rPr>
          <w:rFonts w:ascii="Times New Roman" w:cs="Times New Roman" w:eastAsia="Times New Roman" w:hAnsi="Times New Roman"/>
          <w:sz w:val="20"/>
          <w:szCs w:val="20"/>
          <w:color w:val="auto"/>
        </w:rPr>
        <w:t>”). Executive will devote his entire working time, attention, and energies to carrying out and fulfilling his duties and responsibilities under this Agreement. Executive agrees to abide by all policies applicable to employees of the Holdings Group (as defined below) adopted by the Board. Executive’s duties will be performed at the Company’s offices in Bermuda in accordance with the Company’s operating guidelines, and Executive represents that he is able and willing to engage in international travel as is necessary to perform his duties as Chief Executive Officer and President and to further the Company’s business interests.</w:t>
      </w:r>
    </w:p>
    <w:p>
      <w:pPr>
        <w:spacing w:after="0" w:line="197"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CONFIDENTIAL INFORMATION AND PRIVILEGED INFORMATION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 will not at any time during the Term or thereafter:</w:t>
      </w:r>
    </w:p>
    <w:p>
      <w:pPr>
        <w:spacing w:after="0" w:line="256" w:lineRule="exact"/>
        <w:rPr>
          <w:rFonts w:ascii="Times New Roman" w:cs="Times New Roman" w:eastAsia="Times New Roman" w:hAnsi="Times New Roman"/>
          <w:sz w:val="18"/>
          <w:szCs w:val="18"/>
          <w:color w:val="auto"/>
        </w:rPr>
      </w:pPr>
    </w:p>
    <w:p>
      <w:pPr>
        <w:ind w:left="4" w:right="20" w:firstLine="1293"/>
        <w:spacing w:after="0" w:line="272" w:lineRule="auto"/>
        <w:tabs>
          <w:tab w:leader="none" w:pos="2119"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reveal, divulge, or make known to any person, firm, or corporation or use for his personal benefit or the benefit of others (except the Company, Holdings and each of Holdings’ direct and indirect subsidiaries (hereinafter referred to collectively as “</w:t>
      </w:r>
      <w:r>
        <w:rPr>
          <w:rFonts w:ascii="Times New Roman" w:cs="Times New Roman" w:eastAsia="Times New Roman" w:hAnsi="Times New Roman"/>
          <w:sz w:val="20"/>
          <w:szCs w:val="20"/>
          <w:u w:val="single" w:color="auto"/>
          <w:color w:val="auto"/>
        </w:rPr>
        <w:t>Affiliates</w:t>
      </w:r>
      <w:r>
        <w:rPr>
          <w:rFonts w:ascii="Times New Roman" w:cs="Times New Roman" w:eastAsia="Times New Roman" w:hAnsi="Times New Roman"/>
          <w:sz w:val="20"/>
          <w:szCs w:val="20"/>
          <w:color w:val="auto"/>
        </w:rPr>
        <w:t>,” and the Company, Holdings and such Affiliates collectively, the “</w:t>
      </w:r>
      <w:r>
        <w:rPr>
          <w:rFonts w:ascii="Times New Roman" w:cs="Times New Roman" w:eastAsia="Times New Roman" w:hAnsi="Times New Roman"/>
          <w:sz w:val="20"/>
          <w:szCs w:val="20"/>
          <w:u w:val="single" w:color="auto"/>
          <w:color w:val="auto"/>
        </w:rPr>
        <w:t>Holdings Group</w:t>
      </w:r>
      <w:r>
        <w:rPr>
          <w:rFonts w:ascii="Times New Roman" w:cs="Times New Roman" w:eastAsia="Times New Roman" w:hAnsi="Times New Roman"/>
          <w:sz w:val="20"/>
          <w:szCs w:val="20"/>
          <w:color w:val="auto"/>
        </w:rPr>
        <w:t>”)), directly or indirectly, any confidential or proprietary information received or developed by him during the course of his employment. For the purposes of this Section 4(a)(i) confidential and proprietary information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shall be defined to mean (1) all historical and pro forma projections of loss ratios incurred by the Holdings Group; (2) all historical and pro forma actuarial data relating to the Holdings Group; (3) historical and pro forma financial results, revenue statements, and projections for the Holdings Group; (4) all information relating to the</w:t>
      </w:r>
    </w:p>
    <w:p>
      <w:pPr>
        <w:sectPr>
          <w:pgSz w:w="11900" w:h="16838" w:orient="portrait"/>
          <w:cols w:equalWidth="0" w:num="1">
            <w:col w:w="10764"/>
          </w:cols>
          <w:pgMar w:left="896" w:top="590" w:right="239" w:bottom="1440" w:gutter="0" w:footer="0" w:header="0"/>
        </w:sectPr>
      </w:pPr>
    </w:p>
    <w:bookmarkStart w:id="204" w:name="page205"/>
    <w:bookmarkEnd w:id="204"/>
    <w:p>
      <w:pPr>
        <w:ind w:left="4" w:right="80"/>
        <w:spacing w:after="0" w:line="282" w:lineRule="auto"/>
        <w:rPr>
          <w:sz w:val="20"/>
          <w:szCs w:val="20"/>
          <w:color w:val="auto"/>
        </w:rPr>
      </w:pPr>
      <w:r>
        <w:rPr>
          <w:rFonts w:ascii="Times New Roman" w:cs="Times New Roman" w:eastAsia="Times New Roman" w:hAnsi="Times New Roman"/>
          <w:sz w:val="19"/>
          <w:szCs w:val="19"/>
          <w:color w:val="auto"/>
        </w:rPr>
        <w:t>Holdings Group’s systems and software (other than the portion thereof provided by the vendor to all purchasers of such systems and software); (5) all information relating to the Company’s unique underwriting approach; (6) all information relating to plans for, or internal or external discussions regarding, acquisitions of or mergers with any business or line of business; (7) non-public business plans; (8) all other information relating to the financial, business, or other affairs of the Holdings Group including their customers; and</w:t>
      </w:r>
    </w:p>
    <w:p>
      <w:pPr>
        <w:spacing w:after="0" w:line="1" w:lineRule="exact"/>
        <w:rPr>
          <w:sz w:val="20"/>
          <w:szCs w:val="20"/>
          <w:color w:val="auto"/>
        </w:rPr>
      </w:pPr>
    </w:p>
    <w:p>
      <w:pPr>
        <w:ind w:left="4" w:hanging="4"/>
        <w:spacing w:after="0" w:line="274" w:lineRule="auto"/>
        <w:tabs>
          <w:tab w:leader="none" w:pos="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about any shareholder of Holdings or any of its Affiliates, or any of the officers or employees of any member of the Holdings Group, that has been furnished or made available to Executive as a result of his position with the Company. Section 4(a)(i) shall not apply to Executive following the termination of his employment with the Company with respect to any Confidential Information known or made generally available to the general public or within the industry by persons other than Executive or a person acting with or at the request of Executive; or</w:t>
      </w:r>
    </w:p>
    <w:p>
      <w:pPr>
        <w:spacing w:after="0" w:line="197" w:lineRule="exact"/>
        <w:rPr>
          <w:rFonts w:ascii="Times New Roman" w:cs="Times New Roman" w:eastAsia="Times New Roman" w:hAnsi="Times New Roman"/>
          <w:sz w:val="20"/>
          <w:szCs w:val="20"/>
          <w:color w:val="auto"/>
        </w:rPr>
      </w:pPr>
    </w:p>
    <w:p>
      <w:pPr>
        <w:ind w:left="4" w:firstLine="1293"/>
        <w:spacing w:after="0" w:line="272" w:lineRule="auto"/>
        <w:tabs>
          <w:tab w:leader="none" w:pos="21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reveal, divulge, or make known to any person, firm, or corporation, or use for his personal benefit or the benefit of others (except the Holdings Group), directly or indirectly, the name or names of any Customers (as defined in Section 5 below) of the Holdings Group, nor will he reveal, divulge, or make known to any person, firm, or corporation or use for his personal benefit or the benefit of others (except the Holdings Group), directly or indirectly, any trade secrets or any knowledge or information concerning any business methods or operational procedures engaged in by the Holdings Group (collectively, “</w:t>
      </w:r>
      <w:r>
        <w:rPr>
          <w:rFonts w:ascii="Times New Roman" w:cs="Times New Roman" w:eastAsia="Times New Roman" w:hAnsi="Times New Roman"/>
          <w:sz w:val="20"/>
          <w:szCs w:val="20"/>
          <w:u w:val="single" w:color="auto"/>
          <w:color w:val="auto"/>
        </w:rPr>
        <w:t>Privileged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restrictions set forth in this Section 4(a)(ii) shall not apply to Executive following the termination of his employment with the Company with respect to any Privileged Information known or made generally available to the general public or within the industry by persons other than Executive or a person acting with or at the request of Executive.</w:t>
      </w:r>
    </w:p>
    <w:p>
      <w:pPr>
        <w:spacing w:after="0" w:line="197" w:lineRule="exact"/>
        <w:rPr>
          <w:sz w:val="20"/>
          <w:szCs w:val="20"/>
          <w:color w:val="auto"/>
        </w:rPr>
      </w:pPr>
    </w:p>
    <w:p>
      <w:pPr>
        <w:ind w:left="784" w:hanging="784"/>
        <w:spacing w:after="0"/>
        <w:tabs>
          <w:tab w:leader="none" w:pos="7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18"/>
          <w:szCs w:val="18"/>
          <w:color w:val="auto"/>
        </w:rPr>
      </w:pPr>
    </w:p>
    <w:p>
      <w:pPr>
        <w:ind w:left="4" w:right="140" w:firstLine="645"/>
        <w:spacing w:after="0" w:line="289" w:lineRule="auto"/>
        <w:tabs>
          <w:tab w:leader="none" w:pos="150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Executive acknowledges and agrees that as the Company’s Chief Executive Officer and President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he will be responsible for and directly involved in developing customer goodwill and relationships for the benefit of the Holdings Group, including personal contact with customers and supervising others who contact customers and develop customer goodwill and relationships;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he will be provided and have access to the Holdings Group’s Confidential Information and Privileged Information, and will be compensated for the development, and supervising the development, of the same and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he will have unique insight into and knowledge of the skills, talents and capabilities of the Holdings Group’s key employees. Executive also acknowledges and agrees that at the inception of his employment with the Company it was agreed that he would be bound by noncompetition restrictions.</w:t>
      </w:r>
    </w:p>
    <w:p>
      <w:pPr>
        <w:spacing w:after="0" w:line="184" w:lineRule="exact"/>
        <w:rPr>
          <w:rFonts w:ascii="Times New Roman" w:cs="Times New Roman" w:eastAsia="Times New Roman" w:hAnsi="Times New Roman"/>
          <w:sz w:val="17"/>
          <w:szCs w:val="17"/>
          <w:color w:val="auto"/>
        </w:rPr>
      </w:pPr>
    </w:p>
    <w:p>
      <w:pPr>
        <w:ind w:left="4" w:right="160" w:firstLine="645"/>
        <w:spacing w:after="0" w:line="275" w:lineRule="auto"/>
        <w:tabs>
          <w:tab w:leader="none" w:pos="151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 agrees that during his employment by the Company he will not compete against the Holdings Group in any manner, including without limitation by engaging in, or by assisting any other person or entity to engage in, or by having an ownership interest in, any insurance business that competes with the Holdings Group, or by engaging in any conduct described in clauses (b)(i), (ii), (iii), or (iv) below. Executive further agrees that after his employment by the Company ends, he will not during the Restricted Period:</w:t>
      </w:r>
    </w:p>
    <w:p>
      <w:pPr>
        <w:spacing w:after="0" w:line="195" w:lineRule="exact"/>
        <w:rPr>
          <w:rFonts w:ascii="Times New Roman" w:cs="Times New Roman" w:eastAsia="Times New Roman" w:hAnsi="Times New Roman"/>
          <w:sz w:val="18"/>
          <w:szCs w:val="18"/>
          <w:color w:val="auto"/>
        </w:rPr>
      </w:pPr>
    </w:p>
    <w:p>
      <w:pPr>
        <w:ind w:left="4" w:right="160" w:firstLine="1293"/>
        <w:spacing w:after="0" w:line="297" w:lineRule="auto"/>
        <w:tabs>
          <w:tab w:leader="none" w:pos="2119"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compete against the Company by engaging in, or by assisting any other person or entity to engage in, or by having an ownership interest in, any Competitive Business in the Territory (as defined below);</w:t>
      </w:r>
    </w:p>
    <w:p>
      <w:pPr>
        <w:spacing w:after="0" w:line="173" w:lineRule="exact"/>
        <w:rPr>
          <w:rFonts w:ascii="Times New Roman" w:cs="Times New Roman" w:eastAsia="Times New Roman" w:hAnsi="Times New Roman"/>
          <w:sz w:val="18"/>
          <w:szCs w:val="18"/>
          <w:color w:val="auto"/>
        </w:rPr>
      </w:pPr>
    </w:p>
    <w:p>
      <w:pPr>
        <w:ind w:left="4" w:right="460" w:firstLine="1293"/>
        <w:spacing w:after="0" w:line="297" w:lineRule="auto"/>
        <w:tabs>
          <w:tab w:leader="none" w:pos="2169"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compete against the Holdings Group by soliciting any Customer of the Holdings Group to provide any goods or services in competition against the Holdings Group;</w:t>
      </w:r>
    </w:p>
    <w:p>
      <w:pPr>
        <w:spacing w:after="0" w:line="173" w:lineRule="exact"/>
        <w:rPr>
          <w:rFonts w:ascii="Times New Roman" w:cs="Times New Roman" w:eastAsia="Times New Roman" w:hAnsi="Times New Roman"/>
          <w:sz w:val="18"/>
          <w:szCs w:val="18"/>
          <w:color w:val="auto"/>
        </w:rPr>
      </w:pPr>
    </w:p>
    <w:p>
      <w:pPr>
        <w:ind w:left="4" w:right="420" w:firstLine="1293"/>
        <w:spacing w:after="0" w:line="297" w:lineRule="auto"/>
        <w:tabs>
          <w:tab w:leader="none" w:pos="2219"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induce or persuade any Customer of the Holdings Group not to do business with, or to switch business from, or reduce business with, the Holdings Group;</w:t>
      </w:r>
    </w:p>
    <w:p>
      <w:pPr>
        <w:sectPr>
          <w:pgSz w:w="11900" w:h="16838" w:orient="portrait"/>
          <w:cols w:equalWidth="0" w:num="1">
            <w:col w:w="10744"/>
          </w:cols>
          <w:pgMar w:left="896" w:top="589" w:right="259" w:bottom="1440" w:gutter="0" w:footer="0" w:header="0"/>
        </w:sectPr>
      </w:pPr>
    </w:p>
    <w:bookmarkStart w:id="205" w:name="page206"/>
    <w:bookmarkEnd w:id="205"/>
    <w:p>
      <w:pPr>
        <w:ind w:left="4" w:right="60" w:firstLine="1293"/>
        <w:spacing w:after="0" w:line="297" w:lineRule="auto"/>
        <w:tabs>
          <w:tab w:leader="none" w:pos="220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 or assist others in soliciting, Key Employees (as defined below) to either leave the Holdings Group or to engage in a Competitive Business.</w:t>
      </w:r>
    </w:p>
    <w:p>
      <w:pPr>
        <w:spacing w:after="0" w:line="173" w:lineRule="exact"/>
        <w:rPr>
          <w:rFonts w:ascii="Times New Roman" w:cs="Times New Roman" w:eastAsia="Times New Roman" w:hAnsi="Times New Roman"/>
          <w:sz w:val="18"/>
          <w:szCs w:val="18"/>
          <w:color w:val="auto"/>
        </w:rPr>
      </w:pPr>
    </w:p>
    <w:p>
      <w:pPr>
        <w:ind w:left="1504" w:hanging="855"/>
        <w:spacing w:after="0"/>
        <w:tabs>
          <w:tab w:leader="none" w:pos="15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the following capitalized terms shall have the meanings set forth below:</w:t>
      </w:r>
    </w:p>
    <w:p>
      <w:pPr>
        <w:spacing w:after="0" w:line="256" w:lineRule="exact"/>
        <w:rPr>
          <w:rFonts w:ascii="Times New Roman" w:cs="Times New Roman" w:eastAsia="Times New Roman" w:hAnsi="Times New Roman"/>
          <w:sz w:val="18"/>
          <w:szCs w:val="18"/>
          <w:color w:val="auto"/>
        </w:rPr>
      </w:pPr>
    </w:p>
    <w:p>
      <w:pPr>
        <w:ind w:left="4" w:right="60" w:firstLine="1293"/>
        <w:spacing w:after="0" w:line="297" w:lineRule="auto"/>
        <w:tabs>
          <w:tab w:leader="none" w:pos="2119"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shall mean the twelve (12) month period immediately following Executive’s last day of employment with the Company.</w:t>
      </w:r>
    </w:p>
    <w:p>
      <w:pPr>
        <w:spacing w:after="0" w:line="173" w:lineRule="exact"/>
        <w:rPr>
          <w:rFonts w:ascii="Times New Roman" w:cs="Times New Roman" w:eastAsia="Times New Roman" w:hAnsi="Times New Roman"/>
          <w:sz w:val="18"/>
          <w:szCs w:val="18"/>
          <w:color w:val="auto"/>
        </w:rPr>
      </w:pPr>
    </w:p>
    <w:p>
      <w:pPr>
        <w:ind w:left="2164" w:hanging="867"/>
        <w:spacing w:after="0"/>
        <w:tabs>
          <w:tab w:leader="none" w:pos="2164"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Competitive Business</w:t>
      </w:r>
      <w:r>
        <w:rPr>
          <w:rFonts w:ascii="Times New Roman" w:cs="Times New Roman" w:eastAsia="Times New Roman" w:hAnsi="Times New Roman"/>
          <w:sz w:val="20"/>
          <w:szCs w:val="20"/>
          <w:color w:val="auto"/>
        </w:rPr>
        <w:t>” shall mean reinsurance business.</w:t>
      </w:r>
    </w:p>
    <w:p>
      <w:pPr>
        <w:spacing w:after="0" w:line="256" w:lineRule="exact"/>
        <w:rPr>
          <w:rFonts w:ascii="Times New Roman" w:cs="Times New Roman" w:eastAsia="Times New Roman" w:hAnsi="Times New Roman"/>
          <w:sz w:val="18"/>
          <w:szCs w:val="18"/>
          <w:color w:val="auto"/>
        </w:rPr>
      </w:pPr>
    </w:p>
    <w:p>
      <w:pPr>
        <w:ind w:left="4" w:firstLine="1293"/>
        <w:spacing w:after="0" w:line="282" w:lineRule="auto"/>
        <w:tabs>
          <w:tab w:leader="none" w:pos="2219"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Territory</w:t>
      </w:r>
      <w:r>
        <w:rPr>
          <w:rFonts w:ascii="Times New Roman" w:cs="Times New Roman" w:eastAsia="Times New Roman" w:hAnsi="Times New Roman"/>
          <w:sz w:val="20"/>
          <w:szCs w:val="20"/>
          <w:color w:val="auto"/>
        </w:rPr>
        <w:t>” shall mean (i) Bermuda, (ii) each and every state or other United States jurisdiction (“</w:t>
      </w:r>
      <w:r>
        <w:rPr>
          <w:rFonts w:ascii="Times New Roman" w:cs="Times New Roman" w:eastAsia="Times New Roman" w:hAnsi="Times New Roman"/>
          <w:sz w:val="20"/>
          <w:szCs w:val="20"/>
          <w:u w:val="single" w:color="auto"/>
          <w:color w:val="auto"/>
        </w:rPr>
        <w:t>State(s)</w:t>
      </w:r>
      <w:r>
        <w:rPr>
          <w:rFonts w:ascii="Times New Roman" w:cs="Times New Roman" w:eastAsia="Times New Roman" w:hAnsi="Times New Roman"/>
          <w:sz w:val="20"/>
          <w:szCs w:val="20"/>
          <w:color w:val="auto"/>
        </w:rPr>
        <w:t>”) where the Holdings Group is licensed or admitted at the end of the Term; and (iii) North America, South America, Europe, Asia Australia and Africa.</w:t>
      </w:r>
    </w:p>
    <w:p>
      <w:pPr>
        <w:spacing w:after="0" w:line="188" w:lineRule="exact"/>
        <w:rPr>
          <w:rFonts w:ascii="Times New Roman" w:cs="Times New Roman" w:eastAsia="Times New Roman" w:hAnsi="Times New Roman"/>
          <w:sz w:val="18"/>
          <w:szCs w:val="18"/>
          <w:color w:val="auto"/>
        </w:rPr>
      </w:pPr>
    </w:p>
    <w:p>
      <w:pPr>
        <w:ind w:left="4" w:right="100" w:firstLine="1293"/>
        <w:spacing w:after="0" w:line="277" w:lineRule="auto"/>
        <w:tabs>
          <w:tab w:leader="none" w:pos="220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 shall mean any customer of the Holdings Group that (A) purchased products or services from the Company during the twelve month period immediately preceding Executive’s last day of employment with the Company (the “Final Year”), and (B) about which Executive either had Confidential Information or Privileged Information or personal or management responsibility for customer contact or service.</w:t>
      </w:r>
    </w:p>
    <w:p>
      <w:pPr>
        <w:spacing w:after="0" w:line="194" w:lineRule="exact"/>
        <w:rPr>
          <w:rFonts w:ascii="Times New Roman" w:cs="Times New Roman" w:eastAsia="Times New Roman" w:hAnsi="Times New Roman"/>
          <w:sz w:val="18"/>
          <w:szCs w:val="18"/>
          <w:color w:val="auto"/>
        </w:rPr>
      </w:pPr>
    </w:p>
    <w:p>
      <w:pPr>
        <w:ind w:left="4" w:right="120" w:firstLine="1293"/>
        <w:spacing w:after="0" w:line="268" w:lineRule="auto"/>
        <w:tabs>
          <w:tab w:leader="none" w:pos="215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Key Employees</w:t>
      </w:r>
      <w:r>
        <w:rPr>
          <w:rFonts w:ascii="Times New Roman" w:cs="Times New Roman" w:eastAsia="Times New Roman" w:hAnsi="Times New Roman"/>
          <w:sz w:val="20"/>
          <w:szCs w:val="20"/>
          <w:color w:val="auto"/>
        </w:rPr>
        <w:t>” shall mean any executive, managerial, sales, marketing, or supervisory level employees of the Holdings Group under Executive’s direct or indirect management authority during the Final Year.</w:t>
      </w:r>
    </w:p>
    <w:p>
      <w:pPr>
        <w:spacing w:after="0" w:line="1" w:lineRule="exact"/>
        <w:rPr>
          <w:rFonts w:ascii="Times New Roman" w:cs="Times New Roman" w:eastAsia="Times New Roman" w:hAnsi="Times New Roman"/>
          <w:sz w:val="18"/>
          <w:szCs w:val="18"/>
          <w:color w:val="auto"/>
        </w:rPr>
      </w:pPr>
    </w:p>
    <w:p>
      <w:pPr>
        <w:ind w:left="4" w:right="60" w:firstLine="645"/>
        <w:spacing w:after="0" w:line="281" w:lineRule="auto"/>
        <w:tabs>
          <w:tab w:leader="none" w:pos="151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restrictions contained in this Section 5 shall not prevent the purchase or passive ownership by Executive of not more than three percent (3%) of the securities of any class of any corporation, whether or not such corporation is engaged in any Competitive Business, which are publicly traded on any securities exchange or any “over the counter” market.</w:t>
      </w:r>
    </w:p>
    <w:p>
      <w:pPr>
        <w:spacing w:after="0" w:line="189"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Executive’s employment hereunder shall terminate under the following circumstances:</w:t>
      </w:r>
    </w:p>
    <w:p>
      <w:pPr>
        <w:spacing w:after="0" w:line="256" w:lineRule="exact"/>
        <w:rPr>
          <w:rFonts w:ascii="Times New Roman" w:cs="Times New Roman" w:eastAsia="Times New Roman" w:hAnsi="Times New Roman"/>
          <w:sz w:val="18"/>
          <w:szCs w:val="18"/>
          <w:color w:val="auto"/>
        </w:rPr>
      </w:pPr>
    </w:p>
    <w:p>
      <w:pPr>
        <w:ind w:left="4" w:firstLine="645"/>
        <w:spacing w:after="0" w:line="282" w:lineRule="auto"/>
        <w:tabs>
          <w:tab w:leader="none" w:pos="150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Termination for Cause</w:t>
      </w:r>
      <w:r>
        <w:rPr>
          <w:rFonts w:ascii="Times New Roman" w:cs="Times New Roman" w:eastAsia="Times New Roman" w:hAnsi="Times New Roman"/>
          <w:sz w:val="19"/>
          <w:szCs w:val="19"/>
          <w:color w:val="auto"/>
        </w:rPr>
        <w:t>. The Company may terminate the employment of Executive for Cause at any time by providing written notice to Executive specifying the cause of the termination. For the purposes of this Agreement, “Cause” means that:</w:t>
      </w:r>
    </w:p>
    <w:p>
      <w:pPr>
        <w:spacing w:after="0" w:line="1" w:lineRule="exact"/>
        <w:rPr>
          <w:rFonts w:ascii="Times New Roman" w:cs="Times New Roman" w:eastAsia="Times New Roman" w:hAnsi="Times New Roman"/>
          <w:sz w:val="17"/>
          <w:szCs w:val="17"/>
          <w:color w:val="auto"/>
        </w:rPr>
      </w:pPr>
    </w:p>
    <w:p>
      <w:pPr>
        <w:ind w:left="4" w:right="2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 Executive willfully violated Sections 4 or 5 of this Agreement; (ii) Executive grossly neglected his duties hereunder; (iii) Executive was convicted of a felony or a crime involving moral turpitude (meaning a crime that includes the commission of an act of depravity, dishonesty, or bad morals); (iv) Executive has committed an act of dishonesty, fraud, or embezzlement against the Holdings Group; or</w:t>
      </w:r>
    </w:p>
    <w:p>
      <w:pPr>
        <w:spacing w:after="0" w:line="2" w:lineRule="exact"/>
        <w:rPr>
          <w:rFonts w:ascii="Times New Roman" w:cs="Times New Roman" w:eastAsia="Times New Roman" w:hAnsi="Times New Roman"/>
          <w:sz w:val="17"/>
          <w:szCs w:val="17"/>
          <w:color w:val="auto"/>
        </w:rPr>
      </w:pPr>
    </w:p>
    <w:p>
      <w:pPr>
        <w:ind w:left="4" w:right="1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(v) Executive willfully and/or knowingly breached this Agreement in any material respect or willfully and/or knowingly violated the Company’s operating guidelines. In the event that the Company provides written notice of termination for Cause pursuant to Section 6(a)(ii), Executive shall be entitled to cure any alleged neglect of his duties, to the extent curable, within thirty (30) days of receiving written notice from the Company specifying the factual basis for its belief that Executive grossly neglected his duties hereunder. If Executive is terminated for Cause, Executive’s compensation shall terminate on the date of such termination, and all equity awards, whether vested or unvested at that time, shall be immediately forfeited and canceled effective as of the date of such termination.</w:t>
      </w:r>
    </w:p>
    <w:p>
      <w:pPr>
        <w:spacing w:after="0" w:line="183" w:lineRule="exact"/>
        <w:rPr>
          <w:rFonts w:ascii="Times New Roman" w:cs="Times New Roman" w:eastAsia="Times New Roman" w:hAnsi="Times New Roman"/>
          <w:sz w:val="17"/>
          <w:szCs w:val="17"/>
          <w:color w:val="auto"/>
        </w:rPr>
      </w:pPr>
    </w:p>
    <w:p>
      <w:pPr>
        <w:ind w:left="4" w:right="100" w:firstLine="645"/>
        <w:spacing w:after="0" w:line="277" w:lineRule="auto"/>
        <w:tabs>
          <w:tab w:leader="none" w:pos="151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Company Termination Without Cause; Company Non-Renewal Termination</w:t>
      </w:r>
      <w:r>
        <w:rPr>
          <w:rFonts w:ascii="Times New Roman" w:cs="Times New Roman" w:eastAsia="Times New Roman" w:hAnsi="Times New Roman"/>
          <w:sz w:val="20"/>
          <w:szCs w:val="20"/>
          <w:color w:val="auto"/>
        </w:rPr>
        <w:t>. The Company may terminate Executive at any time without Cause, with or without prior notice. If (i) the Company delivers a timely Non-Renewal Notice and Executive has not timely delivered a timely Non-Renewal Notice, (ii) Executive continues in employment with the Company through the last day of the Term, and (iii) the parties have not executed a written agreement applicable to Executive’s employment</w:t>
      </w:r>
    </w:p>
    <w:p>
      <w:pPr>
        <w:sectPr>
          <w:pgSz w:w="11900" w:h="16838" w:orient="portrait"/>
          <w:cols w:equalWidth="0" w:num="1">
            <w:col w:w="10684"/>
          </w:cols>
          <w:pgMar w:left="896" w:top="589" w:right="319" w:bottom="1440" w:gutter="0" w:footer="0" w:header="0"/>
        </w:sectPr>
      </w:pPr>
    </w:p>
    <w:bookmarkStart w:id="206" w:name="page207"/>
    <w:bookmarkEnd w:id="206"/>
    <w:p>
      <w:pPr>
        <w:ind w:left="4" w:right="160"/>
        <w:spacing w:after="0" w:line="297" w:lineRule="auto"/>
        <w:rPr>
          <w:sz w:val="20"/>
          <w:szCs w:val="20"/>
          <w:color w:val="auto"/>
        </w:rPr>
      </w:pPr>
      <w:r>
        <w:rPr>
          <w:rFonts w:ascii="Times New Roman" w:cs="Times New Roman" w:eastAsia="Times New Roman" w:hAnsi="Times New Roman"/>
          <w:sz w:val="20"/>
          <w:szCs w:val="20"/>
          <w:color w:val="auto"/>
        </w:rPr>
        <w:t>after the expiration of the Term, then Executive’s employment shall terminate on the last day of the Term (a “</w:t>
      </w:r>
      <w:r>
        <w:rPr>
          <w:rFonts w:ascii="Times New Roman" w:cs="Times New Roman" w:eastAsia="Times New Roman" w:hAnsi="Times New Roman"/>
          <w:sz w:val="20"/>
          <w:szCs w:val="20"/>
          <w:u w:val="single" w:color="auto"/>
          <w:color w:val="auto"/>
        </w:rPr>
        <w:t>Company Non-Renewal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4" w:right="120" w:firstLine="645"/>
        <w:spacing w:after="0" w:line="325" w:lineRule="auto"/>
        <w:tabs>
          <w:tab w:leader="none" w:pos="15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Termination by Executive for Good Reason</w:t>
      </w:r>
      <w:r>
        <w:rPr>
          <w:rFonts w:ascii="Times New Roman" w:cs="Times New Roman" w:eastAsia="Times New Roman" w:hAnsi="Times New Roman"/>
          <w:sz w:val="19"/>
          <w:szCs w:val="19"/>
          <w:color w:val="auto"/>
        </w:rPr>
        <w:t>. Executive may, at his option, terminate this Agreement for Good Reason.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mean the occurrence of any one or more of the following events without the prior consent of Executive:</w:t>
      </w:r>
    </w:p>
    <w:p>
      <w:pPr>
        <w:spacing w:after="0" w:line="151" w:lineRule="exact"/>
        <w:rPr>
          <w:rFonts w:ascii="Times New Roman" w:cs="Times New Roman" w:eastAsia="Times New Roman" w:hAnsi="Times New Roman"/>
          <w:sz w:val="17"/>
          <w:szCs w:val="17"/>
          <w:color w:val="auto"/>
        </w:rPr>
      </w:pPr>
    </w:p>
    <w:p>
      <w:pPr>
        <w:ind w:left="4" w:right="300" w:firstLine="1293"/>
        <w:spacing w:after="0" w:line="297" w:lineRule="auto"/>
        <w:tabs>
          <w:tab w:leader="none" w:pos="211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diminution in Executive’s authority, duties or responsibilities, or requiring Executive to report directly to a person or persons other than the Chief Executive Officer of Holdings or the Company Board;</w:t>
      </w:r>
    </w:p>
    <w:p>
      <w:pPr>
        <w:spacing w:after="0" w:line="173" w:lineRule="exact"/>
        <w:rPr>
          <w:rFonts w:ascii="Times New Roman" w:cs="Times New Roman" w:eastAsia="Times New Roman" w:hAnsi="Times New Roman"/>
          <w:sz w:val="18"/>
          <w:szCs w:val="18"/>
          <w:color w:val="auto"/>
        </w:rPr>
      </w:pPr>
    </w:p>
    <w:p>
      <w:pPr>
        <w:ind w:left="2164" w:hanging="867"/>
        <w:spacing w:after="0"/>
        <w:tabs>
          <w:tab w:leader="none" w:pos="216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diminution in Executive’s Base Salary; or</w:t>
      </w:r>
    </w:p>
    <w:p>
      <w:pPr>
        <w:spacing w:after="0" w:line="256" w:lineRule="exact"/>
        <w:rPr>
          <w:rFonts w:ascii="Times New Roman" w:cs="Times New Roman" w:eastAsia="Times New Roman" w:hAnsi="Times New Roman"/>
          <w:sz w:val="18"/>
          <w:szCs w:val="18"/>
          <w:color w:val="auto"/>
        </w:rPr>
      </w:pPr>
    </w:p>
    <w:p>
      <w:pPr>
        <w:ind w:left="2224" w:hanging="927"/>
        <w:spacing w:after="0"/>
        <w:tabs>
          <w:tab w:leader="none" w:pos="2224"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Any action or inaction by the Company which constitutes a material breach of the terms of this Agreement;</w:t>
      </w:r>
    </w:p>
    <w:p>
      <w:pPr>
        <w:spacing w:after="0" w:line="254" w:lineRule="exact"/>
        <w:rPr>
          <w:sz w:val="20"/>
          <w:szCs w:val="20"/>
          <w:color w:val="auto"/>
        </w:rPr>
      </w:pPr>
    </w:p>
    <w:p>
      <w:pPr>
        <w:ind w:left="4" w:right="120"/>
        <w:spacing w:after="0" w:line="245" w:lineRule="auto"/>
        <w:rPr>
          <w:sz w:val="20"/>
          <w:szCs w:val="20"/>
          <w:color w:val="auto"/>
        </w:rPr>
      </w:pPr>
      <w:r>
        <w:rPr>
          <w:rFonts w:ascii="Times New Roman" w:cs="Times New Roman" w:eastAsia="Times New Roman" w:hAnsi="Times New Roman"/>
          <w:sz w:val="20"/>
          <w:szCs w:val="20"/>
          <w:color w:val="auto"/>
        </w:rPr>
        <w:t>and, in each case, the failure by the Company to cure such condition within the thirty (30) day period after receipt of written notice from Executive specifying in detail the factual basis for his belief that he has Good Reason to resign (“</w:t>
      </w:r>
      <w:r>
        <w:rPr>
          <w:rFonts w:ascii="Times New Roman" w:cs="Times New Roman" w:eastAsia="Times New Roman" w:hAnsi="Times New Roman"/>
          <w:sz w:val="20"/>
          <w:szCs w:val="20"/>
          <w:u w:val="single" w:color="auto"/>
          <w:color w:val="auto"/>
        </w:rPr>
        <w:t>Good Reason Notice</w:t>
      </w:r>
      <w:r>
        <w:rPr>
          <w:rFonts w:ascii="Times New Roman" w:cs="Times New Roman" w:eastAsia="Times New Roman" w:hAnsi="Times New Roman"/>
          <w:sz w:val="20"/>
          <w:szCs w:val="20"/>
          <w:color w:val="auto"/>
        </w:rPr>
        <w:t>”). Executive must deliver a Good Reason Notice within thirty (30) calendar days after the initial existence of a Good Reason condition, and, if the Company fails to timely cure such Good Reason condition, Executive must terminate his employment within one year after the initial existence of such Good Reason condition, and any failure by Executive to timely comply with either of these requirements shall constitute a waiver of Executive’s right to resign for Good Reason for such condition.</w:t>
      </w:r>
    </w:p>
    <w:p>
      <w:pPr>
        <w:spacing w:after="0" w:line="212" w:lineRule="exact"/>
        <w:rPr>
          <w:sz w:val="20"/>
          <w:szCs w:val="20"/>
          <w:color w:val="auto"/>
        </w:rPr>
      </w:pPr>
    </w:p>
    <w:p>
      <w:pPr>
        <w:ind w:left="4" w:firstLine="645"/>
        <w:spacing w:after="0" w:line="271" w:lineRule="auto"/>
        <w:tabs>
          <w:tab w:leader="none" w:pos="151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Termination due to Death or Disability</w:t>
      </w:r>
      <w:r>
        <w:rPr>
          <w:rFonts w:ascii="Times New Roman" w:cs="Times New Roman" w:eastAsia="Times New Roman" w:hAnsi="Times New Roman"/>
          <w:sz w:val="20"/>
          <w:szCs w:val="20"/>
          <w:color w:val="auto"/>
        </w:rPr>
        <w:t>. Executive’s employment hereunder shall terminate upon his death. The Company may terminate Executive’s employment if he is prevented from performing his responsibilities under this Agreement because of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that Executive is unable to engage in any substantial gainful activity by reason of a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or disability insurance benefit plan covering Company employees (“</w:t>
      </w:r>
      <w:r>
        <w:rPr>
          <w:rFonts w:ascii="Times New Roman" w:cs="Times New Roman" w:eastAsia="Times New Roman" w:hAnsi="Times New Roman"/>
          <w:sz w:val="20"/>
          <w:szCs w:val="20"/>
          <w:u w:val="single" w:color="auto"/>
          <w:color w:val="auto"/>
        </w:rPr>
        <w:t>Disability Plan</w:t>
      </w:r>
      <w:r>
        <w:rPr>
          <w:rFonts w:ascii="Times New Roman" w:cs="Times New Roman" w:eastAsia="Times New Roman" w:hAnsi="Times New Roman"/>
          <w:sz w:val="20"/>
          <w:szCs w:val="20"/>
          <w:color w:val="auto"/>
        </w:rPr>
        <w:t>”). If Executive is unable to perform his responsibilities, by reason of any accident, illness, or mental, or physical impairment, for a period that is reasonably anticipated by the Company to be longer than the waiting period in the Disability Plan, then, at the Company’s request, Executive shall promptly apply for such income replacement benefits.</w:t>
      </w:r>
    </w:p>
    <w:p>
      <w:pPr>
        <w:spacing w:after="0" w:line="198" w:lineRule="exact"/>
        <w:rPr>
          <w:rFonts w:ascii="Times New Roman" w:cs="Times New Roman" w:eastAsia="Times New Roman" w:hAnsi="Times New Roman"/>
          <w:sz w:val="18"/>
          <w:szCs w:val="18"/>
          <w:color w:val="auto"/>
        </w:rPr>
      </w:pPr>
    </w:p>
    <w:p>
      <w:pPr>
        <w:ind w:left="4" w:right="40" w:firstLine="645"/>
        <w:spacing w:after="0" w:line="275" w:lineRule="auto"/>
        <w:tabs>
          <w:tab w:leader="none" w:pos="15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Expiration of Term</w:t>
      </w:r>
      <w:r>
        <w:rPr>
          <w:rFonts w:ascii="Times New Roman" w:cs="Times New Roman" w:eastAsia="Times New Roman" w:hAnsi="Times New Roman"/>
          <w:sz w:val="20"/>
          <w:szCs w:val="20"/>
          <w:color w:val="auto"/>
        </w:rPr>
        <w:t>. If (i) Executive delivers a timely Non-Renewal Notice pursuant to Section 1 (whether or not the Company has timely delivered a timely Non-Renewal Notice), (ii) Executive continues in employment with the Company through the last day of the Term, and (iii) the parties have not executed a written agreement applicable to Executive’s employment after the expiration of the Term, then Executive’s employment shall terminate on the last day of the Term (“</w:t>
      </w:r>
      <w:r>
        <w:rPr>
          <w:rFonts w:ascii="Times New Roman" w:cs="Times New Roman" w:eastAsia="Times New Roman" w:hAnsi="Times New Roman"/>
          <w:sz w:val="20"/>
          <w:szCs w:val="20"/>
          <w:u w:val="single" w:color="auto"/>
          <w:color w:val="auto"/>
        </w:rPr>
        <w:t>Executive Non-Renewal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COMPENSATION AND BENEFITS UPON TERMINATION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18"/>
          <w:szCs w:val="18"/>
          <w:color w:val="auto"/>
        </w:rPr>
      </w:pPr>
    </w:p>
    <w:p>
      <w:pPr>
        <w:ind w:left="4" w:right="300" w:firstLine="645"/>
        <w:spacing w:after="0" w:line="297" w:lineRule="auto"/>
        <w:tabs>
          <w:tab w:leader="none" w:pos="15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Company terminates Executive’s employment without Cause during the Term, or there is a Company Non-Renewal Termination, or Executive terminates his employment for Good Reason during the Term, then:</w:t>
      </w:r>
    </w:p>
    <w:p>
      <w:pPr>
        <w:sectPr>
          <w:pgSz w:w="11900" w:h="16838" w:orient="portrait"/>
          <w:cols w:equalWidth="0" w:num="1">
            <w:col w:w="10744"/>
          </w:cols>
          <w:pgMar w:left="896" w:top="589" w:right="259" w:bottom="1440" w:gutter="0" w:footer="0" w:header="0"/>
        </w:sectPr>
      </w:pPr>
    </w:p>
    <w:bookmarkStart w:id="207" w:name="page208"/>
    <w:bookmarkEnd w:id="207"/>
    <w:p>
      <w:pPr>
        <w:ind w:left="4" w:right="160" w:firstLine="1293"/>
        <w:spacing w:after="0" w:line="282" w:lineRule="auto"/>
        <w:tabs>
          <w:tab w:leader="none" w:pos="21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soon as practicable following such termination but no later than ten (10) days after the Termination Date (as defined below), the Company shall pay to Executive his accrued but yet unpaid base salary earned through the Termination Date and any accrued, but unused vacation pay through the Termination Date (the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18"/>
          <w:szCs w:val="18"/>
          <w:color w:val="auto"/>
        </w:rPr>
      </w:pPr>
    </w:p>
    <w:p>
      <w:pPr>
        <w:ind w:left="4" w:right="380" w:firstLine="1293"/>
        <w:spacing w:after="0" w:line="297" w:lineRule="auto"/>
        <w:tabs>
          <w:tab w:leader="none" w:pos="21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forty-five (45) days following the Termination Date, the Company shall reimburse Executive for reasonable expenses incurred, but not paid prior to the Termination Date;</w:t>
      </w:r>
    </w:p>
    <w:p>
      <w:pPr>
        <w:spacing w:after="0" w:line="173" w:lineRule="exact"/>
        <w:rPr>
          <w:rFonts w:ascii="Times New Roman" w:cs="Times New Roman" w:eastAsia="Times New Roman" w:hAnsi="Times New Roman"/>
          <w:sz w:val="18"/>
          <w:szCs w:val="18"/>
          <w:color w:val="auto"/>
        </w:rPr>
      </w:pPr>
    </w:p>
    <w:p>
      <w:pPr>
        <w:ind w:left="2224" w:hanging="927"/>
        <w:spacing w:after="0"/>
        <w:tabs>
          <w:tab w:leader="none" w:pos="22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accrued but unpaid Tax Equalization Policy obligations of the Company shall be paid in accordance</w:t>
      </w:r>
    </w:p>
    <w:p>
      <w:pPr>
        <w:spacing w:after="0" w:line="28"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such policy; and</w:t>
      </w:r>
    </w:p>
    <w:p>
      <w:pPr>
        <w:spacing w:after="0" w:line="254" w:lineRule="exact"/>
        <w:rPr>
          <w:rFonts w:ascii="Times New Roman" w:cs="Times New Roman" w:eastAsia="Times New Roman" w:hAnsi="Times New Roman"/>
          <w:sz w:val="18"/>
          <w:szCs w:val="18"/>
          <w:color w:val="auto"/>
        </w:rPr>
      </w:pPr>
    </w:p>
    <w:p>
      <w:pPr>
        <w:ind w:left="4" w:right="20" w:firstLine="1293"/>
        <w:spacing w:after="0" w:line="277" w:lineRule="auto"/>
        <w:tabs>
          <w:tab w:leader="none" w:pos="22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execution and delivery of a general release (which Release shall not alter or result in the waiver of Executive’s right to exercise the portion of any stock option or other equity award that vested through the Termination Date, or any rights under this Section 7(a)) in a form acceptable to the Company (“Release”) within forty five (45) days after the Termination Date (the “</w:t>
      </w:r>
      <w:r>
        <w:rPr>
          <w:rFonts w:ascii="Times New Roman" w:cs="Times New Roman" w:eastAsia="Times New Roman" w:hAnsi="Times New Roman"/>
          <w:sz w:val="20"/>
          <w:szCs w:val="20"/>
          <w:u w:val="single" w:color="auto"/>
          <w:color w:val="auto"/>
        </w:rPr>
        <w:t>Release Expiration Date</w:t>
      </w:r>
      <w:r>
        <w:rPr>
          <w:rFonts w:ascii="Times New Roman" w:cs="Times New Roman" w:eastAsia="Times New Roman" w:hAnsi="Times New Roman"/>
          <w:sz w:val="20"/>
          <w:szCs w:val="20"/>
          <w:color w:val="auto"/>
        </w:rPr>
        <w:t>”), which Release has not been revoked, Executive is entitled to receive:</w:t>
      </w:r>
    </w:p>
    <w:p>
      <w:pPr>
        <w:spacing w:after="0" w:line="194" w:lineRule="exact"/>
        <w:rPr>
          <w:sz w:val="20"/>
          <w:szCs w:val="20"/>
          <w:color w:val="auto"/>
        </w:rPr>
      </w:pPr>
    </w:p>
    <w:p>
      <w:pPr>
        <w:ind w:left="4" w:right="20" w:firstLine="1293"/>
        <w:spacing w:after="0" w:line="282" w:lineRule="auto"/>
        <w:tabs>
          <w:tab w:leader="none" w:pos="2158"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in the event of a termination without Cause or for Good Reason (I) before a Change in Control (as defined in Section 7(d)), an amount equal to Executive’s base salary for a period of eighteen (18) months after the Termination Date, or</w:t>
      </w:r>
    </w:p>
    <w:p>
      <w:pPr>
        <w:spacing w:after="0" w:line="1" w:lineRule="exact"/>
        <w:rPr>
          <w:rFonts w:ascii="Times New Roman" w:cs="Times New Roman" w:eastAsia="Times New Roman" w:hAnsi="Times New Roman"/>
          <w:sz w:val="17"/>
          <w:szCs w:val="17"/>
          <w:color w:val="auto"/>
        </w:rPr>
      </w:pPr>
    </w:p>
    <w:p>
      <w:pPr>
        <w:jc w:val="both"/>
        <w:ind w:left="4" w:right="160" w:hanging="4"/>
        <w:spacing w:after="0" w:line="259" w:lineRule="auto"/>
        <w:tabs>
          <w:tab w:leader="none" w:pos="317"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twelve (12) months after a Change in Control, an amount equal to Executive’s base salary for a period of twenty-four (24) months after the Termination Date, or (B) in the event of a Company Non-Renewal Termination, an amount equal to Executive’s base salary for a period of twelve (12) months after the Termination Date, which, in any case, shall be paid in periodic installments in accordance with the Company’s normal payroll practices commencing on the first payroll cycle on or after the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after the Termination Date, unless such amount is required to be delayed pursuant to Section 8 below;</w:t>
      </w:r>
    </w:p>
    <w:p>
      <w:pPr>
        <w:spacing w:after="0" w:line="207" w:lineRule="exact"/>
        <w:rPr>
          <w:rFonts w:ascii="Times New Roman" w:cs="Times New Roman" w:eastAsia="Times New Roman" w:hAnsi="Times New Roman"/>
          <w:sz w:val="20"/>
          <w:szCs w:val="20"/>
          <w:color w:val="auto"/>
        </w:rPr>
      </w:pPr>
    </w:p>
    <w:p>
      <w:pPr>
        <w:ind w:left="4" w:right="300" w:firstLine="1293"/>
        <w:spacing w:after="0" w:line="273" w:lineRule="auto"/>
        <w:tabs>
          <w:tab w:leader="none" w:pos="215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continuation of coverage under all employee benefit insurance plans in which Executive was a participant as of the Termination Date, to the extent such post-employment coverage is authorized by such plans, at the Company’s expense for a period of twelve (12) months after the Termination Date, provided, however if post-employment coverage is not authorized under the Company’s health insurance plan, then the Company will pay Executive the premium cost for health insurance coverage that the Company would have paid if Executive had continued being a participant in the Company’s health insurance plan during such twelve month period; and</w:t>
      </w:r>
    </w:p>
    <w:p>
      <w:pPr>
        <w:spacing w:after="0" w:line="199" w:lineRule="exact"/>
        <w:rPr>
          <w:rFonts w:ascii="Times New Roman" w:cs="Times New Roman" w:eastAsia="Times New Roman" w:hAnsi="Times New Roman"/>
          <w:sz w:val="18"/>
          <w:szCs w:val="18"/>
          <w:color w:val="auto"/>
        </w:rPr>
      </w:pPr>
    </w:p>
    <w:p>
      <w:pPr>
        <w:ind w:left="4" w:right="20" w:firstLine="1293"/>
        <w:spacing w:after="0" w:line="297" w:lineRule="auto"/>
        <w:tabs>
          <w:tab w:leader="none" w:pos="215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unpaid discretionary bonus awarded to Executive for the year prior to the year in which the Termination Date occurs, which shall be paid in a lump sum on the normal bonus payment date.</w:t>
      </w:r>
    </w:p>
    <w:p>
      <w:pPr>
        <w:spacing w:after="0" w:line="174" w:lineRule="exact"/>
        <w:rPr>
          <w:sz w:val="20"/>
          <w:szCs w:val="20"/>
          <w:color w:val="auto"/>
        </w:rPr>
      </w:pPr>
    </w:p>
    <w:p>
      <w:pPr>
        <w:ind w:left="4" w:firstLine="1293"/>
        <w:spacing w:after="0" w:line="275" w:lineRule="auto"/>
        <w:tabs>
          <w:tab w:leader="none" w:pos="215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Executive fails to execute the Release on or prior to the Release Expiration Date, Executive shall not be entitled to any payments or benefits pursuant to Section 7(a)(iii). Notwithstanding the foregoing, if the Release could become effective during the calendar year following the calendar year of the Termination Date, then no such payments that constitute “deferred compensation” under Internal Revenue Code Section 409A shall be made earlier than the first day of the calendar year following the calendar year of the Termination Date.</w:t>
      </w:r>
    </w:p>
    <w:p>
      <w:pPr>
        <w:spacing w:after="0" w:line="195" w:lineRule="exact"/>
        <w:rPr>
          <w:rFonts w:ascii="Times New Roman" w:cs="Times New Roman" w:eastAsia="Times New Roman" w:hAnsi="Times New Roman"/>
          <w:sz w:val="18"/>
          <w:szCs w:val="18"/>
          <w:color w:val="auto"/>
        </w:rPr>
      </w:pPr>
    </w:p>
    <w:p>
      <w:pPr>
        <w:ind w:left="4" w:right="100" w:firstLine="645"/>
        <w:spacing w:after="0" w:line="297" w:lineRule="auto"/>
        <w:tabs>
          <w:tab w:leader="none" w:pos="151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Executive is terminated by the Company for Cause or due to death or Disability, or if an Executive Non-Renewal Termination occurs pursuant to Section 6(e):</w:t>
      </w:r>
    </w:p>
    <w:p>
      <w:pPr>
        <w:spacing w:after="0" w:line="173" w:lineRule="exact"/>
        <w:rPr>
          <w:rFonts w:ascii="Times New Roman" w:cs="Times New Roman" w:eastAsia="Times New Roman" w:hAnsi="Times New Roman"/>
          <w:sz w:val="18"/>
          <w:szCs w:val="18"/>
          <w:color w:val="auto"/>
        </w:rPr>
      </w:pPr>
    </w:p>
    <w:p>
      <w:pPr>
        <w:ind w:left="2124" w:hanging="827"/>
        <w:spacing w:after="0"/>
        <w:tabs>
          <w:tab w:leader="none" w:pos="212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ten (10) days following the Termination Date, the Company shall pay to Executive the Accrued</w:t>
      </w:r>
    </w:p>
    <w:p>
      <w:pPr>
        <w:spacing w:after="0" w:line="28"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Obligations;</w:t>
      </w:r>
    </w:p>
    <w:p>
      <w:pPr>
        <w:sectPr>
          <w:pgSz w:w="11900" w:h="16838" w:orient="portrait"/>
          <w:cols w:equalWidth="0" w:num="1">
            <w:col w:w="10744"/>
          </w:cols>
          <w:pgMar w:left="896" w:top="590" w:right="259" w:bottom="1440" w:gutter="0" w:footer="0" w:header="0"/>
        </w:sectPr>
      </w:pPr>
    </w:p>
    <w:bookmarkStart w:id="208" w:name="page209"/>
    <w:bookmarkEnd w:id="208"/>
    <w:p>
      <w:pPr>
        <w:ind w:right="380" w:firstLine="1293"/>
        <w:spacing w:after="0" w:line="297" w:lineRule="auto"/>
        <w:tabs>
          <w:tab w:leader="none" w:pos="216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forty-five (45) days following the Termination Date, the Company shall reimburse Executive for reasonable expenses incurred, but not paid prior to the Termination Date; and</w:t>
      </w:r>
    </w:p>
    <w:p>
      <w:pPr>
        <w:spacing w:after="0" w:line="173" w:lineRule="exact"/>
        <w:rPr>
          <w:rFonts w:ascii="Times New Roman" w:cs="Times New Roman" w:eastAsia="Times New Roman" w:hAnsi="Times New Roman"/>
          <w:sz w:val="18"/>
          <w:szCs w:val="18"/>
          <w:color w:val="auto"/>
        </w:rPr>
      </w:pPr>
    </w:p>
    <w:p>
      <w:pPr>
        <w:ind w:left="2220" w:hanging="927"/>
        <w:spacing w:after="0"/>
        <w:tabs>
          <w:tab w:leader="none" w:pos="22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accrued but unpaid Tax Equalization Policy obligations of the Company shall be paid in accordance</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such policy.</w:t>
      </w:r>
    </w:p>
    <w:p>
      <w:pPr>
        <w:spacing w:after="0" w:line="254" w:lineRule="exact"/>
        <w:rPr>
          <w:rFonts w:ascii="Times New Roman" w:cs="Times New Roman" w:eastAsia="Times New Roman" w:hAnsi="Times New Roman"/>
          <w:sz w:val="18"/>
          <w:szCs w:val="18"/>
          <w:color w:val="auto"/>
        </w:rPr>
      </w:pPr>
    </w:p>
    <w:p>
      <w:pPr>
        <w:ind w:firstLine="645"/>
        <w:spacing w:after="0" w:line="271" w:lineRule="auto"/>
        <w:tabs>
          <w:tab w:leader="none" w:pos="14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termination of Executive’s employment for any reason, the Company will repatriate Executive and Executive’s dependent family members (one return airline ticket each) to a location in the United States of Executive’s choice, but should Executive commence alternative employment in Bermuda, the Company will no longer be responsible for Executive’s repatriation. If the Company terminates Executive’s employment without Cause during the Term, or there is a Company Non-Renewal Termination, or if Executive terminates his employment for Good Reason, or if Executive’s employment ends as result of death, Disability, or an Executive Non-Renewal Termination pursuant to Section 6(e), then the Company will also pay Executive’s documented, reasonable additional relocation expenses to a location in the United States for Executive and Executive’s family (or Executive’s family in the event of death) that are incurred within three (3) months after the Termination Date, which will be paid by the end of the month following the month in which documentation is submitted. The conditions for reimbursement of business expenses set forth in Section 2(c)(ii) apply to the reimbursement of relocation expenses.</w:t>
      </w:r>
    </w:p>
    <w:p>
      <w:pPr>
        <w:spacing w:after="0" w:line="198" w:lineRule="exact"/>
        <w:rPr>
          <w:rFonts w:ascii="Times New Roman" w:cs="Times New Roman" w:eastAsia="Times New Roman" w:hAnsi="Times New Roman"/>
          <w:sz w:val="18"/>
          <w:szCs w:val="18"/>
          <w:color w:val="auto"/>
        </w:rPr>
      </w:pPr>
    </w:p>
    <w:p>
      <w:pPr>
        <w:ind w:right="40" w:firstLine="645"/>
        <w:spacing w:after="0" w:line="277" w:lineRule="auto"/>
        <w:tabs>
          <w:tab w:leader="none" w:pos="150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Executive violates any of the terms of Sections 4 or 5 above during the Restricted Period, then, except for payments provided under Sections 7(a)(i), 7(a)(ii), 7(a)(iii) and 7(b), all compensation and benefits paid pursuant to this Section 7 shall cease and Executive shall promptly return any amount paid under Section 7(a)(iv) to the Company. In addition to these remedies, the Company shall have all other remedies provided by this Agreement and by law for the breach of Sections 4 or 5 above.</w:t>
      </w:r>
    </w:p>
    <w:p>
      <w:pPr>
        <w:spacing w:after="0" w:line="194" w:lineRule="exact"/>
        <w:rPr>
          <w:rFonts w:ascii="Times New Roman" w:cs="Times New Roman" w:eastAsia="Times New Roman" w:hAnsi="Times New Roman"/>
          <w:sz w:val="18"/>
          <w:szCs w:val="18"/>
          <w:color w:val="auto"/>
        </w:rPr>
      </w:pPr>
    </w:p>
    <w:p>
      <w:pPr>
        <w:ind w:right="20" w:firstLine="645"/>
        <w:spacing w:after="0" w:line="275" w:lineRule="auto"/>
        <w:tabs>
          <w:tab w:leader="none" w:pos="14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of Executive’s “separation from service” within the meaning of Section 409A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and the regulations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(and, for purposes of this definition only, capitalized terms have the meaning defined in the James River Group Holdings, Ltd. Long-Term Incentive Plan, as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the first to occur of the following events:</w:t>
      </w:r>
    </w:p>
    <w:p>
      <w:pPr>
        <w:spacing w:after="0" w:line="181" w:lineRule="exact"/>
        <w:rPr>
          <w:sz w:val="20"/>
          <w:szCs w:val="20"/>
          <w:color w:val="auto"/>
        </w:rPr>
      </w:pPr>
    </w:p>
    <w:p>
      <w:pPr>
        <w:ind w:left="1300" w:right="140" w:hanging="655"/>
        <w:spacing w:after="0" w:line="243"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Act) of 50% or more of either the then-outstanding Shares or the combined voting power of the Company’s then-outstanding voting securities entitled to vote generally in the election of directors;</w:t>
      </w:r>
    </w:p>
    <w:p>
      <w:pPr>
        <w:spacing w:after="0" w:line="2" w:lineRule="exact"/>
        <w:rPr>
          <w:rFonts w:ascii="Times New Roman" w:cs="Times New Roman" w:eastAsia="Times New Roman" w:hAnsi="Times New Roman"/>
          <w:sz w:val="18"/>
          <w:szCs w:val="18"/>
          <w:color w:val="auto"/>
        </w:rPr>
      </w:pPr>
    </w:p>
    <w:p>
      <w:pPr>
        <w:ind w:left="1300" w:right="40" w:hanging="655"/>
        <w:spacing w:after="0" w:line="239"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50% of, respectively, the Shares and the combined voting power entitled to vote generally in the election of directors of the reorganized, merged, amalgamated or consolidated corporation’s then-outstanding voting securities; or</w:t>
      </w:r>
    </w:p>
    <w:p>
      <w:pPr>
        <w:spacing w:after="0" w:line="2" w:lineRule="exact"/>
        <w:rPr>
          <w:rFonts w:ascii="Times New Roman" w:cs="Times New Roman" w:eastAsia="Times New Roman" w:hAnsi="Times New Roman"/>
          <w:sz w:val="18"/>
          <w:szCs w:val="18"/>
          <w:color w:val="auto"/>
        </w:rPr>
      </w:pPr>
    </w:p>
    <w:p>
      <w:pPr>
        <w:ind w:left="1300" w:right="240" w:hanging="655"/>
        <w:spacing w:after="0" w:line="241"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liquidation or dissolution of the Company, or the sale of all or substantially all of the assets of the Company; provided, however, an event described above shall be considered a Change in Control hereunder only if it also constitutes a “change in control event” under Section 409A of the Code, to the extent necessary to avoid the adverse tax consequences thereunder with respect to any payment subject to Section 409A of the Code.</w:t>
      </w:r>
    </w:p>
    <w:p>
      <w:pPr>
        <w:sectPr>
          <w:pgSz w:w="11900" w:h="16838" w:orient="portrait"/>
          <w:cols w:equalWidth="0" w:num="1">
            <w:col w:w="10740"/>
          </w:cols>
          <w:pgMar w:left="900" w:top="589" w:right="259" w:bottom="1440" w:gutter="0" w:footer="0" w:header="0"/>
        </w:sectPr>
      </w:pPr>
    </w:p>
    <w:bookmarkStart w:id="209" w:name="page210"/>
    <w:bookmarkEnd w:id="209"/>
    <w:p>
      <w:pPr>
        <w:ind w:left="4" w:right="520" w:firstLine="645"/>
        <w:spacing w:after="0" w:line="297" w:lineRule="auto"/>
        <w:tabs>
          <w:tab w:leader="none" w:pos="14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Executive’s rights after the Termination Date with respect to the vesting and exercise of any equity awarded to Executive shall be governed by the Plan and any applicable equity award agreement.</w:t>
      </w:r>
    </w:p>
    <w:p>
      <w:pPr>
        <w:spacing w:after="0" w:line="173" w:lineRule="exact"/>
        <w:rPr>
          <w:rFonts w:ascii="Times New Roman" w:cs="Times New Roman" w:eastAsia="Times New Roman" w:hAnsi="Times New Roman"/>
          <w:sz w:val="18"/>
          <w:szCs w:val="18"/>
          <w:color w:val="auto"/>
        </w:rPr>
      </w:pPr>
    </w:p>
    <w:p>
      <w:pPr>
        <w:ind w:left="-656" w:right="100" w:firstLine="656"/>
        <w:spacing w:after="0" w:line="270" w:lineRule="auto"/>
        <w:tabs>
          <w:tab w:leader="none" w:pos="7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409A COMPLIANCE</w:t>
      </w:r>
      <w:r>
        <w:rPr>
          <w:rFonts w:ascii="Times New Roman" w:cs="Times New Roman" w:eastAsia="Times New Roman" w:hAnsi="Times New Roman"/>
          <w:sz w:val="20"/>
          <w:szCs w:val="20"/>
          <w:color w:val="auto"/>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Holdings’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 (10) day period following the six-month anniversary of the Termination Date. Each payroll period payment described in Section 7(a)(iv)(1) shall be treated as a separate payment for purposes of Section 409A.</w:t>
      </w:r>
    </w:p>
    <w:p>
      <w:pPr>
        <w:spacing w:after="0" w:line="206" w:lineRule="exact"/>
        <w:rPr>
          <w:rFonts w:ascii="Times New Roman" w:cs="Times New Roman" w:eastAsia="Times New Roman" w:hAnsi="Times New Roman"/>
          <w:sz w:val="18"/>
          <w:szCs w:val="18"/>
          <w:color w:val="auto"/>
        </w:rPr>
      </w:pPr>
    </w:p>
    <w:p>
      <w:pPr>
        <w:ind w:left="-656" w:right="60" w:firstLine="656"/>
        <w:spacing w:after="0" w:line="272" w:lineRule="auto"/>
        <w:tabs>
          <w:tab w:leader="none" w:pos="7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UNIQUENESS OF SERVICES; ACKNOWLEDGEMENTS</w:t>
      </w:r>
      <w:r>
        <w:rPr>
          <w:rFonts w:ascii="Times New Roman" w:cs="Times New Roman" w:eastAsia="Times New Roman" w:hAnsi="Times New Roman"/>
          <w:sz w:val="20"/>
          <w:szCs w:val="20"/>
          <w:color w:val="auto"/>
        </w:rPr>
        <w:t>. Executive acknowledges that the services to be rendered under the provisions of this Agreement are of a special, unique, and extraordinary character; involve access to and development of Confidential Information and Privileged Information; involve developing and protecting customer relationships and goodwill; and that it would be difficult or impossible to replace such services and that, by reason thereof, Executive agrees and consents that if he violates any of the provisions of Sections 4 and 5 of this Agreement, the Company, in addition to any other rights and remedies available under this Agreement or otherwise, shall be entitled to an injunction to be issued by a court of competent jurisdiction restricting Executive from committing or continuing any violation of Sections 4 and 5 of this Agreement.</w:t>
      </w:r>
    </w:p>
    <w:p>
      <w:pPr>
        <w:spacing w:after="0" w:line="201" w:lineRule="exact"/>
        <w:rPr>
          <w:rFonts w:ascii="Times New Roman" w:cs="Times New Roman" w:eastAsia="Times New Roman" w:hAnsi="Times New Roman"/>
          <w:sz w:val="18"/>
          <w:szCs w:val="18"/>
          <w:color w:val="auto"/>
        </w:rPr>
      </w:pPr>
    </w:p>
    <w:p>
      <w:pPr>
        <w:ind w:left="-656" w:right="140" w:firstLine="656"/>
        <w:spacing w:after="0" w:line="271" w:lineRule="auto"/>
        <w:tabs>
          <w:tab w:leader="none" w:pos="8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FURTHER ACKNOWLEDGEMENTS</w:t>
      </w:r>
      <w:r>
        <w:rPr>
          <w:rFonts w:ascii="Times New Roman" w:cs="Times New Roman" w:eastAsia="Times New Roman" w:hAnsi="Times New Roman"/>
          <w:sz w:val="20"/>
          <w:szCs w:val="20"/>
          <w:color w:val="auto"/>
        </w:rPr>
        <w:t>. Executive further acknowledges and agrees that the restrictions contained in Sections 4 and 5 above are reasonable and necessary to protect the legitimate interest of the Holdings Group, in view of, among other things, the short duration of the restrictions; the narrow scope of the restrictions; the Holdings Group’s interests in protecting its trade secrets, Confidential Information, and Privileged Information (which Executive agrees has value to competitors for more than eighteen (18) months) and its customer relationships and goodwill; Executive’s background and capabilities which will allow him to seek and accept employment without violation of the restrictions; and Executive’s entitlements under this Agreement. If any provision contained in Sections 4 or 5 above is adjudged unreasonable by a court of competent jurisdiction in any proceeding, then such provision shall be deemed modified as provided in Sections 4 or 5 above or by reducing the period of time during which such provision is applicable and/or, if applicable, the geographic area to which such provision applies, to the extent necessary for such provision to be adjudged reasonable and enforceable.</w:t>
      </w:r>
    </w:p>
    <w:p>
      <w:pPr>
        <w:spacing w:after="0" w:line="201" w:lineRule="exact"/>
        <w:rPr>
          <w:rFonts w:ascii="Times New Roman" w:cs="Times New Roman" w:eastAsia="Times New Roman" w:hAnsi="Times New Roman"/>
          <w:sz w:val="18"/>
          <w:szCs w:val="18"/>
          <w:color w:val="auto"/>
        </w:rPr>
      </w:pPr>
    </w:p>
    <w:p>
      <w:pPr>
        <w:ind w:left="-656" w:right="80" w:firstLine="656"/>
        <w:spacing w:after="0" w:line="275" w:lineRule="auto"/>
        <w:tabs>
          <w:tab w:leader="none" w:pos="85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or permitted by this Agreement shall be in writing and shall be deemed to have been duly given when delivered in person or three (3) days after it is mailed if delivered by registered or certified mail, return receipt requested, postage prepaid, addressed to the party for whom intended at such party’s address set forth above (for the Company) or to the address listed in the Company’s records (for Executive), or to such other address as such party may designate by notice in writing given in the manner provided herein.</w:t>
      </w:r>
    </w:p>
    <w:p>
      <w:pPr>
        <w:spacing w:after="0" w:line="195" w:lineRule="exact"/>
        <w:rPr>
          <w:rFonts w:ascii="Times New Roman" w:cs="Times New Roman" w:eastAsia="Times New Roman" w:hAnsi="Times New Roman"/>
          <w:sz w:val="18"/>
          <w:szCs w:val="18"/>
          <w:color w:val="auto"/>
        </w:rPr>
      </w:pPr>
    </w:p>
    <w:p>
      <w:pPr>
        <w:ind w:left="-656" w:firstLine="656"/>
        <w:spacing w:after="0" w:line="297" w:lineRule="auto"/>
        <w:tabs>
          <w:tab w:leader="none" w:pos="8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SECTION HEADINGS</w:t>
      </w:r>
      <w:r>
        <w:rPr>
          <w:rFonts w:ascii="Times New Roman" w:cs="Times New Roman" w:eastAsia="Times New Roman" w:hAnsi="Times New Roman"/>
          <w:sz w:val="20"/>
          <w:szCs w:val="20"/>
          <w:color w:val="auto"/>
        </w:rPr>
        <w:t>. The section heading in this Agreement are for convenience of reference only, and they form no part of this Agreement and shall not affect its interpretation.</w:t>
      </w:r>
    </w:p>
    <w:p>
      <w:pPr>
        <w:spacing w:after="0" w:line="173" w:lineRule="exact"/>
        <w:rPr>
          <w:rFonts w:ascii="Times New Roman" w:cs="Times New Roman" w:eastAsia="Times New Roman" w:hAnsi="Times New Roman"/>
          <w:sz w:val="18"/>
          <w:szCs w:val="18"/>
          <w:color w:val="auto"/>
        </w:rPr>
      </w:pPr>
    </w:p>
    <w:p>
      <w:pPr>
        <w:ind w:left="-656" w:right="360" w:firstLine="656"/>
        <w:spacing w:after="0" w:line="277" w:lineRule="auto"/>
        <w:tabs>
          <w:tab w:leader="none" w:pos="8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ENTIRE AGREEMENT; AMENDMENTS; COUNTERPARTS</w:t>
      </w:r>
      <w:r>
        <w:rPr>
          <w:rFonts w:ascii="Times New Roman" w:cs="Times New Roman" w:eastAsia="Times New Roman" w:hAnsi="Times New Roman"/>
          <w:sz w:val="20"/>
          <w:szCs w:val="20"/>
          <w:color w:val="auto"/>
        </w:rPr>
        <w:t>. This Agreement constitutes the entire agreement and understanding between Executive and the Company with respect to the subject matter hereof and shall supersede any and all other prior agreements and understandings, whether oral or written, relating thereto or the employment of Executive by the Company. This Agreement may not be rescinded, modified, or amended,</w:t>
      </w:r>
    </w:p>
    <w:p>
      <w:pPr>
        <w:sectPr>
          <w:pgSz w:w="11900" w:h="16838" w:orient="portrait"/>
          <w:cols w:equalWidth="0" w:num="1">
            <w:col w:w="10744"/>
          </w:cols>
          <w:pgMar w:left="896" w:top="590" w:right="259" w:bottom="1440" w:gutter="0" w:footer="0" w:header="0"/>
        </w:sectPr>
      </w:pPr>
    </w:p>
    <w:bookmarkStart w:id="210" w:name="page211"/>
    <w:bookmarkEnd w:id="210"/>
    <w:p>
      <w:pPr>
        <w:ind w:right="160"/>
        <w:spacing w:after="0" w:line="277" w:lineRule="auto"/>
        <w:rPr>
          <w:sz w:val="20"/>
          <w:szCs w:val="20"/>
          <w:color w:val="auto"/>
        </w:rPr>
      </w:pPr>
      <w:r>
        <w:rPr>
          <w:rFonts w:ascii="Times New Roman" w:cs="Times New Roman" w:eastAsia="Times New Roman" w:hAnsi="Times New Roman"/>
          <w:sz w:val="20"/>
          <w:szCs w:val="20"/>
          <w:color w:val="auto"/>
        </w:rPr>
        <w:t>unless an amendment is agreed to in a writing signed by Executive and by an officer of the Company specifically authorized by the Board (other than Executive), and any waiver shall be set forth in writing and signed by the party to be charged. This Agreement may be executed in any number of counterparts, including by facsimile, each of which shall be an original, but all of which together shall constitute one and the same instrument.</w:t>
      </w:r>
    </w:p>
    <w:p>
      <w:pPr>
        <w:spacing w:after="0" w:line="194" w:lineRule="exact"/>
        <w:rPr>
          <w:sz w:val="20"/>
          <w:szCs w:val="20"/>
          <w:color w:val="auto"/>
        </w:rPr>
      </w:pPr>
    </w:p>
    <w:p>
      <w:pPr>
        <w:ind w:right="740" w:firstLine="656"/>
        <w:spacing w:after="0" w:line="297" w:lineRule="auto"/>
        <w:tabs>
          <w:tab w:leader="none" w:pos="152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PARTIAL INVALIDITY</w:t>
      </w:r>
      <w:r>
        <w:rPr>
          <w:rFonts w:ascii="Times New Roman" w:cs="Times New Roman" w:eastAsia="Times New Roman" w:hAnsi="Times New Roman"/>
          <w:sz w:val="20"/>
          <w:szCs w:val="20"/>
          <w:color w:val="auto"/>
        </w:rPr>
        <w:t>. The invalidity or unenforceability, by statute, court decision, or otherwise, of any term or condition of this Agreement shall not affect the validity or enforceability of any other term or condition hereof.</w:t>
      </w:r>
    </w:p>
    <w:p>
      <w:pPr>
        <w:spacing w:after="0" w:line="173" w:lineRule="exact"/>
        <w:rPr>
          <w:rFonts w:ascii="Times New Roman" w:cs="Times New Roman" w:eastAsia="Times New Roman" w:hAnsi="Times New Roman"/>
          <w:sz w:val="18"/>
          <w:szCs w:val="18"/>
          <w:color w:val="auto"/>
        </w:rPr>
      </w:pPr>
    </w:p>
    <w:p>
      <w:pPr>
        <w:ind w:firstLine="656"/>
        <w:spacing w:after="0" w:line="297" w:lineRule="auto"/>
        <w:tabs>
          <w:tab w:leader="none" w:pos="152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and administered in accordance with the laws of Bermuda, without regard to the principles of conflicts of law which might otherwise apply.</w:t>
      </w:r>
    </w:p>
    <w:p>
      <w:pPr>
        <w:spacing w:after="0" w:line="173" w:lineRule="exact"/>
        <w:rPr>
          <w:rFonts w:ascii="Times New Roman" w:cs="Times New Roman" w:eastAsia="Times New Roman" w:hAnsi="Times New Roman"/>
          <w:sz w:val="18"/>
          <w:szCs w:val="18"/>
          <w:color w:val="auto"/>
        </w:rPr>
      </w:pPr>
    </w:p>
    <w:p>
      <w:pPr>
        <w:ind w:right="20" w:firstLine="656"/>
        <w:spacing w:after="0" w:line="277" w:lineRule="auto"/>
        <w:tabs>
          <w:tab w:leader="none" w:pos="152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ASSIGNABILITY</w:t>
      </w:r>
      <w:r>
        <w:rPr>
          <w:rFonts w:ascii="Times New Roman" w:cs="Times New Roman" w:eastAsia="Times New Roman" w:hAnsi="Times New Roman"/>
          <w:sz w:val="20"/>
          <w:szCs w:val="20"/>
          <w:color w:val="auto"/>
        </w:rPr>
        <w:t>. This Agreement may not be assigned by Executive. All of the terms and conditions of this Agreement shall be binding upon and inure to the benefit of the Company and its successors and assigns. Successors to the Company shall include, without limitation, any corporation or corporations acquiring, directly or indirectly, all or substantially all of the assets of the Company whether by merger, consolidation, purchase, or otherwise and such successor shall thereafter be deemed the “Company” for purposes hereof.</w:t>
      </w:r>
    </w:p>
    <w:p>
      <w:pPr>
        <w:spacing w:after="0" w:line="194"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DISPUTE RESOLUTION.</w:t>
      </w:r>
    </w:p>
    <w:p>
      <w:pPr>
        <w:spacing w:after="0" w:line="256" w:lineRule="exact"/>
        <w:rPr>
          <w:rFonts w:ascii="Times New Roman" w:cs="Times New Roman" w:eastAsia="Times New Roman" w:hAnsi="Times New Roman"/>
          <w:sz w:val="18"/>
          <w:szCs w:val="18"/>
          <w:color w:val="auto"/>
        </w:rPr>
      </w:pPr>
    </w:p>
    <w:p>
      <w:pPr>
        <w:ind w:left="660" w:firstLine="645"/>
        <w:spacing w:after="0" w:line="286" w:lineRule="auto"/>
        <w:tabs>
          <w:tab w:leader="none" w:pos="2156"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either Bermuda or the city of Raleigh, North Carolina;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either party may seek temporary, preliminary, and or permanent injunctive relief with respect to appropriate matters (including, without limitation, enforcement of Sections 4 and 5 above) without resort to arbitration. Such arbitration proceeding shall be conducted pursuant to the commercial arbitration rules (formal or informal) of the American Arbitration Association in as expedited a manner as is then permitted by such rules (the “</w:t>
      </w: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 This Section 17(a) is without prejudice to the Executive’s statutory right to complain to an employment inspector and/or employment tribunal under Bermuda’s Employment Act 2.</w:t>
      </w:r>
    </w:p>
    <w:p>
      <w:pPr>
        <w:spacing w:after="0" w:line="192" w:lineRule="exact"/>
        <w:rPr>
          <w:rFonts w:ascii="Times New Roman" w:cs="Times New Roman" w:eastAsia="Times New Roman" w:hAnsi="Times New Roman"/>
          <w:sz w:val="17"/>
          <w:szCs w:val="17"/>
          <w:color w:val="auto"/>
        </w:rPr>
      </w:pPr>
    </w:p>
    <w:p>
      <w:pPr>
        <w:ind w:left="660" w:right="140" w:firstLine="645"/>
        <w:spacing w:after="0" w:line="277" w:lineRule="auto"/>
        <w:tabs>
          <w:tab w:leader="none" w:pos="216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 Such Arbitration may be initiated by written notice from either party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thirty (30) days following completion of the Arbitration</w:t>
      </w:r>
    </w:p>
    <w:p>
      <w:pPr>
        <w:spacing w:after="0" w:line="194" w:lineRule="exact"/>
        <w:rPr>
          <w:rFonts w:ascii="Times New Roman" w:cs="Times New Roman" w:eastAsia="Times New Roman" w:hAnsi="Times New Roman"/>
          <w:sz w:val="18"/>
          <w:szCs w:val="18"/>
          <w:color w:val="auto"/>
        </w:rPr>
      </w:pPr>
    </w:p>
    <w:p>
      <w:pPr>
        <w:ind w:left="660" w:right="100" w:firstLine="645"/>
        <w:spacing w:after="0" w:line="275" w:lineRule="auto"/>
        <w:tabs>
          <w:tab w:leader="none" w:pos="215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Venue and Jurisdiction</w:t>
      </w:r>
      <w:r>
        <w:rPr>
          <w:rFonts w:ascii="Times New Roman" w:cs="Times New Roman" w:eastAsia="Times New Roman" w:hAnsi="Times New Roman"/>
          <w:sz w:val="20"/>
          <w:szCs w:val="20"/>
          <w:color w:val="auto"/>
        </w:rPr>
        <w:t xml:space="preserve">. Any action to compel arbitration hereunder or otherwise relating to this Agreement shall be brought exclusively in either a Bermuda court or a state court or federal court located in Raleigh, North Carolina,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with respect to an action brought in North Carolina, if a federal court has jurisdiction over the subject matter thereof, then such action shall be brought in federal court, and the Company and Executive hereby irrevocably submit with regard to any such action or proceeding for itself and in respect to its property, generally and unconditionally, to the jurisdiction of the aforesaid courts.</w:t>
      </w:r>
    </w:p>
    <w:p>
      <w:pPr>
        <w:spacing w:after="0" w:line="195" w:lineRule="exact"/>
        <w:rPr>
          <w:rFonts w:ascii="Times New Roman" w:cs="Times New Roman" w:eastAsia="Times New Roman" w:hAnsi="Times New Roman"/>
          <w:sz w:val="18"/>
          <w:szCs w:val="18"/>
          <w:color w:val="auto"/>
        </w:rPr>
      </w:pPr>
    </w:p>
    <w:p>
      <w:pPr>
        <w:ind w:left="660" w:right="340" w:firstLine="645"/>
        <w:spacing w:after="0" w:line="282" w:lineRule="auto"/>
        <w:tabs>
          <w:tab w:leader="none" w:pos="216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IN THE EVENT OF ANY LITIGATION WITH RESPECT TO ANY MATTER CONNECTED WITH THIS AGREEMENT OR THE AGREEMENTS OR TRANSACTIONS CONTEMPLATED HEREUNDER ALL OF THE PARTIES HERETO WAIVE ALL RIGHTS TO A TRIAL BY JURY.</w:t>
      </w:r>
    </w:p>
    <w:p>
      <w:pPr>
        <w:sectPr>
          <w:pgSz w:w="11900" w:h="16838" w:orient="portrait"/>
          <w:cols w:equalWidth="0" w:num="1">
            <w:col w:w="11400"/>
          </w:cols>
          <w:pgMar w:left="240" w:top="589" w:right="2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9"/>
          <w:szCs w:val="19"/>
          <w:color w:val="auto"/>
        </w:rPr>
        <w:t>Kindly indicate your acceptance of this Agreement by signing and returning a copy of this letter to me.</w:t>
      </w:r>
    </w:p>
    <w:p>
      <w:pPr>
        <w:spacing w:after="0" w:line="2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JRG REINSURANCE COMPANY, LTD.</w:t>
      </w:r>
    </w:p>
    <w:p>
      <w:pPr>
        <w:spacing w:after="0" w:line="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By: ____</w:t>
      </w:r>
      <w:r>
        <w:rPr>
          <w:rFonts w:ascii="Times New Roman" w:cs="Times New Roman" w:eastAsia="Times New Roman" w:hAnsi="Times New Roman"/>
          <w:sz w:val="20"/>
          <w:szCs w:val="20"/>
          <w:u w:val="single" w:color="auto"/>
          <w:color w:val="auto"/>
        </w:rPr>
        <w:t>/s/ Helen Gillis</w:t>
      </w:r>
      <w:r>
        <w:rPr>
          <w:rFonts w:ascii="Times New Roman" w:cs="Times New Roman" w:eastAsia="Times New Roman" w:hAnsi="Times New Roman"/>
          <w:sz w:val="20"/>
          <w:szCs w:val="20"/>
          <w:color w:val="auto"/>
        </w:rPr>
        <w:t>_________________</w:t>
      </w:r>
    </w:p>
    <w:p>
      <w:pPr>
        <w:ind w:left="3740"/>
        <w:spacing w:after="0"/>
        <w:rPr>
          <w:sz w:val="20"/>
          <w:szCs w:val="20"/>
          <w:color w:val="auto"/>
        </w:rPr>
      </w:pPr>
      <w:r>
        <w:rPr>
          <w:rFonts w:ascii="Times New Roman" w:cs="Times New Roman" w:eastAsia="Times New Roman" w:hAnsi="Times New Roman"/>
          <w:sz w:val="20"/>
          <w:szCs w:val="20"/>
          <w:color w:val="auto"/>
        </w:rPr>
        <w:t>Name: Helen Gillis</w:t>
      </w:r>
    </w:p>
    <w:p>
      <w:pPr>
        <w:ind w:left="3740"/>
        <w:spacing w:after="0"/>
        <w:tabs>
          <w:tab w:leader="none" w:pos="4360" w:val="left"/>
        </w:tabs>
        <w:rPr>
          <w:sz w:val="20"/>
          <w:szCs w:val="20"/>
          <w:color w:val="auto"/>
        </w:rPr>
      </w:pPr>
      <w:r>
        <w:rPr>
          <w:rFonts w:ascii="Times New Roman" w:cs="Times New Roman" w:eastAsia="Times New Roman" w:hAnsi="Times New Roman"/>
          <w:sz w:val="20"/>
          <w:szCs w:val="20"/>
          <w:color w:val="auto"/>
        </w:rPr>
        <w:t>Title:</w:t>
        <w:tab/>
        <w:t>CFO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 THIS 6th DAY OF APRIL,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w:t>
      </w:r>
      <w:r>
        <w:rPr>
          <w:rFonts w:ascii="Times New Roman" w:cs="Times New Roman" w:eastAsia="Times New Roman" w:hAnsi="Times New Roman"/>
          <w:sz w:val="20"/>
          <w:szCs w:val="20"/>
          <w:u w:val="single" w:color="auto"/>
          <w:color w:val="auto"/>
        </w:rPr>
        <w:t>/s/ Daniel Heinlein_______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Heinlein</w:t>
      </w:r>
    </w:p>
    <w:p>
      <w:pPr>
        <w:sectPr>
          <w:pgSz w:w="11900" w:h="16838" w:orient="portrait"/>
          <w:cols w:equalWidth="0" w:num="1">
            <w:col w:w="10219"/>
          </w:cols>
          <w:pgMar w:left="240" w:top="576"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JAMES RIVER GROUP HOLDINGS, LTD.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Formation</w:t>
            </w:r>
          </w:p>
        </w:tc>
      </w:tr>
      <w:tr>
        <w:trPr>
          <w:trHeight w:val="27"/>
        </w:trPr>
        <w:tc>
          <w:tcPr>
            <w:tcW w:w="5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Carolina Re, Ltd.</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Fire and Casualty Company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Insurance Management Company, Inc.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National Insurance Company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 Holdings II (Bermuda) Capital Trust I</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II</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III</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IV</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Casualty Company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Group Holdings UK Limited</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Group, Inc.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Insurance Company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Management Company, Inc.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Richmond Real Estate, LLC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JRG Reinsurance Company, Ltd.</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Potomac Risk Services, Inc.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Stonewood Insurance Company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North Carolina</w:t>
            </w:r>
          </w:p>
        </w:tc>
      </w:tr>
    </w:tbl>
    <w:p>
      <w:pPr>
        <w:sectPr>
          <w:pgSz w:w="11900" w:h="16838" w:orient="portrait"/>
          <w:cols w:equalWidth="0" w:num="1">
            <w:col w:w="11380"/>
          </w:cols>
          <w:pgMar w:left="280" w:top="577" w:right="2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87" w:lineRule="exact"/>
        <w:rPr>
          <w:sz w:val="20"/>
          <w:szCs w:val="20"/>
          <w:color w:val="auto"/>
        </w:rPr>
      </w:pPr>
    </w:p>
    <w:p>
      <w:pPr>
        <w:ind w:left="1260" w:hanging="705"/>
        <w:spacing w:after="0"/>
        <w:tabs>
          <w:tab w:leader="none" w:pos="12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333-200995 and 333-217743) of James River Group Holdings, Ltd. and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260" w:hanging="705"/>
        <w:spacing w:after="0"/>
        <w:tabs>
          <w:tab w:leader="none" w:pos="12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333-208903) of James River Group Holdings, Ltd.;</w:t>
      </w:r>
    </w:p>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2019,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ectPr>
          <w:pgSz w:w="11900" w:h="16838" w:orient="portrait"/>
          <w:cols w:equalWidth="0" w:num="1">
            <w:col w:w="11420"/>
          </w:cols>
          <w:pgMar w:left="240" w:top="576" w:right="2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Myron, certify that:</w:t>
      </w:r>
    </w:p>
    <w:p>
      <w:pPr>
        <w:spacing w:after="0" w:line="225"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James River Group Holdings, Ltd.;</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P. Myron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7" w:right="2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James River Group Holdings, Ltd.;</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3610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James River Group Holdings, Ltd. (the “Company”) on Form 10-K for the period ended December 31, 2018 as filed with the Securities and Exchange Commission on the date hereof (the “Report”), we, Robert P. Myron, Chief Executive Officer of the Company, and Sarah C. Doran, Chief Financial Officer of the Company, certify, to the best of our knowledge, pursuant to 18 U.S.C. §1350, as adopted pursuant to §906 of the Sarbanes-Oxley Act of 2002, that:</w:t>
      </w:r>
    </w:p>
    <w:p>
      <w:pPr>
        <w:spacing w:after="0" w:line="207" w:lineRule="exact"/>
        <w:rPr>
          <w:sz w:val="20"/>
          <w:szCs w:val="20"/>
          <w:color w:val="auto"/>
        </w:rPr>
      </w:pPr>
    </w:p>
    <w:p>
      <w:pPr>
        <w:ind w:left="860" w:hanging="852"/>
        <w:spacing w:after="0"/>
        <w:tabs>
          <w:tab w:leader="none" w:pos="8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P. Myron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February 27,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February 27, 2019</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x"/>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1)"/>
      <w:numFmt w:val="decimal"/>
      <w:start w:val="2"/>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1)"/>
      <w:numFmt w:val="lowerRoman"/>
      <w:start w:val="2"/>
    </w:lvl>
  </w:abstractNum>
  <w:abstractNum w:abstractNumId="9">
    <w:nsid w:val="1EBA5D23"/>
    <w:multiLevelType w:val="hybridMultilevel"/>
    <w:lvl w:ilvl="0">
      <w:lvlJc w:val="left"/>
      <w:lvlText w:val="(%1)"/>
      <w:numFmt w:val="lowerRoman"/>
      <w:start w:val="3"/>
    </w:lvl>
  </w:abstractNum>
  <w:abstractNum w:abstractNumId="10">
    <w:nsid w:val="661E3F1E"/>
    <w:multiLevelType w:val="hybridMultilevel"/>
    <w:lvl w:ilvl="0">
      <w:lvlJc w:val="left"/>
      <w:lvlText w:val="(%1)"/>
      <w:numFmt w:val="lowerRoman"/>
      <w:start w:val="4"/>
    </w:lvl>
  </w:abstractNum>
  <w:abstractNum w:abstractNumId="11">
    <w:nsid w:val="5DC79EA8"/>
    <w:multiLevelType w:val="hybridMultilevel"/>
    <w:lvl w:ilvl="0">
      <w:lvlJc w:val="left"/>
      <w:lvlText w:val="(%1)"/>
      <w:numFmt w:val="lowerRoman"/>
      <w:start w:val="3"/>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1)"/>
      <w:numFmt w:val="decimal"/>
      <w:start w:val="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8"/>
    </w:lvl>
  </w:abstractNum>
  <w:abstractNum w:abstractNumId="26">
    <w:nsid w:val="6A5EE64"/>
    <w:multiLevelType w:val="hybridMultilevel"/>
    <w:lvl w:ilvl="0">
      <w:lvlJc w:val="left"/>
      <w:lvlText w:val="(%1)"/>
      <w:numFmt w:val="decimal"/>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1)"/>
      <w:numFmt w:val="decimal"/>
      <w:start w:val="1"/>
    </w:lvl>
  </w:abstractNum>
  <w:abstractNum w:abstractNumId="29">
    <w:nsid w:val="1A27709E"/>
    <w:multiLevelType w:val="hybridMultilevel"/>
    <w:lvl w:ilvl="0">
      <w:lvlJc w:val="left"/>
      <w:lvlText w:val="(%1)"/>
      <w:numFmt w:val="decimal"/>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1)"/>
      <w:numFmt w:val="decimal"/>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lowerLetter"/>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1."/>
      <w:numFmt w:val="decimal"/>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1."/>
      <w:numFmt w:val="decimal"/>
      <w:start w:val="2"/>
    </w:lvl>
  </w:abstractNum>
  <w:abstractNum w:abstractNumId="48">
    <w:nsid w:val="57FC4FBB"/>
    <w:multiLevelType w:val="hybridMultilevel"/>
    <w:lvl w:ilvl="0">
      <w:lvlJc w:val="left"/>
      <w:lvlText w:val="(%1)"/>
      <w:numFmt w:val="lowerLetter"/>
      <w:start w:val="1"/>
    </w:lvl>
  </w:abstractNum>
  <w:abstractNum w:abstractNumId="49">
    <w:nsid w:val="CC1016F"/>
    <w:multiLevelType w:val="hybridMultilevel"/>
    <w:lvl w:ilvl="0">
      <w:lvlJc w:val="left"/>
      <w:lvlText w:val="%1."/>
      <w:numFmt w:val="decimal"/>
      <w:start w:val="3"/>
    </w:lvl>
  </w:abstractNum>
  <w:abstractNum w:abstractNumId="50">
    <w:nsid w:val="43F18422"/>
    <w:multiLevelType w:val="hybridMultilevel"/>
    <w:lvl w:ilvl="0">
      <w:lvlJc w:val="left"/>
      <w:lvlText w:val="%1."/>
      <w:numFmt w:val="decimal"/>
      <w:start w:val="4"/>
    </w:lvl>
  </w:abstractNum>
  <w:abstractNum w:abstractNumId="51">
    <w:nsid w:val="60EF0119"/>
    <w:multiLevelType w:val="hybridMultilevel"/>
    <w:lvl w:ilvl="0">
      <w:lvlJc w:val="left"/>
      <w:lvlText w:val="%1."/>
      <w:numFmt w:val="decimal"/>
      <w:start w:val="5"/>
    </w:lvl>
  </w:abstractNum>
  <w:abstractNum w:abstractNumId="52">
    <w:nsid w:val="26F324BA"/>
    <w:multiLevelType w:val="hybridMultilevel"/>
    <w:lvl w:ilvl="0">
      <w:lvlJc w:val="left"/>
      <w:lvlText w:val="%1."/>
      <w:numFmt w:val="decimal"/>
      <w:start w:val="6"/>
    </w:lvl>
  </w:abstractNum>
  <w:abstractNum w:abstractNumId="53">
    <w:nsid w:val="7F01579B"/>
    <w:multiLevelType w:val="hybridMultilevel"/>
    <w:lvl w:ilvl="0">
      <w:lvlJc w:val="left"/>
      <w:lvlText w:val="%1."/>
      <w:numFmt w:val="decimal"/>
      <w:start w:val="7"/>
    </w:lvl>
  </w:abstractNum>
  <w:abstractNum w:abstractNumId="54">
    <w:nsid w:val="49DA307D"/>
    <w:multiLevelType w:val="hybridMultilevel"/>
    <w:lvl w:ilvl="0">
      <w:lvlJc w:val="left"/>
      <w:lvlText w:val="%1."/>
      <w:numFmt w:val="decimal"/>
      <w:start w:val="8"/>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1."/>
      <w:numFmt w:val="decimal"/>
      <w:start w:val="9"/>
    </w:lvl>
  </w:abstractNum>
  <w:abstractNum w:abstractNumId="58">
    <w:nsid w:val="488AC1A"/>
    <w:multiLevelType w:val="hybridMultilevel"/>
    <w:lvl w:ilvl="0">
      <w:lvlJc w:val="left"/>
      <w:lvlText w:val="(%1)"/>
      <w:numFmt w:val="decimal"/>
      <w:start w:val="2"/>
    </w:lvl>
  </w:abstractNum>
  <w:abstractNum w:abstractNumId="59">
    <w:nsid w:val="5FB8011C"/>
    <w:multiLevelType w:val="hybridMultilevel"/>
    <w:lvl w:ilvl="0">
      <w:lvlJc w:val="left"/>
      <w:lvlText w:val="%1."/>
      <w:numFmt w:val="decimal"/>
      <w:start w:val="23"/>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decimal"/>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decimal"/>
      <w:start w:val="1"/>
    </w:lvl>
  </w:abstractNum>
  <w:abstractNum w:abstractNumId="64">
    <w:nsid w:val="7D5E18F8"/>
    <w:multiLevelType w:val="hybridMultilevel"/>
    <w:lvl w:ilvl="0">
      <w:lvlJc w:val="left"/>
      <w:lvlText w:val="%1"/>
      <w:numFmt w:val="decimal"/>
      <w:start w:val="1"/>
    </w:lvl>
    <w:lvl w:ilvl="1">
      <w:lvlJc w:val="left"/>
      <w:lvlText w:val="(%2)"/>
      <w:numFmt w:val="lowerLetter"/>
      <w:start w:val="1"/>
    </w:lvl>
  </w:abstractNum>
  <w:abstractNum w:abstractNumId="65">
    <w:nsid w:val="5F3534A4"/>
    <w:multiLevelType w:val="hybridMultilevel"/>
    <w:lvl w:ilvl="0">
      <w:lvlJc w:val="left"/>
      <w:lvlText w:val="(%1)"/>
      <w:numFmt w:val="decimal"/>
      <w:start w:val="18"/>
    </w:lvl>
    <w:lvl w:ilvl="1">
      <w:lvlJc w:val="left"/>
      <w:lvlText w:val="(%2)"/>
      <w:numFmt w:val="lowerLetter"/>
      <w:start w:val="2"/>
    </w:lvl>
  </w:abstractNum>
  <w:abstractNum w:abstractNumId="66">
    <w:nsid w:val="73A1821B"/>
    <w:multiLevelType w:val="hybridMultilevel"/>
    <w:lvl w:ilvl="0">
      <w:lvlJc w:val="left"/>
      <w:lvlText w:val="(%1)"/>
      <w:numFmt w:val="lowerLetter"/>
      <w:start w:val="5"/>
    </w:lvl>
  </w:abstractNum>
  <w:abstractNum w:abstractNumId="67">
    <w:nsid w:val="7DE67713"/>
    <w:multiLevelType w:val="hybridMultilevel"/>
    <w:lvl w:ilvl="0">
      <w:lvlJc w:val="left"/>
      <w:lvlText w:val="%1."/>
      <w:numFmt w:val="decimal"/>
      <w:start w:val="2"/>
    </w:lvl>
  </w:abstractNum>
  <w:abstractNum w:abstractNumId="68">
    <w:nsid w:val="555C55B5"/>
    <w:multiLevelType w:val="hybridMultilevel"/>
    <w:lvl w:ilvl="0">
      <w:lvlJc w:val="left"/>
      <w:lvlText w:val="(%1)"/>
      <w:numFmt w:val="lowerLetter"/>
      <w:start w:val="1"/>
    </w:lvl>
  </w:abstractNum>
  <w:abstractNum w:abstractNumId="69">
    <w:nsid w:val="3FA62ACA"/>
    <w:multiLevelType w:val="hybridMultilevel"/>
    <w:lvl w:ilvl="0">
      <w:lvlJc w:val="left"/>
      <w:lvlText w:val="%1."/>
      <w:numFmt w:val="decimal"/>
      <w:start w:val="3"/>
    </w:lvl>
    <w:lvl w:ilvl="1">
      <w:lvlJc w:val="left"/>
      <w:lvlText w:val="(%2)"/>
      <w:numFmt w:val="lowerLetter"/>
      <w:start w:val="1"/>
    </w:lvl>
  </w:abstractNum>
  <w:abstractNum w:abstractNumId="70">
    <w:nsid w:val="14FCE74E"/>
    <w:multiLevelType w:val="hybridMultilevel"/>
    <w:lvl w:ilvl="0">
      <w:lvlJc w:val="left"/>
      <w:lvlText w:val="(%1)"/>
      <w:numFmt w:val="lowerLetter"/>
      <w:start w:val="3"/>
    </w:lvl>
  </w:abstractNum>
  <w:abstractNum w:abstractNumId="71">
    <w:nsid w:val="6A3DD3E8"/>
    <w:multiLevelType w:val="hybridMultilevel"/>
    <w:lvl w:ilvl="0">
      <w:lvlJc w:val="left"/>
      <w:lvlText w:val="%1."/>
      <w:numFmt w:val="decimal"/>
      <w:start w:val="4"/>
    </w:lvl>
  </w:abstractNum>
  <w:abstractNum w:abstractNumId="72">
    <w:nsid w:val="71C91298"/>
    <w:multiLevelType w:val="hybridMultilevel"/>
    <w:lvl w:ilvl="0">
      <w:lvlJc w:val="left"/>
      <w:lvlText w:val="%1."/>
      <w:numFmt w:val="decimal"/>
      <w:start w:val="7"/>
    </w:lvl>
  </w:abstractNum>
  <w:abstractNum w:abstractNumId="73">
    <w:nsid w:val="9DAF632"/>
    <w:multiLevelType w:val="hybridMultilevel"/>
    <w:lvl w:ilvl="0">
      <w:lvlJc w:val="left"/>
      <w:lvlText w:val="%1."/>
      <w:numFmt w:val="decimal"/>
      <w:start w:val="13"/>
    </w:lvl>
  </w:abstractNum>
  <w:abstractNum w:abstractNumId="74">
    <w:nsid w:val="53299938"/>
    <w:multiLevelType w:val="hybridMultilevel"/>
    <w:lvl w:ilvl="0">
      <w:lvlJc w:val="left"/>
      <w:lvlText w:val="%1."/>
      <w:numFmt w:val="decimal"/>
      <w:start w:val="15"/>
    </w:lvl>
  </w:abstractNum>
  <w:abstractNum w:abstractNumId="75">
    <w:nsid w:val="1FBFE8E0"/>
    <w:multiLevelType w:val="hybridMultilevel"/>
    <w:lvl w:ilvl="0">
      <w:lvlJc w:val="left"/>
      <w:lvlText w:val="%1."/>
      <w:numFmt w:val="decimal"/>
      <w:start w:val="1"/>
    </w:lvl>
  </w:abstractNum>
  <w:abstractNum w:abstractNumId="76">
    <w:nsid w:val="5092CA79"/>
    <w:multiLevelType w:val="hybridMultilevel"/>
    <w:lvl w:ilvl="0">
      <w:lvlJc w:val="left"/>
      <w:lvlText w:val="(%1)"/>
      <w:numFmt w:val="lowerLetter"/>
      <w:start w:val="1"/>
    </w:lvl>
  </w:abstractNum>
  <w:abstractNum w:abstractNumId="77">
    <w:nsid w:val="1D545C4D"/>
    <w:multiLevelType w:val="hybridMultilevel"/>
    <w:lvl w:ilvl="0">
      <w:lvlJc w:val="left"/>
      <w:lvlText w:val="%1"/>
      <w:numFmt w:val="lowerLetter"/>
      <w:start w:val="1"/>
    </w:lvl>
    <w:lvl w:ilvl="1">
      <w:lvlJc w:val="left"/>
      <w:lvlText w:val="(%2)"/>
      <w:numFmt w:val="lowerLetter"/>
      <w:start w:val="3"/>
    </w:lvl>
  </w:abstractNum>
  <w:abstractNum w:abstractNumId="78">
    <w:nsid w:val="59ADEA3D"/>
    <w:multiLevelType w:val="hybridMultilevel"/>
    <w:lvl w:ilvl="0">
      <w:lvlJc w:val="left"/>
      <w:lvlText w:val="(%1)"/>
      <w:numFmt w:val="lowerLetter"/>
      <w:start w:val="9"/>
    </w:lvl>
    <w:lvl w:ilvl="1">
      <w:lvlJc w:val="left"/>
      <w:lvlText w:val="(%2)"/>
      <w:numFmt w:val="lowerLetter"/>
      <w:start w:val="5"/>
    </w:lvl>
  </w:abstractNum>
  <w:abstractNum w:abstractNumId="79">
    <w:nsid w:val="288F1A34"/>
    <w:multiLevelType w:val="hybridMultilevel"/>
    <w:lvl w:ilvl="0">
      <w:lvlJc w:val="left"/>
      <w:lvlText w:val="%1."/>
      <w:numFmt w:val="decimal"/>
      <w:start w:val="3"/>
    </w:lvl>
  </w:abstractNum>
  <w:abstractNum w:abstractNumId="80">
    <w:nsid w:val="2A155DB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81">
    <w:nsid w:val="1D9F6E5F"/>
    <w:multiLevelType w:val="hybridMultilevel"/>
    <w:lvl w:ilvl="0">
      <w:lvlJc w:val="left"/>
      <w:lvlText w:val="%1"/>
      <w:numFmt w:val="lowerLetter"/>
      <w:start w:val="1"/>
    </w:lvl>
    <w:lvl w:ilvl="1">
      <w:lvlJc w:val="left"/>
      <w:lvlText w:val="(%2)"/>
      <w:numFmt w:val="lowerLetter"/>
      <w:start w:val="35"/>
    </w:lvl>
  </w:abstractNum>
  <w:abstractNum w:abstractNumId="82">
    <w:nsid w:val="97E1B4E"/>
    <w:multiLevelType w:val="hybridMultilevel"/>
    <w:lvl w:ilvl="0">
      <w:lvlJc w:val="left"/>
      <w:lvlText w:val="(%1)"/>
      <w:numFmt w:val="lowerLetter"/>
      <w:start w:val="2"/>
    </w:lvl>
    <w:lvl w:ilvl="1">
      <w:lvlJc w:val="left"/>
      <w:lvlText w:val="%2"/>
      <w:numFmt w:val="lowerLetter"/>
      <w:start w:val="1"/>
    </w:lvl>
  </w:abstractNum>
  <w:abstractNum w:abstractNumId="83">
    <w:nsid w:val="5108827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4">
    <w:nsid w:val="1CA0C5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5">
    <w:nsid w:val="53584BC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86">
    <w:nsid w:val="415E286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87">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8">
    <w:nsid w:val="23D86AAC"/>
    <w:multiLevelType w:val="hybridMultilevel"/>
    <w:lvl w:ilvl="0">
      <w:lvlJc w:val="left"/>
      <w:lvlText w:val="(%1)"/>
      <w:numFmt w:val="lowerRoman"/>
      <w:start w:val="3"/>
    </w:lvl>
  </w:abstractNum>
  <w:abstractNum w:abstractNumId="89">
    <w:nsid w:val="45E6D486"/>
    <w:multiLevelType w:val="hybridMultilevel"/>
    <w:lvl w:ilvl="0">
      <w:lvlJc w:val="left"/>
      <w:lvlText w:val="(%1)"/>
      <w:numFmt w:val="lowerRoman"/>
      <w:start w:val="6"/>
    </w:lvl>
  </w:abstractNum>
  <w:abstractNum w:abstractNumId="90">
    <w:nsid w:val="5C10FE21"/>
    <w:multiLevelType w:val="hybridMultilevel"/>
    <w:lvl w:ilvl="0">
      <w:lvlJc w:val="left"/>
      <w:lvlText w:val="(%1)"/>
      <w:numFmt w:val="lowerRoman"/>
      <w:start w:val="7"/>
    </w:lvl>
  </w:abstractNum>
  <w:abstractNum w:abstractNumId="91">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92">
    <w:nsid w:val="3C5991A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3">
    <w:nsid w:val="4BD8591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4">
    <w:nsid w:val="78DF6A5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lvl w:ilvl="3">
      <w:lvlJc w:val="left"/>
      <w:lvlText w:val="(%4)"/>
      <w:numFmt w:val="lowerLetter"/>
      <w:start w:val="9"/>
    </w:lvl>
  </w:abstractNum>
  <w:abstractNum w:abstractNumId="95">
    <w:nsid w:val="39B7AAA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96">
    <w:nsid w:val="2B0D8DBE"/>
    <w:multiLevelType w:val="hybridMultilevel"/>
    <w:lvl w:ilvl="0">
      <w:lvlJc w:val="left"/>
      <w:lvlText w:val="%1"/>
      <w:numFmt w:val="decimal"/>
      <w:start w:val="1"/>
    </w:lvl>
    <w:lvl w:ilvl="1">
      <w:lvlJc w:val="left"/>
      <w:lvlText w:val="(%2)"/>
      <w:numFmt w:val="lowerLetter"/>
      <w:start w:val="4"/>
    </w:lvl>
  </w:abstractNum>
  <w:abstractNum w:abstractNumId="97">
    <w:nsid w:val="6C80EC70"/>
    <w:multiLevelType w:val="hybridMultilevel"/>
    <w:lvl w:ilvl="0">
      <w:lvlJc w:val="left"/>
      <w:lvlText w:val="%1"/>
      <w:numFmt w:val="decimal"/>
      <w:start w:val="12"/>
    </w:lvl>
    <w:lvl w:ilvl="1">
      <w:lvlJc w:val="left"/>
      <w:lvlText w:val="(%2)"/>
      <w:numFmt w:val="lowerLetter"/>
      <w:start w:val="5"/>
    </w:lvl>
  </w:abstractNum>
  <w:abstractNum w:abstractNumId="98">
    <w:nsid w:val="379E21B5"/>
    <w:multiLevelType w:val="hybridMultilevel"/>
    <w:lvl w:ilvl="0">
      <w:lvlJc w:val="left"/>
      <w:lvlText w:val="%1."/>
      <w:numFmt w:val="decimal"/>
      <w:start w:val="7"/>
    </w:lvl>
    <w:lvl w:ilvl="1">
      <w:lvlJc w:val="left"/>
      <w:lvlText w:val="(%2)"/>
      <w:numFmt w:val="lowerLetter"/>
      <w:start w:val="1"/>
    </w:lvl>
  </w:abstractNum>
  <w:abstractNum w:abstractNumId="99">
    <w:nsid w:val="69E373"/>
    <w:multiLevelType w:val="hybridMultilevel"/>
    <w:lvl w:ilvl="0">
      <w:lvlJc w:val="left"/>
      <w:lvlText w:val="(%1)"/>
      <w:numFmt w:val="lowerRoman"/>
      <w:start w:val="1"/>
    </w:lvl>
  </w:abstractNum>
  <w:abstractNum w:abstractNumId="100">
    <w:nsid w:val="2C27173B"/>
    <w:multiLevelType w:val="hybridMultilevel"/>
    <w:lvl w:ilvl="0">
      <w:lvlJc w:val="left"/>
      <w:lvlText w:val="(%1)"/>
      <w:numFmt w:val="upperLetter"/>
      <w:start w:val="1"/>
    </w:lvl>
  </w:abstractNum>
  <w:abstractNum w:abstractNumId="101">
    <w:nsid w:val="4C9B0904"/>
    <w:multiLevelType w:val="hybridMultilevel"/>
    <w:lvl w:ilvl="0">
      <w:lvlJc w:val="left"/>
      <w:lvlText w:val="%1"/>
      <w:numFmt w:val="lowerLetter"/>
      <w:start w:val="1"/>
    </w:lvl>
    <w:lvl w:ilvl="1">
      <w:lvlJc w:val="left"/>
      <w:lvlText w:val="(%2)"/>
      <w:numFmt w:val="lowerRoman"/>
      <w:start w:val="4"/>
    </w:lvl>
  </w:abstractNum>
  <w:abstractNum w:abstractNumId="102">
    <w:nsid w:val="6AA7B75C"/>
    <w:multiLevelType w:val="hybridMultilevel"/>
    <w:lvl w:ilvl="0">
      <w:lvlJc w:val="left"/>
      <w:lvlText w:val="(%1)"/>
      <w:numFmt w:val="lowerLetter"/>
      <w:start w:val="2"/>
    </w:lvl>
    <w:lvl w:ilvl="1">
      <w:lvlJc w:val="left"/>
      <w:lvlText w:val="(%2)"/>
      <w:numFmt w:val="lowerRoman"/>
      <w:start w:val="1"/>
    </w:lvl>
  </w:abstractNum>
  <w:abstractNum w:abstractNumId="103">
    <w:nsid w:val="1DF029D3"/>
    <w:multiLevelType w:val="hybridMultilevel"/>
    <w:lvl w:ilvl="0">
      <w:lvlJc w:val="left"/>
      <w:lvlText w:val="(%1)"/>
      <w:numFmt w:val="lowerLetter"/>
      <w:start w:val="3"/>
    </w:lvl>
  </w:abstractNum>
  <w:abstractNum w:abstractNumId="104">
    <w:nsid w:val="5675FF36"/>
    <w:multiLevelType w:val="hybridMultilevel"/>
    <w:lvl w:ilvl="0">
      <w:lvlJc w:val="left"/>
      <w:lvlText w:val="%1."/>
      <w:numFmt w:val="lowerRoman"/>
      <w:start w:val="1"/>
    </w:lvl>
  </w:abstractNum>
  <w:abstractNum w:abstractNumId="105">
    <w:nsid w:val="3DD15094"/>
    <w:multiLevelType w:val="hybridMultilevel"/>
    <w:lvl w:ilvl="0">
      <w:lvlJc w:val="left"/>
      <w:lvlText w:val="%1"/>
      <w:numFmt w:val="decimal"/>
      <w:start w:val="1"/>
    </w:lvl>
    <w:lvl w:ilvl="1">
      <w:lvlJc w:val="left"/>
      <w:lvlText w:val="(%2)"/>
      <w:numFmt w:val="lowerLetter"/>
      <w:start w:val="5"/>
    </w:lvl>
  </w:abstractNum>
  <w:abstractNum w:abstractNumId="106">
    <w:nsid w:val="3DB012B3"/>
    <w:multiLevelType w:val="hybridMultilevel"/>
    <w:lvl w:ilvl="0">
      <w:lvlJc w:val="left"/>
      <w:lvlText w:val="%1."/>
      <w:numFmt w:val="decimal"/>
      <w:start w:val="8"/>
    </w:lvl>
    <w:lvl w:ilvl="1">
      <w:lvlJc w:val="left"/>
      <w:lvlText w:val="%2"/>
      <w:numFmt w:val="lowerLetter"/>
      <w:start w:val="1"/>
    </w:lvl>
  </w:abstractNum>
  <w:abstractNum w:abstractNumId="107">
    <w:nsid w:val="2708C9AF"/>
    <w:multiLevelType w:val="hybridMultilevel"/>
    <w:lvl w:ilvl="0">
      <w:lvlJc w:val="left"/>
      <w:lvlText w:val="%1."/>
      <w:numFmt w:val="decimal"/>
      <w:start w:val="9"/>
    </w:lvl>
  </w:abstractNum>
  <w:abstractNum w:abstractNumId="108">
    <w:nsid w:val="5B25ACE2"/>
    <w:multiLevelType w:val="hybridMultilevel"/>
    <w:lvl w:ilvl="0">
      <w:lvlJc w:val="left"/>
      <w:lvlText w:val="%1."/>
      <w:numFmt w:val="decimal"/>
      <w:start w:val="16"/>
    </w:lvl>
    <w:lvl w:ilvl="1">
      <w:lvlJc w:val="left"/>
      <w:lvlText w:val="%2."/>
      <w:numFmt w:val="decimal"/>
      <w:start w:val="17"/>
    </w:lvl>
    <w:lvl w:ilvl="2">
      <w:lvlJc w:val="left"/>
      <w:lvlText w:val="(%3)"/>
      <w:numFmt w:val="lowerLetter"/>
      <w:start w:val="1"/>
    </w:lvl>
  </w:abstractNum>
  <w:abstractNum w:abstractNumId="109">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1">
    <w:nsid w:val="53B0A9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2">
    <w:nsid w:val="34FD6B4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13">
    <w:nsid w:val="5915FF32"/>
    <w:multiLevelType w:val="hybridMultilevel"/>
    <w:lvl w:ilvl="0">
      <w:lvlJc w:val="left"/>
      <w:lvlText w:val="(%1)"/>
      <w:numFmt w:val="decimal"/>
      <w:start w:val="9"/>
    </w:lvl>
    <w:lvl w:ilvl="1">
      <w:lvlJc w:val="left"/>
      <w:lvlText w:val="(%2)"/>
      <w:numFmt w:val="lowerRoman"/>
      <w:start w:val="2"/>
    </w:lvl>
  </w:abstractNum>
  <w:abstractNum w:abstractNumId="114">
    <w:nsid w:val="56438D1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16">
    <w:nsid w:val="2C6E4AF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7">
    <w:nsid w:val="17A1B58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8">
    <w:nsid w:val="4DF72E4E"/>
    <w:multiLevelType w:val="hybridMultilevel"/>
    <w:lvl w:ilvl="0">
      <w:lvlJc w:val="left"/>
      <w:lvlText w:val="(%1)"/>
      <w:numFmt w:val="lowerLetter"/>
      <w:start w:val="3"/>
    </w:lvl>
    <w:lvl w:ilvl="1">
      <w:lvlJc w:val="left"/>
      <w:lvlText w:val="(%2)"/>
      <w:numFmt w:val="lowerRoman"/>
      <w:start w:val="1"/>
    </w:lvl>
  </w:abstractNum>
  <w:abstractNum w:abstractNumId="119">
    <w:nsid w:val="5046B5A9"/>
    <w:multiLevelType w:val="hybridMultilevel"/>
    <w:lvl w:ilvl="0">
      <w:lvlJc w:val="left"/>
      <w:lvlText w:val="%1"/>
      <w:numFmt w:val="decimal"/>
      <w:start w:val="1"/>
    </w:lvl>
    <w:lvl w:ilvl="1">
      <w:lvlJc w:val="left"/>
      <w:lvlText w:val="(%2)"/>
      <w:numFmt w:val="lowerLetter"/>
      <w:start w:val="4"/>
    </w:lvl>
  </w:abstractNum>
  <w:abstractNum w:abstractNumId="120">
    <w:nsid w:val="5D888A08"/>
    <w:multiLevelType w:val="hybridMultilevel"/>
    <w:lvl w:ilvl="0">
      <w:lvlJc w:val="left"/>
      <w:lvlText w:val="%1."/>
      <w:numFmt w:val="decimal"/>
      <w:start w:val="7"/>
    </w:lvl>
    <w:lvl w:ilvl="1">
      <w:lvlJc w:val="left"/>
      <w:lvlText w:val="(%2)"/>
      <w:numFmt w:val="lowerLetter"/>
      <w:start w:val="1"/>
    </w:lvl>
  </w:abstractNum>
  <w:abstractNum w:abstractNumId="121">
    <w:nsid w:val="2A082C70"/>
    <w:multiLevelType w:val="hybridMultilevel"/>
    <w:lvl w:ilvl="0">
      <w:lvlJc w:val="left"/>
      <w:lvlText w:val="(%1)"/>
      <w:numFmt w:val="lowerRoman"/>
      <w:start w:val="1"/>
    </w:lvl>
  </w:abstractNum>
  <w:abstractNum w:abstractNumId="122">
    <w:nsid w:val="5EC6AFD4"/>
    <w:multiLevelType w:val="hybridMultilevel"/>
    <w:lvl w:ilvl="0">
      <w:lvlJc w:val="left"/>
      <w:lvlText w:val="%1"/>
      <w:numFmt w:val="upperLetter"/>
      <w:start w:val="1"/>
    </w:lvl>
    <w:lvl w:ilvl="1">
      <w:lvlJc w:val="left"/>
      <w:lvlText w:val="(%2)"/>
      <w:numFmt w:val="decimal"/>
      <w:start w:val="1"/>
    </w:lvl>
  </w:abstractNum>
  <w:abstractNum w:abstractNumId="123">
    <w:nsid w:val="19E21BB2"/>
    <w:multiLevelType w:val="hybridMultilevel"/>
    <w:lvl w:ilvl="0">
      <w:lvlJc w:val="left"/>
      <w:lvlText w:val="(%1)"/>
      <w:numFmt w:val="upperLetter"/>
      <w:start w:val="35"/>
    </w:lvl>
    <w:lvl w:ilvl="1">
      <w:lvlJc w:val="left"/>
      <w:lvlText w:val="(%2)"/>
      <w:numFmt w:val="decimal"/>
      <w:start w:val="2"/>
    </w:lvl>
  </w:abstractNum>
  <w:abstractNum w:abstractNumId="124">
    <w:nsid w:val="75E0858A"/>
    <w:multiLevelType w:val="hybridMultilevel"/>
    <w:lvl w:ilvl="0">
      <w:lvlJc w:val="left"/>
      <w:lvlText w:val="%1"/>
      <w:numFmt w:val="lowerLetter"/>
      <w:start w:val="1"/>
    </w:lvl>
    <w:lvl w:ilvl="1">
      <w:lvlJc w:val="left"/>
      <w:lvlText w:val="(%2)"/>
      <w:numFmt w:val="lowerLetter"/>
      <w:start w:val="22"/>
    </w:lvl>
  </w:abstractNum>
  <w:abstractNum w:abstractNumId="125">
    <w:nsid w:val="57A61A29"/>
    <w:multiLevelType w:val="hybridMultilevel"/>
    <w:lvl w:ilvl="0">
      <w:lvlJc w:val="left"/>
      <w:lvlText w:val="(%1)"/>
      <w:numFmt w:val="lowerLetter"/>
      <w:start w:val="2"/>
    </w:lvl>
    <w:lvl w:ilvl="1">
      <w:lvlJc w:val="left"/>
      <w:lvlText w:val="(%2)"/>
      <w:numFmt w:val="lowerLetter"/>
      <w:start w:val="9"/>
    </w:lvl>
  </w:abstractNum>
  <w:abstractNum w:abstractNumId="126">
    <w:nsid w:val="5399C654"/>
    <w:multiLevelType w:val="hybridMultilevel"/>
    <w:lvl w:ilvl="0">
      <w:lvlJc w:val="left"/>
      <w:lvlText w:val="%1"/>
      <w:numFmt w:val="lowerLetter"/>
      <w:start w:val="1"/>
    </w:lvl>
    <w:lvl w:ilvl="1">
      <w:lvlJc w:val="left"/>
      <w:lvlText w:val="(%2)"/>
      <w:numFmt w:val="lowerRoman"/>
      <w:start w:val="2"/>
    </w:lvl>
  </w:abstractNum>
  <w:abstractNum w:abstractNumId="127">
    <w:nsid w:val="20EE1348"/>
    <w:multiLevelType w:val="hybridMultilevel"/>
    <w:lvl w:ilvl="0">
      <w:lvlJc w:val="left"/>
      <w:lvlText w:val="(%1)"/>
      <w:numFmt w:val="lowerLetter"/>
      <w:start w:val="3"/>
    </w:lvl>
    <w:lvl w:ilvl="1">
      <w:lvlJc w:val="left"/>
      <w:lvlText w:val="%2"/>
      <w:numFmt w:val="lowerRoman"/>
      <w:start w:val="1"/>
    </w:lvl>
  </w:abstractNum>
  <w:abstractNum w:abstractNumId="128">
    <w:nsid w:val="4427069A"/>
    <w:multiLevelType w:val="hybridMultilevel"/>
    <w:lvl w:ilvl="0">
      <w:lvlJc w:val="left"/>
      <w:lvlText w:val="%1."/>
      <w:numFmt w:val="lowerRoman"/>
      <w:start w:val="1"/>
    </w:lvl>
  </w:abstractNum>
  <w:abstractNum w:abstractNumId="129">
    <w:nsid w:val="B37E80A"/>
    <w:multiLevelType w:val="hybridMultilevel"/>
    <w:lvl w:ilvl="0">
      <w:lvlJc w:val="left"/>
      <w:lvlText w:val="%1"/>
      <w:numFmt w:val="decimal"/>
      <w:start w:val="1"/>
    </w:lvl>
    <w:lvl w:ilvl="1">
      <w:lvlJc w:val="left"/>
      <w:lvlText w:val="(%2)"/>
      <w:numFmt w:val="lowerLetter"/>
      <w:start w:val="6"/>
    </w:lvl>
  </w:abstractNum>
  <w:abstractNum w:abstractNumId="130">
    <w:nsid w:val="2157F6BC"/>
    <w:multiLevelType w:val="hybridMultilevel"/>
    <w:lvl w:ilvl="0">
      <w:lvlJc w:val="left"/>
      <w:lvlText w:val="%1."/>
      <w:numFmt w:val="decimal"/>
      <w:start w:val="8"/>
    </w:lvl>
    <w:lvl w:ilvl="1">
      <w:lvlJc w:val="left"/>
      <w:lvlText w:val="%2"/>
      <w:numFmt w:val="lowerLetter"/>
      <w:start w:val="1"/>
    </w:lvl>
  </w:abstractNum>
  <w:abstractNum w:abstractNumId="131">
    <w:nsid w:val="704E1DD5"/>
    <w:multiLevelType w:val="hybridMultilevel"/>
    <w:lvl w:ilvl="0">
      <w:lvlJc w:val="left"/>
      <w:lvlText w:val="%1."/>
      <w:numFmt w:val="decimal"/>
      <w:start w:val="14"/>
    </w:lvl>
    <w:lvl w:ilvl="1">
      <w:lvlJc w:val="left"/>
      <w:lvlText w:val="(%2)"/>
      <w:numFmt w:val="lowerLetter"/>
      <w:start w:val="1"/>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89" Type="http://schemas.openxmlformats.org/officeDocument/2006/relationships/image" Target="media/image45.png"/><Relationship Id="rId90" Type="http://schemas.openxmlformats.org/officeDocument/2006/relationships/image" Target="media/image46.png"/><Relationship Id="rId91" Type="http://schemas.openxmlformats.org/officeDocument/2006/relationships/image" Target="media/image47.png"/><Relationship Id="rId92" Type="http://schemas.openxmlformats.org/officeDocument/2006/relationships/image" Target="media/image48.png"/><Relationship Id="rId93" Type="http://schemas.openxmlformats.org/officeDocument/2006/relationships/image" Target="media/image49.png"/><Relationship Id="rId94" Type="http://schemas.openxmlformats.org/officeDocument/2006/relationships/image" Target="media/image50.png"/><Relationship Id="rId95" Type="http://schemas.openxmlformats.org/officeDocument/2006/relationships/image" Target="media/image51.png"/><Relationship Id="rId96"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52" Type="http://schemas.openxmlformats.org/officeDocument/2006/relationships/hyperlink" Target="http://www.sec.gov/Archives/edgar/data/1620459/000157104914005924/t1401933_ex3-1.htm" TargetMode="External"/><Relationship Id="rId53" Type="http://schemas.openxmlformats.org/officeDocument/2006/relationships/hyperlink" Target="http://www.sec.gov/Archives/edgar/data/1620459/000157104914005924/t1401933_ex3-2.htm" TargetMode="External"/><Relationship Id="rId54" Type="http://schemas.openxmlformats.org/officeDocument/2006/relationships/hyperlink" Target="http://www.sec.gov/Archives/edgar/data/1620459/000157104914005924/t1401933_ex3-3.htm" TargetMode="External"/><Relationship Id="rId55" Type="http://schemas.openxmlformats.org/officeDocument/2006/relationships/hyperlink" Target="http://www.sec.gov/Archives/edgar/data/1620459/000157104914005924/t1401933_ex3-4.htm" TargetMode="External"/><Relationship Id="rId56" Type="http://schemas.openxmlformats.org/officeDocument/2006/relationships/hyperlink" Target="http://www.sec.gov/Archives/edgar/data/1620459/000157104914005924/t1401933_ex3-5.htm" TargetMode="External"/><Relationship Id="rId57" Type="http://schemas.openxmlformats.org/officeDocument/2006/relationships/hyperlink" Target="http://www.sec.gov/Archives/edgar/data/1620459/000157104915001874/t1500493_ex3-6.htm" TargetMode="External"/><Relationship Id="rId58" Type="http://schemas.openxmlformats.org/officeDocument/2006/relationships/hyperlink" Target="http://www.sec.gov/Archives/edgar/data/1620459/000157104914007101/t1402404_ex4-1.htm" TargetMode="External"/><Relationship Id="rId59" Type="http://schemas.openxmlformats.org/officeDocument/2006/relationships/hyperlink" Target="http://www.sec.gov/Archives/edgar/data/1620459/000157104916020509/t1603038_ex10-1.htm" TargetMode="External"/><Relationship Id="rId60" Type="http://schemas.openxmlformats.org/officeDocument/2006/relationships/hyperlink" Target="http://www.sec.gov/Archives/edgar/data/1620459/000157104917005922/t1701821_ex10-1.htm" TargetMode="External"/><Relationship Id="rId61" Type="http://schemas.openxmlformats.org/officeDocument/2006/relationships/hyperlink" Target="http://www.sec.gov/Archives/edgar/data/1620459/000157104914005924/t1401933_ex10-2.htm" TargetMode="External"/><Relationship Id="rId62" Type="http://schemas.openxmlformats.org/officeDocument/2006/relationships/hyperlink" Target="http://www.sec.gov/Archives/edgar/data/1620459/000157104916012907/t1600530_ex10-5.htm" TargetMode="External"/><Relationship Id="rId63" Type="http://schemas.openxmlformats.org/officeDocument/2006/relationships/hyperlink" Target="http://www.sec.gov/Archives/edgar/data/1620459/000157104917007192/t1702273_ex10-1.htm" TargetMode="External"/><Relationship Id="rId64" Type="http://schemas.openxmlformats.org/officeDocument/2006/relationships/hyperlink" Target="http://www.sec.gov/Archives/edgar/data/1620459/000157104917007192/t1702273_ex10-2.htm" TargetMode="External"/><Relationship Id="rId65" Type="http://schemas.openxmlformats.org/officeDocument/2006/relationships/hyperlink" Target="http://www.sec.gov/Archives/edgar/data/1620459/000157104914006789/t1402136_ex10-7.htm" TargetMode="External"/><Relationship Id="rId66" Type="http://schemas.openxmlformats.org/officeDocument/2006/relationships/hyperlink" Target="http://www.sec.gov/Archives/edgar/data/1620459/000157104914005924/t1401933_ex10-8.htm" TargetMode="External"/><Relationship Id="rId67" Type="http://schemas.openxmlformats.org/officeDocument/2006/relationships/hyperlink" Target="http://www.sec.gov/Archives/edgar/data/1620459/000157104914005924/t1401933_ex10-9.htm" TargetMode="External"/><Relationship Id="rId68" Type="http://schemas.openxmlformats.org/officeDocument/2006/relationships/hyperlink" Target="http://www.sec.gov/Archives/edgar/data/1620459/000157104914006789/t1402136_ex10-10.htm" TargetMode="External"/><Relationship Id="rId69" Type="http://schemas.openxmlformats.org/officeDocument/2006/relationships/hyperlink" Target="http://www.sec.gov/Archives/edgar/data/1620459/000157104914006789/t1402136_ex10-11.htm" TargetMode="External"/><Relationship Id="rId70" Type="http://schemas.openxmlformats.org/officeDocument/2006/relationships/hyperlink" Target="http://www.sec.gov/Archives/edgar/data/1620459/000157104917004403/t1701376_ex10-1.htm" TargetMode="External"/><Relationship Id="rId71" Type="http://schemas.openxmlformats.org/officeDocument/2006/relationships/hyperlink" Target="http://www.sec.gov/Archives/edgar/data/1620459/000157104914006789/t1402136_ex10-12.htm" TargetMode="External"/><Relationship Id="rId72" Type="http://schemas.openxmlformats.org/officeDocument/2006/relationships/hyperlink" Target="http://www.sec.gov/Archives/edgar/data/1620459/000157104914006789/t1402136_ex10-13.htm" TargetMode="External"/><Relationship Id="rId73" Type="http://schemas.openxmlformats.org/officeDocument/2006/relationships/hyperlink" Target="http://www.sec.gov/Archives/edgar/data/1620459/000157104914007101/t1402404_ex10-14.htm" TargetMode="External"/><Relationship Id="rId74" Type="http://schemas.openxmlformats.org/officeDocument/2006/relationships/hyperlink" Target="http://www.sec.gov/Archives/edgar/data/1620459/000157104914006789/t1402136_ex10-15.htm" TargetMode="External"/><Relationship Id="rId75" Type="http://schemas.openxmlformats.org/officeDocument/2006/relationships/hyperlink" Target="http://www.sec.gov/Archives/edgar/data/1620459/000157104914006789/t1402136_ex10-16.htm" TargetMode="External"/><Relationship Id="rId76" Type="http://schemas.openxmlformats.org/officeDocument/2006/relationships/hyperlink" Target="http://www.sec.gov/Archives/edgar/data/1620459/000157104914007101/t1402404_ex10-17.htm" TargetMode="External"/><Relationship Id="rId77" Type="http://schemas.openxmlformats.org/officeDocument/2006/relationships/hyperlink" Target="http://www.sec.gov/Archives/edgar/data/1620459/000157104914006789/t1402136_ex10-18.htm" TargetMode="External"/><Relationship Id="rId78" Type="http://schemas.openxmlformats.org/officeDocument/2006/relationships/hyperlink" Target="http://www.sec.gov/Archives/edgar/data/1620459/000162828018002654/jrvrex102012312017.htm" TargetMode="External"/><Relationship Id="rId79" Type="http://schemas.openxmlformats.org/officeDocument/2006/relationships/hyperlink" Target="http://www.sec.gov/Archives/edgar/data/1620459/000157104916020824/t1603123_ex10-1.htm" TargetMode="External"/><Relationship Id="rId80" Type="http://schemas.openxmlformats.org/officeDocument/2006/relationships/hyperlink" Target="http://www.sec.gov/Archives/edgar/data/1620459/000162828018013981/jrvrex10109302018.htm" TargetMode="External"/><Relationship Id="rId81" Type="http://schemas.openxmlformats.org/officeDocument/2006/relationships/hyperlink" Target="http://www.sec.gov/Archives/edgar/data/1620459/000162828018002654/jrvrex102212312017.htm" TargetMode="External"/><Relationship Id="rId82" Type="http://schemas.openxmlformats.org/officeDocument/2006/relationships/hyperlink" Target="http://www.sec.gov/Archives/edgar/data/1620459/000157104914006789/t1402136_ex10-22.htm" TargetMode="External"/><Relationship Id="rId83" Type="http://schemas.openxmlformats.org/officeDocument/2006/relationships/hyperlink" Target="http://www.sec.gov/Archives/edgar/data/1620459/000162828018005982/jrvrex10103312018.htm" TargetMode="External"/><Relationship Id="rId84" Type="http://schemas.openxmlformats.org/officeDocument/2006/relationships/hyperlink" Target="http://www.sec.gov/Archives/edgar/data/1620459/000162828018002654/jrvrex102512312017.htm" TargetMode="External"/><Relationship Id="rId85" Type="http://schemas.openxmlformats.org/officeDocument/2006/relationships/hyperlink" Target="http://www.sec.gov/Archives/edgar/data/1620459/000114420418020749/tv491092_ex10-2.htm" TargetMode="External"/><Relationship Id="rId86" Type="http://schemas.openxmlformats.org/officeDocument/2006/relationships/hyperlink" Target="http://www.sec.gov/Archives/edgar/data/1620459/000114420418020749/tv491092_ex10-1.htm" TargetMode="External"/><Relationship Id="rId87" Type="http://schemas.openxmlformats.org/officeDocument/2006/relationships/hyperlink" Target="http://www.sec.gov/Archives/edgar/data/1620459/000157104915001874/t1500493_ex10-25.htm" TargetMode="External"/><Relationship Id="rId88" Type="http://schemas.openxmlformats.org/officeDocument/2006/relationships/hyperlink" Target="http://www.sec.gov/Archives/edgar/data/1620459/000162828018002654/jrvrex10281231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2019-12-28T16:08:42Z</dcterms:created>
  <dcterms:modified xsi:type="dcterms:W3CDTF">2019-12-28T16:08:42Z</dcterms:modified>
</cp:coreProperties>
</file>